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240"/>
        <w:jc w:val="center"/>
      </w:pPr>
      <w:r>
        <w:rPr>
          <w:rFonts w:ascii="Arial" w:cs="Arial" w:eastAsia="Arial" w:hAnsi="Arial"/>
          <w:b/>
          <w:bCs/>
          <w:color w:val="00B4B4"/>
          <w:sz w:val="20"/>
          <w:szCs w:val="20"/>
        </w:rPr>
        <w:t xml:space="preserve">WORKATO  |  FY2026–2027</w:t>
      </w:r>
    </w:p>
    <w:p>
      <w:pPr>
        <w:spacing w:before="0" w:after="120"/>
        <w:jc w:val="center"/>
      </w:pPr>
      <w:r>
        <w:rPr>
          <w:rFonts w:ascii="Arial" w:cs="Arial" w:eastAsia="Arial" w:hAnsi="Arial"/>
          <w:b/>
          <w:bCs/>
          <w:color w:val="1F2937"/>
          <w:sz w:val="48"/>
          <w:szCs w:val="48"/>
        </w:rPr>
        <w:t xml:space="preserve">Industry Overview</w:t>
      </w:r>
    </w:p>
    <w:p>
      <w:pPr>
        <w:spacing w:before="0" w:after="480"/>
        <w:jc w:val="center"/>
      </w:pPr>
      <w:r>
        <w:rPr>
          <w:rFonts w:ascii="Arial" w:cs="Arial" w:eastAsia="Arial" w:hAnsi="Arial"/>
          <w:b/>
          <w:bCs/>
          <w:color w:val="00B4B4"/>
          <w:sz w:val="56"/>
          <w:szCs w:val="56"/>
        </w:rPr>
        <w:t xml:space="preserve">Insurance &amp; Healthcare Payers</w:t>
      </w:r>
    </w:p>
    <w:p>
      <w:pPr>
        <w:pBdr>
          <w:bottom w:val="single" w:color="00B4B4" w:sz="6" w:space="1"/>
        </w:pBdr>
        <w:spacing w:before="80" w:after="80"/>
      </w:pPr>
    </w:p>
    <w:p>
      <w:pPr>
        <w:spacing w:before="0" w:after="240"/>
      </w:pPr>
    </w:p>
    <w:p>
      <w:pPr>
        <w:spacing w:before="0" w:after="80"/>
        <w:jc w:val="center"/>
      </w:pPr>
      <w:r>
        <w:rPr>
          <w:rFonts w:ascii="Arial" w:cs="Arial" w:eastAsia="Arial" w:hAnsi="Arial"/>
          <w:b/>
          <w:bCs/>
          <w:color w:val="4B5563"/>
          <w:sz w:val="24"/>
          <w:szCs w:val="24"/>
        </w:rPr>
        <w:t xml:space="preserve">Sub-Verticals Covered:</w:t>
      </w:r>
    </w:p>
    <w:p>
      <w:pPr>
        <w:spacing w:before="40" w:after="40"/>
        <w:jc w:val="center"/>
      </w:pPr>
      <w:r>
        <w:rPr>
          <w:rFonts w:ascii="Arial" w:cs="Arial" w:eastAsia="Arial" w:hAnsi="Arial"/>
          <w:color w:val="1F2937"/>
          <w:sz w:val="24"/>
          <w:szCs w:val="24"/>
        </w:rPr>
        <w:t xml:space="preserve">P&amp;C / Life / Specialty Insurance  ·  Health Insurance Payers</w:t>
      </w:r>
    </w:p>
    <w:p>
      <w:pPr>
        <w:spacing w:before="0" w:after="480"/>
      </w:pPr>
    </w:p>
    <w:p>
      <w:pPr>
        <w:jc w:val="center"/>
      </w:pPr>
      <w:r>
        <w:rPr>
          <w:rFonts w:ascii="Arial" w:cs="Arial" w:eastAsia="Arial" w:hAnsi="Arial"/>
          <w:b/>
          <w:bCs/>
          <w:color w:val="4B5563"/>
          <w:sz w:val="18"/>
          <w:szCs w:val="18"/>
        </w:rPr>
        <w:t xml:space="preserve">CONFIDENTIAL — FOR INTERNAL USE ONLY</w:t>
      </w:r>
    </w:p>
    <w:p>
      <w:r>
        <w:br w:type="page"/>
      </w:r>
    </w:p>
    <w:p>
      <w:pPr>
        <w:pStyle w:val="Heading1"/>
        <w:spacing w:before="360" w:after="120"/>
      </w:pPr>
      <w:r>
        <w:rPr>
          <w:rFonts w:ascii="Arial" w:cs="Arial" w:eastAsia="Arial" w:hAnsi="Arial"/>
          <w:b/>
          <w:bCs/>
          <w:color w:val="1F2937"/>
          <w:sz w:val="36"/>
          <w:szCs w:val="36"/>
        </w:rPr>
        <w:t xml:space="preserve">Table of Contents</w:t>
      </w:r>
    </w:p>
    <w:p>
      <w:pPr>
        <w:spacing w:before="60" w:after="60"/>
      </w:pPr>
      <w:r>
        <w:rPr>
          <w:rFonts w:ascii="Arial" w:cs="Arial" w:eastAsia="Arial" w:hAnsi="Arial"/>
          <w:sz w:val="22"/>
          <w:szCs w:val="22"/>
        </w:rPr>
        <w:t xml:space="preserve">Chapter 1: Industry Definition &amp; Summary</w:t>
      </w:r>
    </w:p>
    <w:p>
      <w:pPr>
        <w:spacing w:before="60" w:after="60"/>
      </w:pPr>
      <w:r>
        <w:rPr>
          <w:rFonts w:ascii="Arial" w:cs="Arial" w:eastAsia="Arial" w:hAnsi="Arial"/>
          <w:sz w:val="22"/>
          <w:szCs w:val="22"/>
        </w:rPr>
        <w:t xml:space="preserve">Chapter 2: Current Industry Trends</w:t>
      </w:r>
    </w:p>
    <w:p>
      <w:pPr>
        <w:spacing w:before="60" w:after="60"/>
      </w:pPr>
      <w:r>
        <w:rPr>
          <w:rFonts w:ascii="Arial" w:cs="Arial" w:eastAsia="Arial" w:hAnsi="Arial"/>
          <w:sz w:val="22"/>
          <w:szCs w:val="22"/>
        </w:rPr>
        <w:t xml:space="preserve">Chapter 3: Current AI/Automation/Orchestration Landscape</w:t>
      </w:r>
    </w:p>
    <w:p>
      <w:pPr>
        <w:spacing w:before="60" w:after="60"/>
      </w:pPr>
      <w:r>
        <w:rPr>
          <w:rFonts w:ascii="Arial" w:cs="Arial" w:eastAsia="Arial" w:hAnsi="Arial"/>
          <w:sz w:val="22"/>
          <w:szCs w:val="22"/>
        </w:rPr>
        <w:t xml:space="preserve">Chapter 4: Target Personas</w:t>
      </w:r>
    </w:p>
    <w:p>
      <w:pPr>
        <w:spacing w:before="60" w:after="60"/>
      </w:pPr>
      <w:r>
        <w:rPr>
          <w:rFonts w:ascii="Arial" w:cs="Arial" w:eastAsia="Arial" w:hAnsi="Arial"/>
          <w:sz w:val="22"/>
          <w:szCs w:val="22"/>
        </w:rPr>
        <w:t xml:space="preserve">Chapter 5: High-Potential AI &amp; Automation Use Cases</w:t>
      </w:r>
    </w:p>
    <w:p>
      <w:pPr>
        <w:spacing w:before="60" w:after="60"/>
      </w:pPr>
      <w:r>
        <w:rPr>
          <w:rFonts w:ascii="Arial" w:cs="Arial" w:eastAsia="Arial" w:hAnsi="Arial"/>
          <w:sz w:val="22"/>
          <w:szCs w:val="22"/>
        </w:rPr>
        <w:t xml:space="preserve">Chapter 6: Technology Ecosystem Overview</w:t>
      </w:r>
    </w:p>
    <w:p>
      <w:pPr>
        <w:spacing w:before="60" w:after="60"/>
      </w:pPr>
      <w:r>
        <w:rPr>
          <w:rFonts w:ascii="Arial" w:cs="Arial" w:eastAsia="Arial" w:hAnsi="Arial"/>
          <w:sz w:val="22"/>
          <w:szCs w:val="22"/>
        </w:rPr>
        <w:t xml:space="preserve">Chapter 7: Competitive Landscape (WSS-Aligned)</w:t>
      </w:r>
    </w:p>
    <w:p>
      <w:pPr>
        <w:spacing w:before="60" w:after="60"/>
      </w:pPr>
      <w:r>
        <w:rPr>
          <w:rFonts w:ascii="Arial" w:cs="Arial" w:eastAsia="Arial" w:hAnsi="Arial"/>
          <w:sz w:val="22"/>
          <w:szCs w:val="22"/>
        </w:rPr>
        <w:t xml:space="preserve">Chapter 8: Customer Proof &amp; References</w:t>
      </w:r>
    </w:p>
    <w:p>
      <w:r>
        <w:br w:type="page"/>
      </w:r>
    </w:p>
    <w:p>
      <w:pPr>
        <w:pStyle w:val="Heading1"/>
        <w:spacing w:before="360" w:after="120"/>
      </w:pPr>
      <w:r>
        <w:rPr>
          <w:rFonts w:ascii="Arial" w:cs="Arial" w:eastAsia="Arial" w:hAnsi="Arial"/>
          <w:b/>
          <w:bCs/>
          <w:color w:val="1F2937"/>
          <w:sz w:val="36"/>
          <w:szCs w:val="36"/>
        </w:rPr>
        <w:t xml:space="preserve">Chapter 1: Industry Definition &amp; Summary</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1A. Industry Overview &amp; Scope — Insurance &amp; Healthcare Payers</w:t>
      </w:r>
    </w:p>
    <w:p>
      <w:pPr>
        <w:spacing w:before="60" w:after="60"/>
      </w:pPr>
      <w:r>
        <w:rPr>
          <w:rFonts w:ascii="Arial" w:cs="Arial" w:eastAsia="Arial" w:hAnsi="Arial"/>
          <w:b w:val="false"/>
          <w:bCs w:val="false"/>
          <w:color w:val="1F2937"/>
          <w:sz w:val="22"/>
          <w:szCs w:val="22"/>
        </w:rPr>
        <w:t xml:space="preserve">Insurance and Healthcare Payers represent one of the most data-intensive, compliance-driven, and operationally complex sectors in the global economy. These organizations collect premiums, assess risk, process high-volume claims, manage policyholder/member relationships, and operate under strict regulatory oversight across multiple jurisdictions. For FY26–27, Workato’s focus spans two distinct but structurally similar sub-verticals: traditional insurance carriers (P&amp;C, Life, Specialty) and health insurance payers (managed care organizations, health plans, and self-insured employers’ TPA networks). Both face the same core pressure: legacy-heavy IT estates, fragmented data, rising customer expectations, and an urgent need to deploy agentic AI across claims, underwriting, member services, and back-office operations.</w:t>
      </w:r>
    </w:p>
    <w:p>
      <w:pPr>
        <w:spacing w:before="0" w:after="120"/>
      </w:pPr>
    </w:p>
    <w:p>
      <w:pPr>
        <w:spacing w:before="40" w:after="40"/>
      </w:pPr>
      <w:r>
        <w:rPr>
          <w:rFonts w:ascii="Arial" w:cs="Arial" w:eastAsia="Arial" w:hAnsi="Arial"/>
          <w:color w:val="4B5563"/>
          <w:sz w:val="20"/>
          <w:szCs w:val="20"/>
        </w:rPr>
        <w:t xml:space="preserve">PMM Note — Market Sizing: Supplement with current Gartner/Forrester TAM data for iPaaS and automation in insurance. IDC data on insurance IT automation spend is recommended. KPMG and McKinsey publish annual insurance technology outlooks worth citing.</w:t>
      </w:r>
    </w:p>
    <w:p>
      <w:pPr>
        <w:spacing w:before="0" w:after="120"/>
      </w:pPr>
    </w:p>
    <w:p>
      <w:pPr>
        <w:pStyle w:val="Heading3"/>
        <w:spacing w:before="200" w:after="80"/>
      </w:pPr>
      <w:r>
        <w:rPr>
          <w:rFonts w:ascii="Arial" w:cs="Arial" w:eastAsia="Arial" w:hAnsi="Arial"/>
          <w:b/>
          <w:bCs/>
          <w:color w:val="1F2937"/>
          <w:sz w:val="24"/>
          <w:szCs w:val="24"/>
        </w:rPr>
        <w:t xml:space="preserve">Insurance Industry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12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P&amp;C / Life / Specialty</w:t>
            </w:r>
          </w:p>
        </w:tc>
        <w:tc>
          <w:tcPr>
            <w:tcW w:type="dxa" w:w="312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Health Insurance Payers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Global Market Size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~$6.5T in premiums (2024, Swiss Re)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~$1.5T in US health insurance premiums (2024)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Buyers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CIO, VP of IT, Head of Claims Operations, CDO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CIO, VP of Member Experience, Chief Medical Officer, CDO</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Core Revenue Driver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Premium income minus claims and expenses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Premium income (PMPM) minus medical loss ratio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Regulatory Environment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State insurance commissioners, NAIC, Lloyd’s syndicates, Solvency II (EU)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CMS, HIPAA, ACA, state departments of insurance, NCQA/HEDIS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Key Operational Metric</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Combined ratio (loss ratio + expense ratio)</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Medical Loss Ratio (MLR), member satisfaction (CAHPS)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IT Pain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Aging policy admin systems, siloed claims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claims processing (mainframe), fragmented member data</w:t>
            </w:r>
          </w:p>
        </w:tc>
      </w:tr>
    </w:tbl>
    <w:p>
      <w:pPr>
        <w:spacing w:before="0" w:after="120"/>
      </w:pPr>
    </w:p>
    <w:p>
      <w:pPr>
        <w:pStyle w:val="Heading3"/>
        <w:spacing w:before="200" w:after="80"/>
      </w:pPr>
      <w:r>
        <w:rPr>
          <w:rFonts w:ascii="Arial" w:cs="Arial" w:eastAsia="Arial" w:hAnsi="Arial"/>
          <w:b/>
          <w:bCs/>
          <w:color w:val="1F2937"/>
          <w:sz w:val="24"/>
          <w:szCs w:val="24"/>
        </w:rPr>
        <w:t xml:space="preserve">Key Business Drivers &amp; Priorities</w:t>
      </w:r>
    </w:p>
    <w:p>
      <w:pPr>
        <w:pStyle w:val="ListParagraph"/>
        <w:numPr>
          <w:ilvl w:val="0"/>
          <w:numId w:val="2"/>
        </w:numPr>
        <w:spacing w:before="40" w:after="40"/>
      </w:pPr>
      <w:r>
        <w:rPr>
          <w:rFonts w:ascii="Arial" w:cs="Arial" w:eastAsia="Arial" w:hAnsi="Arial"/>
          <w:b w:val="false"/>
          <w:bCs w:val="false"/>
          <w:sz w:val="22"/>
          <w:szCs w:val="22"/>
        </w:rPr>
        <w:t xml:space="preserve">Improving combined ratio / MLR: Every point of operational efficiency directly impacts profitability; automation is the lever.</w:t>
      </w:r>
    </w:p>
    <w:p>
      <w:pPr>
        <w:pStyle w:val="ListParagraph"/>
        <w:numPr>
          <w:ilvl w:val="0"/>
          <w:numId w:val="2"/>
        </w:numPr>
        <w:spacing w:before="40" w:after="40"/>
      </w:pPr>
      <w:r>
        <w:rPr>
          <w:rFonts w:ascii="Arial" w:cs="Arial" w:eastAsia="Arial" w:hAnsi="Arial"/>
          <w:b w:val="false"/>
          <w:bCs w:val="false"/>
          <w:sz w:val="22"/>
          <w:szCs w:val="22"/>
        </w:rPr>
        <w:t xml:space="preserve">Claims processing speed: Customers measure insurers by how fast and fairly claims are settled; AI-driven IDP and routing cut cycle times dramatically.</w:t>
      </w:r>
    </w:p>
    <w:p>
      <w:pPr>
        <w:pStyle w:val="ListParagraph"/>
        <w:numPr>
          <w:ilvl w:val="0"/>
          <w:numId w:val="2"/>
        </w:numPr>
        <w:spacing w:before="40" w:after="40"/>
      </w:pPr>
      <w:r>
        <w:rPr>
          <w:rFonts w:ascii="Arial" w:cs="Arial" w:eastAsia="Arial" w:hAnsi="Arial"/>
          <w:b w:val="false"/>
          <w:bCs w:val="false"/>
          <w:sz w:val="22"/>
          <w:szCs w:val="22"/>
        </w:rPr>
        <w:t xml:space="preserve">Regulatory compliance at scale: HIPAA, NAIC model regulations, ACA reporting, state-mandated disclosures — all require automated audit trails.</w:t>
      </w:r>
    </w:p>
    <w:p>
      <w:pPr>
        <w:pStyle w:val="ListParagraph"/>
        <w:numPr>
          <w:ilvl w:val="0"/>
          <w:numId w:val="2"/>
        </w:numPr>
        <w:spacing w:before="40" w:after="40"/>
      </w:pPr>
      <w:r>
        <w:rPr>
          <w:rFonts w:ascii="Arial" w:cs="Arial" w:eastAsia="Arial" w:hAnsi="Arial"/>
          <w:b w:val="false"/>
          <w:bCs w:val="false"/>
          <w:sz w:val="22"/>
          <w:szCs w:val="22"/>
        </w:rPr>
        <w:t xml:space="preserve">Digital product innovation: Insurers expanding into embedded insurance, usage-based products, and digital wellness programs need API orchestration infrastructure.</w:t>
      </w:r>
    </w:p>
    <w:p>
      <w:pPr>
        <w:pStyle w:val="ListParagraph"/>
        <w:numPr>
          <w:ilvl w:val="0"/>
          <w:numId w:val="2"/>
        </w:numPr>
        <w:spacing w:before="40" w:after="40"/>
      </w:pPr>
      <w:r>
        <w:rPr>
          <w:rFonts w:ascii="Arial" w:cs="Arial" w:eastAsia="Arial" w:hAnsi="Arial"/>
          <w:b w:val="false"/>
          <w:bCs w:val="false"/>
          <w:sz w:val="22"/>
          <w:szCs w:val="22"/>
        </w:rPr>
        <w:t xml:space="preserve">Member/policyholder retention: Proactive outreach, personalized communication, and friction-free digital experiences drive NPS and reduce churn.</w:t>
      </w:r>
    </w:p>
    <w:p>
      <w:pPr>
        <w:pStyle w:val="ListParagraph"/>
        <w:numPr>
          <w:ilvl w:val="0"/>
          <w:numId w:val="2"/>
        </w:numPr>
        <w:spacing w:before="40" w:after="40"/>
      </w:pPr>
      <w:r>
        <w:rPr>
          <w:rFonts w:ascii="Arial" w:cs="Arial" w:eastAsia="Arial" w:hAnsi="Arial"/>
          <w:b w:val="false"/>
          <w:bCs w:val="false"/>
          <w:sz w:val="22"/>
          <w:szCs w:val="22"/>
        </w:rPr>
        <w:t xml:space="preserve">Operational excellence in shared services: HR, Finance, and IT back-office automation is a direct path to expense ratio improvement.</w:t>
      </w:r>
    </w:p>
    <w:p>
      <w:pPr>
        <w:spacing w:before="0" w:after="120"/>
      </w:pPr>
    </w:p>
    <w:p>
      <w:pPr>
        <w:pStyle w:val="Heading3"/>
        <w:spacing w:before="200" w:after="80"/>
      </w:pPr>
      <w:r>
        <w:rPr>
          <w:rFonts w:ascii="Arial" w:cs="Arial" w:eastAsia="Arial" w:hAnsi="Arial"/>
          <w:b/>
          <w:bCs/>
          <w:color w:val="1F2937"/>
          <w:sz w:val="24"/>
          <w:szCs w:val="24"/>
        </w:rPr>
        <w:t xml:space="preserve">Regulatory Environment &amp;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Regulation / Framework</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HIPAA (Privacy &amp; Security Rule)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Health payers, healthcare providers handling PHI</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ACA Section 1557 / MLR Reporting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payers — medical loss ratio disclosure and rebates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CMS Star Ratings / HEDIS Measures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Medicare Advantage and commercial health plans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NAIC Model Laws (Rate &amp; Form Filing)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insurance carriers — product approval and pricing</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Solvency II / IAIS Standards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EU and internationally active insurance groups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GDPR / CCPA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Insurers with EU or California policyholders / members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SOC 2 Type II</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SaaS vendors to insurers; enterprise IT compliance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Surprises Act / Transparency in Coverage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payers — cost transparency requirements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State Dept. of Insurance Reporting</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carriers — market conduct, financial filing, rate approval</w:t>
            </w:r>
          </w:p>
        </w:tc>
      </w:tr>
    </w:tbl>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1: P&amp;C / Life / Specialty Insurance (Traditional Carriers)</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This sub-vertical encompasses Property &amp; Casualty carriers (home, auto, commercial lines), Life &amp; Annuity insurers, and Specialty/Excess &amp; Surplus (E&amp;S) carriers. These organizations range from large national carriers (State Farm, Allstate, Progressive) to regional mutuals, Lloyd’s syndicates, and Managing General Agents (MGAs). Common threads: legacy policy administration systems (Guidewire, Duck Creek, Majesco), high-volume FNOL and claims workflows, broker/agent distribution ecosystems, and growing pressure to deploy AI for underwriting and claims. Workato’s current customers in this sub-vertical include Helia (Australian mortgage insurance) and IC-Verzekeringen (Dutch P&amp;C).</w:t>
      </w:r>
    </w:p>
    <w:p>
      <w:pPr>
        <w:spacing w:before="0" w:after="120"/>
      </w:pPr>
    </w:p>
    <w:p>
      <w:pPr>
        <w:pStyle w:val="Heading3"/>
        <w:spacing w:before="200" w:after="80"/>
      </w:pPr>
      <w:r>
        <w:rPr>
          <w:rFonts w:ascii="Arial" w:cs="Arial" w:eastAsia="Arial" w:hAnsi="Arial"/>
          <w:b/>
          <w:bCs/>
          <w:color w:val="1F2937"/>
          <w:sz w:val="24"/>
          <w:szCs w:val="24"/>
        </w:rPr>
        <w:t xml:space="preserve">Key Business Drivers — P&amp;C / Life / Specialty</w:t>
      </w:r>
    </w:p>
    <w:p>
      <w:pPr>
        <w:pStyle w:val="ListParagraph"/>
        <w:numPr>
          <w:ilvl w:val="0"/>
          <w:numId w:val="2"/>
        </w:numPr>
        <w:spacing w:before="40" w:after="40"/>
      </w:pPr>
      <w:r>
        <w:rPr>
          <w:rFonts w:ascii="Arial" w:cs="Arial" w:eastAsia="Arial" w:hAnsi="Arial"/>
          <w:b w:val="false"/>
          <w:bCs w:val="false"/>
          <w:sz w:val="22"/>
          <w:szCs w:val="22"/>
        </w:rPr>
        <w:t xml:space="preserve">Claims automation: FNOL intake, triage, routing, fraud detection, and settlement are the highest-ROI automation targets.</w:t>
      </w:r>
    </w:p>
    <w:p>
      <w:pPr>
        <w:pStyle w:val="ListParagraph"/>
        <w:numPr>
          <w:ilvl w:val="0"/>
          <w:numId w:val="2"/>
        </w:numPr>
        <w:spacing w:before="40" w:after="40"/>
      </w:pPr>
      <w:r>
        <w:rPr>
          <w:rFonts w:ascii="Arial" w:cs="Arial" w:eastAsia="Arial" w:hAnsi="Arial"/>
          <w:b w:val="false"/>
          <w:bCs w:val="false"/>
          <w:sz w:val="22"/>
          <w:szCs w:val="22"/>
        </w:rPr>
        <w:t xml:space="preserve">Underwriting modernization: Reducing manual underwriting touchpoints; AI-powered risk scoring from connected data sources.</w:t>
      </w:r>
    </w:p>
    <w:p>
      <w:pPr>
        <w:pStyle w:val="ListParagraph"/>
        <w:numPr>
          <w:ilvl w:val="0"/>
          <w:numId w:val="2"/>
        </w:numPr>
        <w:spacing w:before="40" w:after="40"/>
      </w:pPr>
      <w:r>
        <w:rPr>
          <w:rFonts w:ascii="Arial" w:cs="Arial" w:eastAsia="Arial" w:hAnsi="Arial"/>
          <w:b w:val="false"/>
          <w:bCs w:val="false"/>
          <w:sz w:val="22"/>
          <w:szCs w:val="22"/>
        </w:rPr>
        <w:t xml:space="preserve">Broker &amp; agent ecosystem: Enabling distribution partners to quote, bind, and service policies through connected portals and APIs.</w:t>
      </w:r>
    </w:p>
    <w:p>
      <w:pPr>
        <w:pStyle w:val="ListParagraph"/>
        <w:numPr>
          <w:ilvl w:val="0"/>
          <w:numId w:val="2"/>
        </w:numPr>
        <w:spacing w:before="40" w:after="40"/>
      </w:pPr>
      <w:r>
        <w:rPr>
          <w:rFonts w:ascii="Arial" w:cs="Arial" w:eastAsia="Arial" w:hAnsi="Arial"/>
          <w:b w:val="false"/>
          <w:bCs w:val="false"/>
          <w:sz w:val="22"/>
          <w:szCs w:val="22"/>
        </w:rPr>
        <w:t xml:space="preserve">Policy administration modernization: Migrating from legacy PAS (Majesco, legacy COBOL) to modern platforms (Guidewire, Duck Creek) with Workato as the orchestration layer during and after migration.</w:t>
      </w:r>
    </w:p>
    <w:p>
      <w:pPr>
        <w:pStyle w:val="ListParagraph"/>
        <w:numPr>
          <w:ilvl w:val="0"/>
          <w:numId w:val="2"/>
        </w:numPr>
        <w:spacing w:before="40" w:after="40"/>
      </w:pPr>
      <w:r>
        <w:rPr>
          <w:rFonts w:ascii="Arial" w:cs="Arial" w:eastAsia="Arial" w:hAnsi="Arial"/>
          <w:b w:val="false"/>
          <w:bCs w:val="false"/>
          <w:sz w:val="22"/>
          <w:szCs w:val="22"/>
        </w:rPr>
        <w:t xml:space="preserve">Embedded insurance: New distribution channels (e-commerce, auto dealerships, travel platforms) require real-time API-based quoting and binding.</w:t>
      </w:r>
    </w:p>
    <w:p>
      <w:pPr>
        <w:pStyle w:val="ListParagraph"/>
        <w:numPr>
          <w:ilvl w:val="0"/>
          <w:numId w:val="2"/>
        </w:numPr>
        <w:spacing w:before="40" w:after="40"/>
      </w:pPr>
      <w:r>
        <w:rPr>
          <w:rFonts w:ascii="Arial" w:cs="Arial" w:eastAsia="Arial" w:hAnsi="Arial"/>
          <w:b w:val="false"/>
          <w:bCs w:val="false"/>
          <w:sz w:val="22"/>
          <w:szCs w:val="22"/>
        </w:rPr>
        <w:t xml:space="preserve">Low-code accessibility: Regional carriers and MGAs with small IT teams need citizen builder capabilities to compete without large dev staffs.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2: Health Insurance Payers (Managed Care / Health Plans)</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Health insurance payers include commercial health plans, Medicare Advantage plans, Medicaid managed care organizations (MCOs), and self-insured employer plans administered by TPAs. Key players include national payers (UnitedHealth, CVS/Aetna, Cigna, Humana, Anthem/Elevance) and regional BCBS plans. This is one of the most data-intensive sub-verticals in all of enterprise technology: payers process hundreds of millions of claims annually, manage complex provider networks, operate under CMS Star Rating programs, and must balance member experience with tight MLR constraints. AI and automation are critical levers for reducing administrative cost (which represents 25–30% of health insurance spending) while improving HEDIS and CAHPS performance metrics.</w:t>
      </w:r>
    </w:p>
    <w:p>
      <w:pPr>
        <w:spacing w:before="0" w:after="120"/>
      </w:pPr>
    </w:p>
    <w:p>
      <w:pPr>
        <w:pStyle w:val="Heading3"/>
        <w:spacing w:before="200" w:after="80"/>
      </w:pPr>
      <w:r>
        <w:rPr>
          <w:rFonts w:ascii="Arial" w:cs="Arial" w:eastAsia="Arial" w:hAnsi="Arial"/>
          <w:b/>
          <w:bCs/>
          <w:color w:val="1F2937"/>
          <w:sz w:val="24"/>
          <w:szCs w:val="24"/>
        </w:rPr>
        <w:t xml:space="preserve">Key Business Drivers — Health Insurance Payers</w:t>
      </w:r>
    </w:p>
    <w:p>
      <w:pPr>
        <w:pStyle w:val="ListParagraph"/>
        <w:numPr>
          <w:ilvl w:val="0"/>
          <w:numId w:val="2"/>
        </w:numPr>
        <w:spacing w:before="40" w:after="40"/>
      </w:pPr>
      <w:r>
        <w:rPr>
          <w:rFonts w:ascii="Arial" w:cs="Arial" w:eastAsia="Arial" w:hAnsi="Arial"/>
          <w:b w:val="false"/>
          <w:bCs w:val="false"/>
          <w:sz w:val="22"/>
          <w:szCs w:val="22"/>
        </w:rPr>
        <w:t xml:space="preserve">Claims adjudication efficiency: Reducing the cost-per-claim through AI-assisted auto-adjudication, prior authorization automation, and EOB generation.</w:t>
      </w:r>
    </w:p>
    <w:p>
      <w:pPr>
        <w:pStyle w:val="ListParagraph"/>
        <w:numPr>
          <w:ilvl w:val="0"/>
          <w:numId w:val="2"/>
        </w:numPr>
        <w:spacing w:before="40" w:after="40"/>
      </w:pPr>
      <w:r>
        <w:rPr>
          <w:rFonts w:ascii="Arial" w:cs="Arial" w:eastAsia="Arial" w:hAnsi="Arial"/>
          <w:b w:val="false"/>
          <w:bCs w:val="false"/>
          <w:sz w:val="22"/>
          <w:szCs w:val="22"/>
        </w:rPr>
        <w:t xml:space="preserve">Member experience: Personalized, proactive outreach across enrollment, claims status, care coordination, and preventive care reminders.</w:t>
      </w:r>
    </w:p>
    <w:p>
      <w:pPr>
        <w:pStyle w:val="ListParagraph"/>
        <w:numPr>
          <w:ilvl w:val="0"/>
          <w:numId w:val="2"/>
        </w:numPr>
        <w:spacing w:before="40" w:after="40"/>
      </w:pPr>
      <w:r>
        <w:rPr>
          <w:rFonts w:ascii="Arial" w:cs="Arial" w:eastAsia="Arial" w:hAnsi="Arial"/>
          <w:b w:val="false"/>
          <w:bCs w:val="false"/>
          <w:sz w:val="22"/>
          <w:szCs w:val="22"/>
        </w:rPr>
        <w:t xml:space="preserve">Provider data management: Keeping provider directory data accurate and compliant (CMS Directory Accuracy requirements); automating credentialing workflows.</w:t>
      </w:r>
    </w:p>
    <w:p>
      <w:pPr>
        <w:pStyle w:val="ListParagraph"/>
        <w:numPr>
          <w:ilvl w:val="0"/>
          <w:numId w:val="2"/>
        </w:numPr>
        <w:spacing w:before="40" w:after="40"/>
      </w:pPr>
      <w:r>
        <w:rPr>
          <w:rFonts w:ascii="Arial" w:cs="Arial" w:eastAsia="Arial" w:hAnsi="Arial"/>
          <w:b w:val="false"/>
          <w:bCs w:val="false"/>
          <w:sz w:val="22"/>
          <w:szCs w:val="22"/>
        </w:rPr>
        <w:t xml:space="preserve">Star Ratings &amp; HEDIS improvement: Closing care gaps through automated outreach, data aggregation from clinical and claims sources.</w:t>
      </w:r>
    </w:p>
    <w:p>
      <w:pPr>
        <w:pStyle w:val="ListParagraph"/>
        <w:numPr>
          <w:ilvl w:val="0"/>
          <w:numId w:val="2"/>
        </w:numPr>
        <w:spacing w:before="40" w:after="40"/>
      </w:pPr>
      <w:r>
        <w:rPr>
          <w:rFonts w:ascii="Arial" w:cs="Arial" w:eastAsia="Arial" w:hAnsi="Arial"/>
          <w:b w:val="false"/>
          <w:bCs w:val="false"/>
          <w:sz w:val="22"/>
          <w:szCs w:val="22"/>
        </w:rPr>
        <w:t xml:space="preserve">Prior authorization reform: CMS is mandating API-based prior authorization — payers must build or integrate compliant PA workflows by regulatory deadlines.</w:t>
      </w:r>
    </w:p>
    <w:p>
      <w:pPr>
        <w:pStyle w:val="ListParagraph"/>
        <w:numPr>
          <w:ilvl w:val="0"/>
          <w:numId w:val="2"/>
        </w:numPr>
        <w:spacing w:before="40" w:after="40"/>
      </w:pPr>
      <w:r>
        <w:rPr>
          <w:rFonts w:ascii="Arial" w:cs="Arial" w:eastAsia="Arial" w:hAnsi="Arial"/>
          <w:b w:val="false"/>
          <w:bCs w:val="false"/>
          <w:sz w:val="22"/>
          <w:szCs w:val="22"/>
        </w:rPr>
        <w:t xml:space="preserve">Back-office operational excellence: HR, Finance, and IT automation in payer organizations is a significant efficiency opportunity that is often underinvested.</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2: Current Industry Trends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2A. Macro-Economic &amp; Market Trends</w:t>
      </w:r>
    </w:p>
    <w:p>
      <w:pPr>
        <w:pStyle w:val="ListParagraph"/>
        <w:numPr>
          <w:ilvl w:val="0"/>
          <w:numId w:val="2"/>
        </w:numPr>
        <w:spacing w:before="40" w:after="40"/>
      </w:pPr>
      <w:r>
        <w:rPr>
          <w:rFonts w:ascii="Arial" w:cs="Arial" w:eastAsia="Arial" w:hAnsi="Arial"/>
          <w:b w:val="false"/>
          <w:bCs w:val="false"/>
          <w:sz w:val="22"/>
          <w:szCs w:val="22"/>
        </w:rPr>
        <w:t xml:space="preserve">Catastrophic loss pressure on P&amp;C: Increasing severity of weather events is driving combined ratios above 100% for many carriers, intensifying focus on automation-driven expense management.</w:t>
      </w:r>
    </w:p>
    <w:p>
      <w:pPr>
        <w:pStyle w:val="ListParagraph"/>
        <w:numPr>
          <w:ilvl w:val="0"/>
          <w:numId w:val="2"/>
        </w:numPr>
        <w:spacing w:before="40" w:after="40"/>
      </w:pPr>
      <w:r>
        <w:rPr>
          <w:rFonts w:ascii="Arial" w:cs="Arial" w:eastAsia="Arial" w:hAnsi="Arial"/>
          <w:b w:val="false"/>
          <w:bCs w:val="false"/>
          <w:sz w:val="22"/>
          <w:szCs w:val="22"/>
        </w:rPr>
        <w:t xml:space="preserve">Rising medical costs for health payers: Medical trend rates outpacing premium growth is compressing MLRs and forcing operational cost reduction through automation.</w:t>
      </w:r>
    </w:p>
    <w:p>
      <w:pPr>
        <w:pStyle w:val="ListParagraph"/>
        <w:numPr>
          <w:ilvl w:val="0"/>
          <w:numId w:val="2"/>
        </w:numPr>
        <w:spacing w:before="40" w:after="40"/>
      </w:pPr>
      <w:r>
        <w:rPr>
          <w:rFonts w:ascii="Arial" w:cs="Arial" w:eastAsia="Arial" w:hAnsi="Arial"/>
          <w:b w:val="false"/>
          <w:bCs w:val="false"/>
          <w:sz w:val="22"/>
          <w:szCs w:val="22"/>
        </w:rPr>
        <w:t xml:space="preserve">Insurance market hardening: Rate increases in commercial lines and specialty are creating new growth but also new complexity in underwriting workflows.</w:t>
      </w:r>
    </w:p>
    <w:p>
      <w:pPr>
        <w:pStyle w:val="ListParagraph"/>
        <w:numPr>
          <w:ilvl w:val="0"/>
          <w:numId w:val="2"/>
        </w:numPr>
        <w:spacing w:before="40" w:after="40"/>
      </w:pPr>
      <w:r>
        <w:rPr>
          <w:rFonts w:ascii="Arial" w:cs="Arial" w:eastAsia="Arial" w:hAnsi="Arial"/>
          <w:b w:val="false"/>
          <w:bCs w:val="false"/>
          <w:sz w:val="22"/>
          <w:szCs w:val="22"/>
        </w:rPr>
        <w:t xml:space="preserve">M&amp;A and consolidation: Carrier mergers and acquisitions are creating significant integration challenges — a key Workato displacement opportunity (post-M&amp;A system integration).</w:t>
      </w:r>
    </w:p>
    <w:p>
      <w:pPr>
        <w:pStyle w:val="ListParagraph"/>
        <w:numPr>
          <w:ilvl w:val="0"/>
          <w:numId w:val="2"/>
        </w:numPr>
        <w:spacing w:before="40" w:after="40"/>
      </w:pPr>
      <w:r>
        <w:rPr>
          <w:rFonts w:ascii="Arial" w:cs="Arial" w:eastAsia="Arial" w:hAnsi="Arial"/>
          <w:b w:val="false"/>
          <w:bCs w:val="false"/>
          <w:sz w:val="22"/>
          <w:szCs w:val="22"/>
        </w:rPr>
        <w:t xml:space="preserve">Value-based care transition: Health payers shifting from fee-for-service to value-based contracts need data orchestration across provider performance, quality metrics, and claims.</w:t>
      </w:r>
    </w:p>
    <w:p>
      <w:pPr>
        <w:spacing w:before="0" w:after="120"/>
      </w:pPr>
    </w:p>
    <w:p>
      <w:pPr>
        <w:pStyle w:val="Heading2"/>
        <w:spacing w:before="300" w:after="100"/>
      </w:pPr>
      <w:r>
        <w:rPr>
          <w:rFonts w:ascii="Arial" w:cs="Arial" w:eastAsia="Arial" w:hAnsi="Arial"/>
          <w:b/>
          <w:bCs/>
          <w:color w:val="007A7A"/>
          <w:sz w:val="28"/>
          <w:szCs w:val="28"/>
        </w:rPr>
        <w:t xml:space="preserve">2B. Technology Adoption Trends</w:t>
      </w:r>
    </w:p>
    <w:p>
      <w:pPr>
        <w:pStyle w:val="ListParagraph"/>
        <w:numPr>
          <w:ilvl w:val="0"/>
          <w:numId w:val="2"/>
        </w:numPr>
        <w:spacing w:before="40" w:after="40"/>
      </w:pPr>
      <w:r>
        <w:rPr>
          <w:rFonts w:ascii="Arial" w:cs="Arial" w:eastAsia="Arial" w:hAnsi="Arial"/>
          <w:b w:val="false"/>
          <w:bCs w:val="false"/>
          <w:sz w:val="22"/>
          <w:szCs w:val="22"/>
        </w:rPr>
        <w:t xml:space="preserve">Core system modernization: Carriers migrating from COBOL-era systems to Guidewire, Duck Creek, or Salesforce Financial Services Cloud — Workato is the orchestration layer that bridges legacy and modern systems during migration.</w:t>
      </w:r>
    </w:p>
    <w:p>
      <w:pPr>
        <w:pStyle w:val="ListParagraph"/>
        <w:numPr>
          <w:ilvl w:val="0"/>
          <w:numId w:val="2"/>
        </w:numPr>
        <w:spacing w:before="40" w:after="40"/>
      </w:pPr>
      <w:r>
        <w:rPr>
          <w:rFonts w:ascii="Arial" w:cs="Arial" w:eastAsia="Arial" w:hAnsi="Arial"/>
          <w:b w:val="false"/>
          <w:bCs w:val="false"/>
          <w:sz w:val="22"/>
          <w:szCs w:val="22"/>
        </w:rPr>
        <w:t xml:space="preserve">Cloud data warehouse adoption: Snowflake and Databricks becoming the analytics core for actuarial, claims, and member data — requiring ETL/ELT automation.</w:t>
      </w:r>
    </w:p>
    <w:p>
      <w:pPr>
        <w:pStyle w:val="ListParagraph"/>
        <w:numPr>
          <w:ilvl w:val="0"/>
          <w:numId w:val="2"/>
        </w:numPr>
        <w:spacing w:before="40" w:after="40"/>
      </w:pPr>
      <w:r>
        <w:rPr>
          <w:rFonts w:ascii="Arial" w:cs="Arial" w:eastAsia="Arial" w:hAnsi="Arial"/>
          <w:b w:val="false"/>
          <w:bCs w:val="false"/>
          <w:sz w:val="22"/>
          <w:szCs w:val="22"/>
        </w:rPr>
        <w:t xml:space="preserve">AI in insurance: Carriers using ML for fraud detection, predictive underwriting, and claims severity modeling — but AI is blocked by data silos.</w:t>
      </w:r>
    </w:p>
    <w:p>
      <w:pPr>
        <w:pStyle w:val="ListParagraph"/>
        <w:numPr>
          <w:ilvl w:val="0"/>
          <w:numId w:val="2"/>
        </w:numPr>
        <w:spacing w:before="40" w:after="40"/>
      </w:pPr>
      <w:r>
        <w:rPr>
          <w:rFonts w:ascii="Arial" w:cs="Arial" w:eastAsia="Arial" w:hAnsi="Arial"/>
          <w:b w:val="false"/>
          <w:bCs w:val="false"/>
          <w:sz w:val="22"/>
          <w:szCs w:val="22"/>
        </w:rPr>
        <w:t xml:space="preserve">API economy in insurance: Open insurance initiatives, embedded insurance, and CMS mandates for FHIR-based APIs are driving API-first architecture requirements.</w:t>
      </w:r>
    </w:p>
    <w:p>
      <w:pPr>
        <w:pStyle w:val="ListParagraph"/>
        <w:numPr>
          <w:ilvl w:val="0"/>
          <w:numId w:val="2"/>
        </w:numPr>
        <w:spacing w:before="40" w:after="40"/>
      </w:pPr>
      <w:r>
        <w:rPr>
          <w:rFonts w:ascii="Arial" w:cs="Arial" w:eastAsia="Arial" w:hAnsi="Arial"/>
          <w:b w:val="false"/>
          <w:bCs w:val="false"/>
          <w:sz w:val="22"/>
          <w:szCs w:val="22"/>
        </w:rPr>
        <w:t xml:space="preserve">Digital claims experience: Customers expect mobile FNOL submission, real-time status updates, and straight-through processing for straightforward claims.</w:t>
      </w:r>
    </w:p>
    <w:p>
      <w:pPr>
        <w:spacing w:before="0" w:after="120"/>
      </w:pPr>
    </w:p>
    <w:p>
      <w:pPr>
        <w:pStyle w:val="Heading2"/>
        <w:spacing w:before="300" w:after="100"/>
      </w:pPr>
      <w:r>
        <w:rPr>
          <w:rFonts w:ascii="Arial" w:cs="Arial" w:eastAsia="Arial" w:hAnsi="Arial"/>
          <w:b/>
          <w:bCs/>
          <w:color w:val="007A7A"/>
          <w:sz w:val="28"/>
          <w:szCs w:val="28"/>
        </w:rPr>
        <w:t xml:space="preserve">2C. Customer / Member Behavior Shifts</w:t>
      </w:r>
    </w:p>
    <w:p>
      <w:pPr>
        <w:pStyle w:val="ListParagraph"/>
        <w:numPr>
          <w:ilvl w:val="0"/>
          <w:numId w:val="2"/>
        </w:numPr>
        <w:spacing w:before="40" w:after="40"/>
      </w:pPr>
      <w:r>
        <w:rPr>
          <w:rFonts w:ascii="Arial" w:cs="Arial" w:eastAsia="Arial" w:hAnsi="Arial"/>
          <w:b w:val="false"/>
          <w:bCs w:val="false"/>
          <w:sz w:val="22"/>
          <w:szCs w:val="22"/>
        </w:rPr>
        <w:t xml:space="preserve">Policyholders expect Amazon-like experiences: Instant quotes, digital binding, self-service policy management, and real-time claims status — not 10-day paper-mail cycles.</w:t>
      </w:r>
    </w:p>
    <w:p>
      <w:pPr>
        <w:pStyle w:val="ListParagraph"/>
        <w:numPr>
          <w:ilvl w:val="0"/>
          <w:numId w:val="2"/>
        </w:numPr>
        <w:spacing w:before="40" w:after="40"/>
      </w:pPr>
      <w:r>
        <w:rPr>
          <w:rFonts w:ascii="Arial" w:cs="Arial" w:eastAsia="Arial" w:hAnsi="Arial"/>
          <w:b w:val="false"/>
          <w:bCs w:val="false"/>
          <w:sz w:val="22"/>
          <w:szCs w:val="22"/>
        </w:rPr>
        <w:t xml:space="preserve">Health plan members demand transparency: ACA and No Surprises Act mandates are driving member expectations for cost transparency and benefit clarity before care.</w:t>
      </w:r>
    </w:p>
    <w:p>
      <w:pPr>
        <w:pStyle w:val="ListParagraph"/>
        <w:numPr>
          <w:ilvl w:val="0"/>
          <w:numId w:val="2"/>
        </w:numPr>
        <w:spacing w:before="40" w:after="40"/>
      </w:pPr>
      <w:r>
        <w:rPr>
          <w:rFonts w:ascii="Arial" w:cs="Arial" w:eastAsia="Arial" w:hAnsi="Arial"/>
          <w:b w:val="false"/>
          <w:bCs w:val="false"/>
          <w:sz w:val="22"/>
          <w:szCs w:val="22"/>
        </w:rPr>
        <w:t xml:space="preserve">Broker/agent digital demands: Distribution partners expect API-based quoting and real-time policy administration access, not manual portal logins and email workflows.</w:t>
      </w:r>
    </w:p>
    <w:p>
      <w:pPr>
        <w:pStyle w:val="ListParagraph"/>
        <w:numPr>
          <w:ilvl w:val="0"/>
          <w:numId w:val="2"/>
        </w:numPr>
        <w:spacing w:before="40" w:after="40"/>
      </w:pPr>
      <w:r>
        <w:rPr>
          <w:rFonts w:ascii="Arial" w:cs="Arial" w:eastAsia="Arial" w:hAnsi="Arial"/>
          <w:b w:val="false"/>
          <w:bCs w:val="false"/>
          <w:sz w:val="22"/>
          <w:szCs w:val="22"/>
        </w:rPr>
        <w:t xml:space="preserve">Telematics and wellness programs: Usage-based insurance (UBI) and health wellness apps generate massive data streams requiring real-time integration and orchestration.</w:t>
      </w:r>
    </w:p>
    <w:p>
      <w:pPr>
        <w:spacing w:before="0" w:after="120"/>
      </w:pPr>
    </w:p>
    <w:p>
      <w:pPr>
        <w:pStyle w:val="Heading2"/>
        <w:spacing w:before="300" w:after="100"/>
      </w:pPr>
      <w:r>
        <w:rPr>
          <w:rFonts w:ascii="Arial" w:cs="Arial" w:eastAsia="Arial" w:hAnsi="Arial"/>
          <w:b/>
          <w:bCs/>
          <w:color w:val="007A7A"/>
          <w:sz w:val="28"/>
          <w:szCs w:val="28"/>
        </w:rPr>
        <w:t xml:space="preserve">2D. Workforce &amp; Operational Trends</w:t>
      </w:r>
    </w:p>
    <w:p>
      <w:pPr>
        <w:pStyle w:val="ListParagraph"/>
        <w:numPr>
          <w:ilvl w:val="0"/>
          <w:numId w:val="2"/>
        </w:numPr>
        <w:spacing w:before="40" w:after="40"/>
      </w:pPr>
      <w:r>
        <w:rPr>
          <w:rFonts w:ascii="Arial" w:cs="Arial" w:eastAsia="Arial" w:hAnsi="Arial"/>
          <w:b w:val="false"/>
          <w:bCs w:val="false"/>
          <w:sz w:val="22"/>
          <w:szCs w:val="22"/>
        </w:rPr>
        <w:t xml:space="preserve">Claims adjuster shortage: The claims workforce is aging and difficult to replace — automation must handle routine claims, freeing adjusters for complex cases.</w:t>
      </w:r>
    </w:p>
    <w:p>
      <w:pPr>
        <w:pStyle w:val="ListParagraph"/>
        <w:numPr>
          <w:ilvl w:val="0"/>
          <w:numId w:val="2"/>
        </w:numPr>
        <w:spacing w:before="40" w:after="40"/>
      </w:pPr>
      <w:r>
        <w:rPr>
          <w:rFonts w:ascii="Arial" w:cs="Arial" w:eastAsia="Arial" w:hAnsi="Arial"/>
          <w:b w:val="false"/>
          <w:bCs w:val="false"/>
          <w:sz w:val="22"/>
          <w:szCs w:val="22"/>
        </w:rPr>
        <w:t xml:space="preserve">Actuarial and underwriting productivity: AI-assisted workflows are expected to handle routine renewals and low-complexity risks, elevating underwriters to strategic decisions.</w:t>
      </w:r>
    </w:p>
    <w:p>
      <w:pPr>
        <w:pStyle w:val="ListParagraph"/>
        <w:numPr>
          <w:ilvl w:val="0"/>
          <w:numId w:val="2"/>
        </w:numPr>
        <w:spacing w:before="40" w:after="40"/>
      </w:pPr>
      <w:r>
        <w:rPr>
          <w:rFonts w:ascii="Arial" w:cs="Arial" w:eastAsia="Arial" w:hAnsi="Arial"/>
          <w:b w:val="false"/>
          <w:bCs w:val="false"/>
          <w:sz w:val="22"/>
          <w:szCs w:val="22"/>
        </w:rPr>
        <w:t xml:space="preserve">Contact center transformation: Health payer and carrier contact centers are moving toward AI-powered support genies for member/policyholder inquiries, reducing handle time by 30–50%.</w:t>
      </w:r>
    </w:p>
    <w:p>
      <w:pPr>
        <w:pStyle w:val="ListParagraph"/>
        <w:numPr>
          <w:ilvl w:val="0"/>
          <w:numId w:val="2"/>
        </w:numPr>
        <w:spacing w:before="40" w:after="40"/>
      </w:pPr>
      <w:r>
        <w:rPr>
          <w:rFonts w:ascii="Arial" w:cs="Arial" w:eastAsia="Arial" w:hAnsi="Arial"/>
          <w:b w:val="false"/>
          <w:bCs w:val="false"/>
          <w:sz w:val="22"/>
          <w:szCs w:val="22"/>
        </w:rPr>
        <w:t xml:space="preserve">IT modernization talent gap: Insurance IT organizations struggle to find integration and automation engineers — low-code platforms are essential to close the gap.</w:t>
      </w:r>
    </w:p>
    <w:p>
      <w:pPr>
        <w:spacing w:before="0" w:after="120"/>
      </w:pPr>
    </w:p>
    <w:p>
      <w:pPr>
        <w:pStyle w:val="Heading2"/>
        <w:spacing w:before="300" w:after="100"/>
      </w:pPr>
      <w:r>
        <w:rPr>
          <w:rFonts w:ascii="Arial" w:cs="Arial" w:eastAsia="Arial" w:hAnsi="Arial"/>
          <w:b/>
          <w:bCs/>
          <w:color w:val="007A7A"/>
          <w:sz w:val="28"/>
          <w:szCs w:val="28"/>
        </w:rPr>
        <w:t xml:space="preserve">2E. Data &amp; Analytics Trends</w:t>
      </w:r>
    </w:p>
    <w:p>
      <w:pPr>
        <w:pStyle w:val="ListParagraph"/>
        <w:numPr>
          <w:ilvl w:val="0"/>
          <w:numId w:val="2"/>
        </w:numPr>
        <w:spacing w:before="40" w:after="40"/>
      </w:pPr>
      <w:r>
        <w:rPr>
          <w:rFonts w:ascii="Arial" w:cs="Arial" w:eastAsia="Arial" w:hAnsi="Arial"/>
          <w:b w:val="false"/>
          <w:bCs w:val="false"/>
          <w:sz w:val="22"/>
          <w:szCs w:val="22"/>
        </w:rPr>
        <w:t xml:space="preserve">Real-time risk data: Telematics, IoT sensors, weather data, and medical claims feeds require real-time integration pipelines to power underwriting models.</w:t>
      </w:r>
    </w:p>
    <w:p>
      <w:pPr>
        <w:pStyle w:val="ListParagraph"/>
        <w:numPr>
          <w:ilvl w:val="0"/>
          <w:numId w:val="2"/>
        </w:numPr>
        <w:spacing w:before="40" w:after="40"/>
      </w:pPr>
      <w:r>
        <w:rPr>
          <w:rFonts w:ascii="Arial" w:cs="Arial" w:eastAsia="Arial" w:hAnsi="Arial"/>
          <w:b w:val="false"/>
          <w:bCs w:val="false"/>
          <w:sz w:val="22"/>
          <w:szCs w:val="22"/>
        </w:rPr>
        <w:t xml:space="preserve">FHIR data interoperability: Health payers are mandated to share member data via FHIR APIs — creating new integration requirements with provider EHR systems.</w:t>
      </w:r>
    </w:p>
    <w:p>
      <w:pPr>
        <w:pStyle w:val="ListParagraph"/>
        <w:numPr>
          <w:ilvl w:val="0"/>
          <w:numId w:val="2"/>
        </w:numPr>
        <w:spacing w:before="40" w:after="40"/>
      </w:pPr>
      <w:r>
        <w:rPr>
          <w:rFonts w:ascii="Arial" w:cs="Arial" w:eastAsia="Arial" w:hAnsi="Arial"/>
          <w:b w:val="false"/>
          <w:bCs w:val="false"/>
          <w:sz w:val="22"/>
          <w:szCs w:val="22"/>
        </w:rPr>
        <w:t xml:space="preserve">Fraud, Waste &amp; Abuse (FWA) detection: Both P&amp;C and health payers are investing in AI-powered FWA detection — requiring cross-system data aggregation.</w:t>
      </w:r>
    </w:p>
    <w:p>
      <w:pPr>
        <w:pStyle w:val="ListParagraph"/>
        <w:numPr>
          <w:ilvl w:val="0"/>
          <w:numId w:val="2"/>
        </w:numPr>
        <w:spacing w:before="40" w:after="40"/>
      </w:pPr>
      <w:r>
        <w:rPr>
          <w:rFonts w:ascii="Arial" w:cs="Arial" w:eastAsia="Arial" w:hAnsi="Arial"/>
          <w:b w:val="false"/>
          <w:bCs w:val="false"/>
          <w:sz w:val="22"/>
          <w:szCs w:val="22"/>
        </w:rPr>
        <w:t xml:space="preserve">Actuarial data modernization: Replacing spreadsheet-based actuarial workflows with automated data pipelines to Snowflake, improving accuracy and audit trail.</w:t>
      </w:r>
    </w:p>
    <w:p>
      <w:pPr>
        <w:spacing w:before="0" w:after="120"/>
      </w:pPr>
    </w:p>
    <w:p>
      <w:pPr>
        <w:pStyle w:val="Heading2"/>
        <w:spacing w:before="300" w:after="100"/>
      </w:pPr>
      <w:r>
        <w:rPr>
          <w:rFonts w:ascii="Arial" w:cs="Arial" w:eastAsia="Arial" w:hAnsi="Arial"/>
          <w:b/>
          <w:bCs/>
          <w:color w:val="007A7A"/>
          <w:sz w:val="28"/>
          <w:szCs w:val="28"/>
        </w:rPr>
        <w:t xml:space="preserve">2F. Industry-Specific Analyst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Analyst Stats for External Use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McKinsey: AI could generate up to $1.1T in annual value for insurance through underwriting, claims, and distribution automation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Accenture: 73% of insurance executives believe AI will fundamentally transform the industry within 5 years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BCG: 29% of all AI value will be created by agents by 2028 — applies directly to claims and underwriting agent deployment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CMS: Administrative costs represent 25–30% of US health insurance spending — automation is the primary lever to reduce this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KPMG: 68% of insurance CIOs cite legacy system integration as the #1 barrier to digital transformation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Deloitte: Straight-through processing rates for auto claims expected to reach 50%+ by 2026 for leading carriers</w:t>
            </w:r>
          </w:p>
        </w:tc>
      </w:tr>
    </w:tbl>
    <w:p>
      <w:pPr>
        <w:spacing w:before="40" w:after="40"/>
      </w:pPr>
      <w:r>
        <w:rPr>
          <w:rFonts w:ascii="Arial" w:cs="Arial" w:eastAsia="Arial" w:hAnsi="Arial"/>
          <w:color w:val="4B5563"/>
          <w:sz w:val="20"/>
          <w:szCs w:val="20"/>
        </w:rPr>
        <w:t xml:space="preserve">PMM Note: Verify all analyst statistics with source year and methodology before external use. The McKinsey insurance AI figure requires licensing verification. CMS administrative cost figures are publicly available from CMS National Health Expenditure data.</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3: Current AI/Automation/Orchestration Landscape</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3A. Current State of Automation Adoption</w:t>
      </w:r>
    </w:p>
    <w:p>
      <w:pPr>
        <w:spacing w:before="60" w:after="60"/>
      </w:pPr>
      <w:r>
        <w:rPr>
          <w:rFonts w:ascii="Arial" w:cs="Arial" w:eastAsia="Arial" w:hAnsi="Arial"/>
          <w:b w:val="false"/>
          <w:bCs w:val="false"/>
          <w:color w:val="1F2937"/>
          <w:sz w:val="22"/>
          <w:szCs w:val="22"/>
        </w:rPr>
        <w:t xml:space="preserve">Insurance and health payer organizations have invested heavily in first-generation automation — primarily RPA (UiPath, Automation Anywhere) for rules-based task automation within single systems. Claims status checks, eligibility lookups, and data entry bots are common. However, these automations are brittle, siloed, and fail when systems change or when multi-system orchestration is required. The next wave is AI-powered, cross-system orchestration: agentic workflows that can handle FNOL intake, fraud scoring, adjuster assignment, and member communication — end-to-end — without human intervention for routine cases.</w:t>
      </w:r>
    </w:p>
    <w:p>
      <w:pPr>
        <w:spacing w:before="0" w:after="120"/>
      </w:pPr>
    </w:p>
    <w:p>
      <w:pPr>
        <w:pStyle w:val="Heading2"/>
        <w:spacing w:before="300" w:after="100"/>
      </w:pPr>
      <w:r>
        <w:rPr>
          <w:rFonts w:ascii="Arial" w:cs="Arial" w:eastAsia="Arial" w:hAnsi="Arial"/>
          <w:b/>
          <w:bCs/>
          <w:color w:val="007A7A"/>
          <w:sz w:val="28"/>
          <w:szCs w:val="28"/>
        </w:rPr>
        <w:t xml:space="preserve">3B. Existing AI Use Cases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Status / Maturity in Insurance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Fraud detection (claims)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Mature — ML models widely deployed, but not orchestrated to workflow automation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AI-powered document processing (IDP)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Growing — used for claims docs, medical records, invoices; Helia case study active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Chatbots for member/policyholder support</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Widespread but shallow — not orchestrated to back-end claims or policy systems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Predictive underwriting scoring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Early adopter — ML models built but manual handoffs remain in workflow</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Prior authorization automation (health)</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Emerging — CMS mandate driving urgent investment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Straight-through claims processing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state — most carriers at 20–30% STP rate, targeting 50%+</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Agentic AI (multi-step autonomous claims)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Nascent — only early adopters in production</w:t>
            </w:r>
          </w:p>
        </w:tc>
      </w:tr>
    </w:tbl>
    <w:p>
      <w:pPr>
        <w:spacing w:before="0" w:after="120"/>
      </w:pPr>
    </w:p>
    <w:p>
      <w:pPr>
        <w:pStyle w:val="Heading2"/>
        <w:spacing w:before="300" w:after="100"/>
      </w:pPr>
      <w:r>
        <w:rPr>
          <w:rFonts w:ascii="Arial" w:cs="Arial" w:eastAsia="Arial" w:hAnsi="Arial"/>
          <w:b/>
          <w:bCs/>
          <w:color w:val="007A7A"/>
          <w:sz w:val="28"/>
          <w:szCs w:val="28"/>
        </w:rPr>
        <w:t xml:space="preserve">3C. Integration &amp; Orchestration Maturity</w:t>
      </w:r>
    </w:p>
    <w:p>
      <w:pPr>
        <w:pStyle w:val="ListParagraph"/>
        <w:numPr>
          <w:ilvl w:val="0"/>
          <w:numId w:val="2"/>
        </w:numPr>
        <w:spacing w:before="40" w:after="40"/>
      </w:pPr>
      <w:r>
        <w:rPr>
          <w:rFonts w:ascii="Arial" w:cs="Arial" w:eastAsia="Arial" w:hAnsi="Arial"/>
          <w:b w:val="false"/>
          <w:bCs w:val="false"/>
          <w:sz w:val="22"/>
          <w:szCs w:val="22"/>
        </w:rPr>
        <w:t xml:space="preserve">Most carriers operate Guidewire or Duck Creek for policy/claims alongside Salesforce for distribution CRM, Workday for HR, and ServiceNow for ITSM — all connected by point-to-point integrations.</w:t>
      </w:r>
    </w:p>
    <w:p>
      <w:pPr>
        <w:pStyle w:val="ListParagraph"/>
        <w:numPr>
          <w:ilvl w:val="0"/>
          <w:numId w:val="2"/>
        </w:numPr>
        <w:spacing w:before="40" w:after="40"/>
      </w:pPr>
      <w:r>
        <w:rPr>
          <w:rFonts w:ascii="Arial" w:cs="Arial" w:eastAsia="Arial" w:hAnsi="Arial"/>
          <w:b w:val="false"/>
          <w:bCs w:val="false"/>
          <w:sz w:val="22"/>
          <w:szCs w:val="22"/>
        </w:rPr>
        <w:t xml:space="preserve">Health payers operate 20+ systems across claims, eligibility, provider data, care management, and member engagement — with no unified orchestration layer.</w:t>
      </w:r>
    </w:p>
    <w:p>
      <w:pPr>
        <w:pStyle w:val="ListParagraph"/>
        <w:numPr>
          <w:ilvl w:val="0"/>
          <w:numId w:val="2"/>
        </w:numPr>
        <w:spacing w:before="40" w:after="40"/>
      </w:pPr>
      <w:r>
        <w:rPr>
          <w:rFonts w:ascii="Arial" w:cs="Arial" w:eastAsia="Arial" w:hAnsi="Arial"/>
          <w:b w:val="false"/>
          <w:bCs w:val="false"/>
          <w:sz w:val="22"/>
          <w:szCs w:val="22"/>
        </w:rPr>
        <w:t xml:space="preserve">Legacy mainframe claims systems at major health payers create significant integration friction — requiring on-prem agent connectivity that Workato uniquely provides.</w:t>
      </w:r>
    </w:p>
    <w:p>
      <w:pPr>
        <w:pStyle w:val="ListParagraph"/>
        <w:numPr>
          <w:ilvl w:val="0"/>
          <w:numId w:val="2"/>
        </w:numPr>
        <w:spacing w:before="40" w:after="40"/>
      </w:pPr>
      <w:r>
        <w:rPr>
          <w:rFonts w:ascii="Arial" w:cs="Arial" w:eastAsia="Arial" w:hAnsi="Arial"/>
          <w:b w:val="false"/>
          <w:bCs w:val="false"/>
          <w:sz w:val="22"/>
          <w:szCs w:val="22"/>
        </w:rPr>
        <w:t xml:space="preserve">Broker/agent portal integrations are typically custom-built and expensive to maintain — a Workato Embed opportunity for carriers building distribution platforms.</w:t>
      </w:r>
    </w:p>
    <w:p>
      <w:pPr>
        <w:spacing w:before="0" w:after="120"/>
      </w:pPr>
    </w:p>
    <w:p>
      <w:pPr>
        <w:pStyle w:val="Heading2"/>
        <w:spacing w:before="300" w:after="100"/>
      </w:pPr>
      <w:r>
        <w:rPr>
          <w:rFonts w:ascii="Arial" w:cs="Arial" w:eastAsia="Arial" w:hAnsi="Arial"/>
          <w:b/>
          <w:bCs/>
          <w:color w:val="007A7A"/>
          <w:sz w:val="28"/>
          <w:szCs w:val="28"/>
        </w:rPr>
        <w:t xml:space="preserve">3D. Enterprise MCP Readiness in Insurance</w:t>
      </w:r>
    </w:p>
    <w:p>
      <w:pPr>
        <w:spacing w:before="60" w:after="60"/>
      </w:pPr>
      <w:r>
        <w:rPr>
          <w:rFonts w:ascii="Arial" w:cs="Arial" w:eastAsia="Arial" w:hAnsi="Arial"/>
          <w:b w:val="false"/>
          <w:bCs w:val="false"/>
          <w:color w:val="1F2937"/>
          <w:sz w:val="22"/>
          <w:szCs w:val="22"/>
        </w:rPr>
        <w:t xml:space="preserve">Insurance and health payer organizations face a higher bar for AI governance than almost any other industry. Regulated entities cannot deploy autonomous AI agents without complete audit trails, role-based access controls, and human-in-the-loop checkpoints for consequential decisions (claim denials, underwriting decisions, prior authorization). Workato’s Enterprise MCP is precisely the trust layer that makes agentic AI safe to deploy in insurance — providing governed, auditable access for AI agents across 1,200+ enterprise apps.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Enterprise MCP Value in Insurance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Turn claims workflows into secure MCP servers — give AI agents governed access to Guidewire, Duck Creek, and 1,200+ insurance apps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Human-in-the-loop approvals for claim denials, prior authorization decisions, and high-value settlements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Complete audit trail for every AI action — critical for regulatory examiners and E&amp;O (errors &amp; omissions) defense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SOC 2, HIPAA, and GDPR compliance controls built into every agentic workflow</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Enterprise skills accelerate FNOL intake, IDP for claims documents, prior authorization, and regulatory reporting</w:t>
            </w:r>
          </w:p>
        </w:tc>
      </w:tr>
    </w:tbl>
    <w:p>
      <w:pPr>
        <w:spacing w:before="0" w:after="120"/>
      </w:pPr>
    </w:p>
    <w:p>
      <w:pPr>
        <w:pStyle w:val="Heading2"/>
        <w:spacing w:before="300" w:after="100"/>
      </w:pPr>
      <w:r>
        <w:rPr>
          <w:rFonts w:ascii="Arial" w:cs="Arial" w:eastAsia="Arial" w:hAnsi="Arial"/>
          <w:b/>
          <w:bCs/>
          <w:color w:val="007A7A"/>
          <w:sz w:val="28"/>
          <w:szCs w:val="28"/>
        </w:rPr>
        <w:t xml:space="preserve">3E. Barriers to Adoption</w:t>
      </w:r>
    </w:p>
    <w:p>
      <w:pPr>
        <w:pStyle w:val="ListParagraph"/>
        <w:numPr>
          <w:ilvl w:val="0"/>
          <w:numId w:val="2"/>
        </w:numPr>
        <w:spacing w:before="40" w:after="40"/>
      </w:pPr>
      <w:r>
        <w:rPr>
          <w:rFonts w:ascii="Arial" w:cs="Arial" w:eastAsia="Arial" w:hAnsi="Arial"/>
          <w:b w:val="false"/>
          <w:bCs w:val="false"/>
          <w:sz w:val="22"/>
          <w:szCs w:val="22"/>
        </w:rPr>
        <w:t xml:space="preserve">Mainframe legacy systems: Many health payers and large P&amp;C carriers run claims on IBM mainframes — requiring on-prem agent connectivity.</w:t>
      </w:r>
    </w:p>
    <w:p>
      <w:pPr>
        <w:pStyle w:val="ListParagraph"/>
        <w:numPr>
          <w:ilvl w:val="0"/>
          <w:numId w:val="2"/>
        </w:numPr>
        <w:spacing w:before="40" w:after="40"/>
      </w:pPr>
      <w:r>
        <w:rPr>
          <w:rFonts w:ascii="Arial" w:cs="Arial" w:eastAsia="Arial" w:hAnsi="Arial"/>
          <w:b w:val="false"/>
          <w:bCs w:val="false"/>
          <w:sz w:val="22"/>
          <w:szCs w:val="22"/>
        </w:rPr>
        <w:t xml:space="preserve">HIPAA and data privacy: Any automation touching PHI (Protected Health Information) must be HIPAA-compliant — Workato’s certifications remove this barrier.</w:t>
      </w:r>
    </w:p>
    <w:p>
      <w:pPr>
        <w:pStyle w:val="ListParagraph"/>
        <w:numPr>
          <w:ilvl w:val="0"/>
          <w:numId w:val="2"/>
        </w:numPr>
        <w:spacing w:before="40" w:after="40"/>
      </w:pPr>
      <w:r>
        <w:rPr>
          <w:rFonts w:ascii="Arial" w:cs="Arial" w:eastAsia="Arial" w:hAnsi="Arial"/>
          <w:b w:val="false"/>
          <w:bCs w:val="false"/>
          <w:sz w:val="22"/>
          <w:szCs w:val="22"/>
        </w:rPr>
        <w:t xml:space="preserve">Regulatory approval cycles: Insurance products and processes often require state regulatory approval before implementation — build compliance documentation into automation design.</w:t>
      </w:r>
    </w:p>
    <w:p>
      <w:pPr>
        <w:pStyle w:val="ListParagraph"/>
        <w:numPr>
          <w:ilvl w:val="0"/>
          <w:numId w:val="2"/>
        </w:numPr>
        <w:spacing w:before="40" w:after="40"/>
      </w:pPr>
      <w:r>
        <w:rPr>
          <w:rFonts w:ascii="Arial" w:cs="Arial" w:eastAsia="Arial" w:hAnsi="Arial"/>
          <w:b w:val="false"/>
          <w:bCs w:val="false"/>
          <w:sz w:val="22"/>
          <w:szCs w:val="22"/>
        </w:rPr>
        <w:t xml:space="preserve">Incumbent RPA vendors: UiPath and Automation Anywhere have deep roots in insurance operations — displacement requires demonstrating superior ROI on orchestration vs. point automation.</w:t>
      </w:r>
    </w:p>
    <w:p>
      <w:pPr>
        <w:pStyle w:val="ListParagraph"/>
        <w:numPr>
          <w:ilvl w:val="0"/>
          <w:numId w:val="2"/>
        </w:numPr>
        <w:spacing w:before="40" w:after="40"/>
      </w:pPr>
      <w:r>
        <w:rPr>
          <w:rFonts w:ascii="Arial" w:cs="Arial" w:eastAsia="Arial" w:hAnsi="Arial"/>
          <w:b w:val="false"/>
          <w:bCs w:val="false"/>
          <w:sz w:val="22"/>
          <w:szCs w:val="22"/>
        </w:rPr>
        <w:t xml:space="preserve">Risk aversion culture: Insurance organizations are inherently risk-averse — proof of concept and sandbox environments are critical to accelerate adoption.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4: Target Personas</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Personas: The following personas span both sub-verticals. Where behavior, pain points, or desired outcomes differ meaningfully between P&amp;C/Life and Health Payers, this is noted inline. Sub-vertical persona expansions should be developed as appendices for sales tool and battlecard development.</w:t>
      </w:r>
    </w:p>
    <w:p>
      <w:pPr>
        <w:spacing w:before="0" w:after="120"/>
      </w:pPr>
    </w:p>
    <w:p>
      <w:pPr>
        <w:pStyle w:val="Heading2"/>
        <w:spacing w:before="300" w:after="100"/>
      </w:pPr>
      <w:r>
        <w:rPr>
          <w:rFonts w:ascii="Arial" w:cs="Arial" w:eastAsia="Arial" w:hAnsi="Arial"/>
          <w:b/>
          <w:bCs/>
          <w:color w:val="007A7A"/>
          <w:sz w:val="28"/>
          <w:szCs w:val="28"/>
        </w:rPr>
        <w:t xml:space="preserve">4A. Primary Buyer Personas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1: CIO / VP of IT (Primary Economic Buyer)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Both sub-verticals — decision-maker at regional carriers and health plans; influencer at nationals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Risk Reduction,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Legacy PAS/claims system integration costs; inability to deploy AI safely at scale; developer capacity constraints; upgrade downtime during peak claims periods (CAT season, open enrollment)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Failed digital transformation programs; technical debt growing faster than it can be addressed; competitive disadvantage vs. InsurTech disruptors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Single platform for integration + orchestration + agentic AI; AI-ready infrastructure; zero-downtime upgrades; 40% reduction in integration TCO</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HIPAA compliance; SOC 2 Type II; on-prem agent for mainframe/legacy systems; global data residency; 24/7 support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Enterprise Security, Zero Downtime Upgrades) + SPEED (Fast Build) + SCALE (OrCA, Governance)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2: VP / Director of Claims Operations (Champion — P&amp;C)</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P&amp;C / Life / Specialty carriers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Efficiency &amp; OrCA, Enterprise Agility, Revenue Growth</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High cost-per-claim from manual touchpoints; adjuster capacity constraints during CAT events; slow FNOL-to-settlement cycle times; inability to scale during peak periods without headcount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Customer satisfaction scores decline when claims cycle times exceed expectations; expense ratio creep from manual claims handling; fraud slipping through without real-time data orchestration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50%+ straight-through processing rate; AI-powered FNOL intake and triage; auto-scaling claims capacity during CAT events without staff increases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IDP for claims documents (photos, repair estimates, medical bills); FNOL orchestration across mobile, web, and agent channels; Guidewire/Duck Creek integration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(Agentic AI for claims automation, IDP) + SPEED (Cloud Native Autoscaling for CAT volume spikes) + SCALE (OrCA handles transaction volume surges)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3: VP of Member Experience / Chief Experience Officer (Champion — Health Payers)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Health insurance payers — commercial, Medicare Advantage, Medicaid MCOs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Revenue Growth, Enterprise Agility,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Member satisfaction scores (CAHPS) below target; high call center volume for routine inquiries (claims status, benefits, prior authorization status); low Star Ratings impacting Medicare Advantage bid premiums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Star Rating decline costs $XXM in CMS quality bonus payments; high contact center cost per interaction; member churn from poor digital experience</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AI-powered member support genie handling 60%+ of inquiries without agent intervention; proactive care gap outreach; personalized benefits communication across channels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CX Genie + Support Genie; integration across claims, eligibility, PBM, and care management systems; HIPAA-compliant data handling</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(Agentic AI Genies for member support) + SPEED (Connectivity to major health plan platforms) + SCALE (High-volume member interaction handling)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4: Head of Underwriting Operations / Chief Underwriting Officer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P&amp;C (primary), Life &amp; Specialty, Health Payers (actuarial equivalent)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Risk Reduction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underwriting touchpoints on routine renewals consuming underwriter capacity; data aggregation from multiple sources (credit, telematics, weather, claims history) is manual and slow</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straight-through processing for low-complexity risks; real-time data feeds powering underwriting models; underwriters focused on complex/specialty risks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API connectivity to data providers (LexisNexis, Verisk, ISO, credit bureaus); integration with rating engines and PAS; IDP for submission documents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for data orchestration) + SPEED (Extensive connectivity to insurance data providers and PAS systems)</w:t>
            </w:r>
          </w:p>
        </w:tc>
      </w:tr>
    </w:tbl>
    <w:p>
      <w:pPr>
        <w:spacing w:before="0" w:after="120"/>
      </w:pPr>
    </w:p>
    <w:p>
      <w:pPr>
        <w:pStyle w:val="Heading2"/>
        <w:spacing w:before="300" w:after="100"/>
      </w:pPr>
      <w:r>
        <w:rPr>
          <w:rFonts w:ascii="Arial" w:cs="Arial" w:eastAsia="Arial" w:hAnsi="Arial"/>
          <w:b/>
          <w:bCs/>
          <w:color w:val="007A7A"/>
          <w:sz w:val="28"/>
          <w:szCs w:val="28"/>
        </w:rPr>
        <w:t xml:space="preserve">4B. Secondary Personas (Influencers / Users)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5: Chief Compliance Officer / Chief Risk Officer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Both sub-verticals — particularly critical in health payers (HIPAA, CMS) and surplus lines (Lloyd’s standards)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regulatory filing processes; inability to demonstrate AI governance to state examiners; HIPAA PHI handling in automated workflows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regulatory reporting with complete audit trails; AI governance controls for every automated decision; HIPAA-compliant orchestration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Security, Human-in-the-Loop, Audit Trails) + SCALE (Governance at enterprise scale across all automated workflows)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6: Head of Provider Relations / Network Management (Health Payers)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Health insurance payers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Provider directory accuracy compliance (CMS mandates); manual credentialing processes taking weeks; provider contract data siloed from claims and care management systems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provider credentialing and directory update workflows; real-time provider data synchronization across systems; CMS directory accuracy compliance automation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(Fast Build &amp; Delivery for provider data workflows) + POWER (Agentic AI for credentialing data validation)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7: Head of Distribution / Agency Operations (P&amp;C Carriers)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P&amp;C / Life / Specialty carriers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Broker and agent portals requiring manual data entry; slow quote-to-bind cycles; inconsistent data between agency management systems (AMS360, Epic, Applied) and carrier PAS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API-based quoting and binding for distribution partners; real-time policy data sync between carrier PAS and agency management systems; self-service broker portal</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(Extensive Connectivity) + POWER (Workato Embed for building integration products for distribution partners)</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5: High-Potential AI &amp; Automation Use Cases</w:t>
      </w:r>
    </w:p>
    <w:p>
      <w:pPr>
        <w:pBdr>
          <w:bottom w:val="single" w:color="00B4B4" w:sz="6" w:space="1"/>
        </w:pBdr>
        <w:spacing w:before="80" w:after="80"/>
      </w:pP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Use Case Framework: Chapter 5 is organized by the three use case categories aligned to the Workato Insurance web page framework. For each category, specific applications for both P&amp;C/Life/Specialty and Health Insurance Payers are detailed. For target accounts, complete the full Current State → Negative Effects → Desired State → Business Outcomes → Workato Capability → Metrics structure. WSS Value Driver tags are noted inline.</w:t>
      </w:r>
    </w:p>
    <w:p>
      <w:pPr>
        <w:spacing w:before="0" w:after="120"/>
      </w:pPr>
    </w:p>
    <w:p>
      <w:pPr>
        <w:pStyle w:val="Heading2"/>
        <w:spacing w:before="300" w:after="100"/>
      </w:pPr>
      <w:r>
        <w:rPr>
          <w:rFonts w:ascii="Arial" w:cs="Arial" w:eastAsia="Arial" w:hAnsi="Arial"/>
          <w:b/>
          <w:bCs/>
          <w:color w:val="007A7A"/>
          <w:sz w:val="28"/>
          <w:szCs w:val="28"/>
        </w:rPr>
        <w:t xml:space="preserve">5A. Claims Processing Automation</w:t>
      </w:r>
    </w:p>
    <w:p>
      <w:pPr>
        <w:spacing w:before="60" w:after="60"/>
      </w:pPr>
      <w:r>
        <w:rPr>
          <w:rFonts w:ascii="Arial" w:cs="Arial" w:eastAsia="Arial" w:hAnsi="Arial"/>
          <w:b w:val="false"/>
          <w:bCs w:val="false"/>
          <w:color w:val="1F2937"/>
          <w:sz w:val="22"/>
          <w:szCs w:val="22"/>
        </w:rPr>
        <w:t xml:space="preserve">The highest-ROI automation category in insurance. Claims processing represents the core operational moment of truth for policyholders and members — and the highest per-transaction cost for carriers and health plans.</w:t>
      </w:r>
    </w:p>
    <w:p>
      <w:pPr>
        <w:spacing w:before="0" w:after="60"/>
      </w:pPr>
    </w:p>
    <w:p>
      <w:pPr>
        <w:pStyle w:val="Heading3"/>
        <w:spacing w:before="200" w:after="80"/>
      </w:pPr>
      <w:r>
        <w:rPr>
          <w:rFonts w:ascii="Arial" w:cs="Arial" w:eastAsia="Arial" w:hAnsi="Arial"/>
          <w:b/>
          <w:bCs/>
          <w:color w:val="1F2937"/>
          <w:sz w:val="24"/>
          <w:szCs w:val="24"/>
        </w:rPr>
        <w:t xml:space="preserve">P&amp;C / Life / Specialty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FNOL Intake &amp; Intelligent Claims Routing [WSS: Enterprise Agility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Multi-channel FNOL (phone, mobile app, web, agent) with manual routing to adjusters; 2–5 day acknowledgment cycles; adjuster capacity wasted on routine intake triage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Negative Effects: Poor CSAT; adjuster capacity consumed by intake rather than resolution; fraud window open during slow manual review</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AI-powered FNOL intake routes claim to correct adjuster or straight-through-processing track within minutes; IDP extracts data from submitted photos and documents automatically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60–70% reduction in FNOL-to-acknowledgment time; 30–40% increase in straight-through processing rate; adjuster productivity improvement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 IDP Genie orchestrates across Guidewire ClaimCenter / Duck Creek Claims, CRM, adjuster assignment systems, and multi-channel communication platforms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FNOL-to-acknowledgment time, STP rate, CSAT score, cost-per-claim, adjuster throughput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AI-Powered Document Processing (IDP) for Claims [WSS: Efficiency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Claims documents (photos, repair estimates, medical bills, police reports, property inspection reports) arrive in unstructured formats and require manual data extraction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IDP Genie extracts structured data from all claim document types automatically; data validated and loaded to ClaimCenter without manual touchpoints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Helia (insurance) — invoice processing automation achieved 4x more developers available and 35% time savings using AWS Bedrock / Anthropic Claude LLM for document extraction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IDP via AWS Bedrock / Anthropic Claude LLM; Workato orchestrates extraction workflow and loads validated data to Guidewire / Duck Creek / SAP</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Document processing time, extraction accuracy rate, manual touchpoints per claim, cost per document processed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Fraud Detection Orchestration — Real-Time Alert to Action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Fraud scoring models run in isolation; alerts not connected to claims workflow for real-time hold actions or SIU case creation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fraud signal ingestion triggers automated claim hold, SIU case assignment, and claimant notification within the claims workflow; human-in-the-loop for high-value decisions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orchestrates fraud data feeds with ClaimCenter; human-in-the-loop approvals for consequential actions; audit trail for every decision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Fraud detection rate, time from alert to action (days → minutes), false positive rate, SIU referral accuracy</w:t>
            </w:r>
          </w:p>
        </w:tc>
      </w:tr>
    </w:tbl>
    <w:p>
      <w:pPr>
        <w:spacing w:before="0" w:after="120"/>
      </w:pPr>
    </w:p>
    <w:p>
      <w:pPr>
        <w:pStyle w:val="Heading3"/>
        <w:spacing w:before="200" w:after="80"/>
      </w:pPr>
      <w:r>
        <w:rPr>
          <w:rFonts w:ascii="Arial" w:cs="Arial" w:eastAsia="Arial" w:hAnsi="Arial"/>
          <w:b/>
          <w:bCs/>
          <w:color w:val="1F2937"/>
          <w:sz w:val="24"/>
          <w:szCs w:val="24"/>
        </w:rPr>
        <w:t xml:space="preserve">Health Insurance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Claims Adjudication Automation — AI-Assisted Auto-Adjudication [WSS: Efficiency +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Claims processors manually review routine claims against benefit rules; cost-per-claim averaging $6–12 for manually adjudicated claims; high volume creates backlog during peak enrollment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80%+ auto-adjudication rate for routine claims; AI-assisted review flags exceptions for human review; manual effort reserved for complex/high-dollar claims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Claims system orchestration across HealthEdge / FACETS / QNXT + clinical decision support + benefit configuration systems; OrCA handles open enrollment volume spikes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Auto-adjudication rate, cost-per-claim, claims backlog, pended claim cycle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Prior Authorization Automation — CMS Mandate Compliance [WSS: Enterprise Agility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70% of PA requests processed manually; average 3–5 business days for decisions; CMS FHIR-based prior authorization mandate requires API-based PA infrastructure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Negative Effects: Provider abrasion; administrative cost averaging $11 per PA request (CAQH); member care delays impacting Star Ratings and HEDIS outcomes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AI-assisted PA workflow with automated clinical criteria checking; real-time status via FHIR API; human review only for complex/exception cases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80% auto-adjudication rate for routine PA; $8–10 savings per automated PA vs. manual; CMS compliance achieved</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 clinical rules orchestration across core claims, clinical decision support, and FHIR gateway; human-in-the-loop for exception cases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PA auto-adjudication rate, average decision time (days → hours), cost per PA, provider satisfaction, FHIR API compliance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Fraud, Waste &amp; Abuse (FWA) Detection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FWA analytics models identify anomalous billing patterns but alerts are not connected to claims workflow; investigation assignment is manual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FWA signal triggers payment hold, investigation case creation, and provider notification within the claims workflow; complete audit trail for recovery proceedings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SAS / Cotiviti / Optum Insight FWA analytics connectivity; Enterprise MCP orchestrates detection alerts to claims + case management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FWA detection rate, recovery amount per investigation, false positive rate, investigation cycle time</w:t>
            </w:r>
          </w:p>
        </w:tc>
      </w:tr>
    </w:tbl>
    <w:p>
      <w:pPr>
        <w:spacing w:before="0" w:after="120"/>
      </w:pPr>
    </w:p>
    <w:p>
      <w:pPr>
        <w:pStyle w:val="Heading2"/>
        <w:spacing w:before="300" w:after="100"/>
      </w:pPr>
      <w:r>
        <w:rPr>
          <w:rFonts w:ascii="Arial" w:cs="Arial" w:eastAsia="Arial" w:hAnsi="Arial"/>
          <w:b/>
          <w:bCs/>
          <w:color w:val="007A7A"/>
          <w:sz w:val="28"/>
          <w:szCs w:val="28"/>
        </w:rPr>
        <w:t xml:space="preserve">5B. Policy Administration &amp; Underwriting</w:t>
      </w:r>
    </w:p>
    <w:p>
      <w:pPr>
        <w:spacing w:before="60" w:after="60"/>
      </w:pPr>
      <w:r>
        <w:rPr>
          <w:rFonts w:ascii="Arial" w:cs="Arial" w:eastAsia="Arial" w:hAnsi="Arial"/>
          <w:b w:val="false"/>
          <w:bCs w:val="false"/>
          <w:color w:val="1F2937"/>
          <w:sz w:val="22"/>
          <w:szCs w:val="22"/>
        </w:rPr>
        <w:t xml:space="preserve">Modernizing the policy lifecycle from quote to renewal — and deploying AI to improve underwriting accuracy, speed, and profitability across lines of business.</w:t>
      </w:r>
    </w:p>
    <w:p>
      <w:pPr>
        <w:spacing w:before="0" w:after="60"/>
      </w:pPr>
    </w:p>
    <w:p>
      <w:pPr>
        <w:pStyle w:val="Heading3"/>
        <w:spacing w:before="200" w:after="80"/>
      </w:pPr>
      <w:r>
        <w:rPr>
          <w:rFonts w:ascii="Arial" w:cs="Arial" w:eastAsia="Arial" w:hAnsi="Arial"/>
          <w:b/>
          <w:bCs/>
          <w:color w:val="1F2937"/>
          <w:sz w:val="24"/>
          <w:szCs w:val="24"/>
        </w:rPr>
        <w:t xml:space="preserve">P&amp;C / Life / Specialty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Policy Administration System (PAS) Migration &amp; Modernization [WSS: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Carrier migrating from legacy PAS (COBOL / Majesco legacy) to Guidewire or Duck Creek — data migration, parallel run, and cutover are manually intensive and error-prone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Workato as the migration orchestration layer; real-time data sync between legacy and new PAS during parallel run; automated testing and data reconciliation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On-prem agent connects legacy PAS cores; pre-built Guidewire and Duck Creek connectors; data transformation and reconciliation recipes built by IT and ops teams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Migration timeline acceleration, data fidelity score, manual interventions during parallel run, post-migration integration maintenance cost reduction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Quote-to-Bind Workflow Automation [WSS: Enterprise Agility +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Quote generation requires manual data gathering from rating engines, risk data providers, and underwriting systems; bind process involves multiple manual approvals and document generation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End-to-end quote-to-bind orchestration: submission intake → risk data enrichment → rating → quote delivery → bind → policy issuance — all automated for standard risks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Connectivity to Verisk, ISO, LexisNexis, credit bureaus + Guidewire / Duck Creek PAS + DocuSign for policy documents; IDP for submission documents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Quote-to-bind cycle time, submission-to-quote time, underwriter touchpoints per policy, new business written premium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Policy Renewal Automation &amp; Retention Orchestration [WSS: Revenue Growth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Renewal outreach is calendar-triggered and generic; no real-time data on life events (home purchase, vehicle change, business expansion) signaling cross-sell opportunity or retention risk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AI-powered renewal and cross-sell orchestration triggered by life events, claims history, and propensity models; personalized retention outreach via preferred channel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CX Genie + MCP orchestrates across PAS, CRM, and marketing automation; OrCA scales with policyholder volume at renewal season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Renewal retention rate, cross-sell conversion rate, policy-in-force growth, marketing outreach cost per policy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Regulatory Reporting &amp; Rate Filing Automation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Rate and form filings, financial statements, and market conduct responses assembled manually from PAS, claims, and finance systems; error-prone and time-consuming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data aggregation from connected systems; report generation and filing submission with version control and complete audit trail; state filing deadlines never missed</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Fast Build &amp; Delivery + Connectivity across Guidewire / Duck Creek PAS, claims, finance, and data warehouse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Filing cycle time, regulatory error rate, filing deadline compliance rate, examiner response time</w:t>
            </w:r>
          </w:p>
        </w:tc>
      </w:tr>
    </w:tbl>
    <w:p>
      <w:pPr>
        <w:spacing w:before="0" w:after="120"/>
      </w:pPr>
    </w:p>
    <w:p>
      <w:pPr>
        <w:pStyle w:val="Heading3"/>
        <w:spacing w:before="200" w:after="80"/>
      </w:pPr>
      <w:r>
        <w:rPr>
          <w:rFonts w:ascii="Arial" w:cs="Arial" w:eastAsia="Arial" w:hAnsi="Arial"/>
          <w:b/>
          <w:bCs/>
          <w:color w:val="1F2937"/>
          <w:sz w:val="24"/>
          <w:szCs w:val="24"/>
        </w:rPr>
        <w:t xml:space="preserve">Health Insurance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Member Onboarding &amp; Eligibility Orchestration [WSS: Efficiency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New member enrollment triggers manual eligibility loading across 8–10 systems (claims, PBM, dental, vision, care management); 3–5 day activation cycle; errors create claim denials downstream</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eligibility orchestration across all systems within hours of enrollment confirmation; member ID card and welcome kit triggered automatically; zero eligibility errors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Federated Model allows enrollment, IT, and ops teams to own their workflow segments; OrCA handles open enrollment volume spikes (10–50x normal volume)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Member activation time (days → hours), eligibility error rate, open enrollment FTE requirements, downstream claim denial rate from eligibility issues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Star Ratings &amp; HEDIS Improvement — Care Gap Closure [WSS: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Care gap identification relies on retrospective claims analysis; outreach is batch-processed and often reaches members too late to close gaps before measurement period ends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care gap identification from claims + clinical data feeds; automated outreach via member’s preferred channel triggering provider scheduling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Each 0.5-star improvement in Medicare Advantage Star Rating can represent significant CMS quality bonus payments for large plans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orchestrates across claims, EHR integration (FHIR), care management, and member communication platforms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Care gap closure rate, Star Rating improvement (stars), CMS quality bonus revenue impact, member engagement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Premium Reconciliation &amp; Benefits Administration [WSS: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Monthly premium reconciliation between enrollment systems, employer billing systems, and general ledger is manual and error-prone; benefits configuration changes require manual updates across multiple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premium reconciliation with exception flagging; benefits configuration changes cascade automatically across PBM, dental, vision, and claims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OrCA consumption-based pricing handles month-end spike volume; Agentic AI Genies for exception review and reconciliation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Reconciliation accuracy rate, month-end close time, billing error rate, benefits configuration update cycle time</w:t>
            </w:r>
          </w:p>
        </w:tc>
      </w:tr>
    </w:tbl>
    <w:p>
      <w:pPr>
        <w:spacing w:before="0" w:after="120"/>
      </w:pPr>
    </w:p>
    <w:p>
      <w:pPr>
        <w:pStyle w:val="Heading2"/>
        <w:spacing w:before="300" w:after="100"/>
      </w:pPr>
      <w:r>
        <w:rPr>
          <w:rFonts w:ascii="Arial" w:cs="Arial" w:eastAsia="Arial" w:hAnsi="Arial"/>
          <w:b/>
          <w:bCs/>
          <w:color w:val="007A7A"/>
          <w:sz w:val="28"/>
          <w:szCs w:val="28"/>
        </w:rPr>
        <w:t xml:space="preserve">5C. Broker &amp; Agent Ecosystem Enablement (Embed)</w:t>
      </w:r>
    </w:p>
    <w:p>
      <w:pPr>
        <w:spacing w:before="60" w:after="60"/>
      </w:pPr>
      <w:r>
        <w:rPr>
          <w:rFonts w:ascii="Arial" w:cs="Arial" w:eastAsia="Arial" w:hAnsi="Arial"/>
          <w:b w:val="false"/>
          <w:bCs w:val="false"/>
          <w:color w:val="1F2937"/>
          <w:sz w:val="22"/>
          <w:szCs w:val="22"/>
        </w:rPr>
        <w:t xml:space="preserve">Empowering distribution partners with real-time data access, API-based quoting and binding, and seamless integration between carrier systems and agency platforms — a key revenue growth and competitive differentiation opportunity.</w:t>
      </w:r>
    </w:p>
    <w:p>
      <w:pPr>
        <w:spacing w:before="0" w:after="60"/>
      </w:pPr>
    </w:p>
    <w:p>
      <w:pPr>
        <w:pStyle w:val="Heading3"/>
        <w:spacing w:before="200" w:after="80"/>
      </w:pPr>
      <w:r>
        <w:rPr>
          <w:rFonts w:ascii="Arial" w:cs="Arial" w:eastAsia="Arial" w:hAnsi="Arial"/>
          <w:b/>
          <w:bCs/>
          <w:color w:val="1F2937"/>
          <w:sz w:val="24"/>
          <w:szCs w:val="24"/>
        </w:rPr>
        <w:t xml:space="preserve">P&amp;C / Life / Specialty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API-Based Quoting &amp; Binding for Distribution Partners [WSS: Revenue Growth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Broker portals require manual data entry; quote cycle involves multiple system logins; binding process requires carrier IT involvement for each new distribution partner API integration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API-based quoting and binding that brokers can access via their own AMS or portal; new distribution partners onboarded in days, not months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Workato Embed enables carriers to build integration capabilities into their distribution platform; AMS360, Epic, and Applied connectivity for broker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Quote-to-bind cycle time, new distribution partner onboarding time, broker portal adoption rate, embedded premium volume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Agency Management System (AMS) Bidirectional Sync [WSS: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Policy data in carrier PAS and broker AMS (AMS360, Epic, Applied) requires manual reconciliation; commission statements and policy endorsements sent via email/portal with version control issues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bidirectional sync between carrier PAS and broker AMS; commission calculations automated and posted to both systems within 24 hours of policy event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Guidewire / Duck Creek PAS + AMS360 / Epic / Applied connectivity; automated commission calculation and distribution workflow</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AMS-to-PAS data accuracy rate, commission reconciliation error rate, broker service call volume reduction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Embedded Insurance Distribution — New Channels &amp; BaaS [WSS: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Distributing insurance through embedded channels (e-commerce checkouts, auto dealerships, mortgage lenders, travel platforms) requires custom API development and ongoing maintenance for each channel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Workato Embed enables carriers and MGAs to build and deploy standardized API-based quoting, binding, and servicing for distribution partners without recurring custom development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Workato Embed — insurers build integration capabilities into their embedded insurance platform once and deploy across multiple distribution channels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New embedded channel time-to-live, embedded premium volume, integration maintenance cost per channel, partner satisfaction score</w:t>
            </w:r>
          </w:p>
        </w:tc>
      </w:tr>
    </w:tbl>
    <w:p>
      <w:pPr>
        <w:spacing w:before="0" w:after="120"/>
      </w:pPr>
    </w:p>
    <w:p>
      <w:pPr>
        <w:pStyle w:val="Heading3"/>
        <w:spacing w:before="200" w:after="80"/>
      </w:pPr>
      <w:r>
        <w:rPr>
          <w:rFonts w:ascii="Arial" w:cs="Arial" w:eastAsia="Arial" w:hAnsi="Arial"/>
          <w:b/>
          <w:bCs/>
          <w:color w:val="1F2937"/>
          <w:sz w:val="24"/>
          <w:szCs w:val="24"/>
        </w:rPr>
        <w:t xml:space="preserve">Health Insurance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Provider Data Management &amp; Credentialing Automation [WSS: Risk Reduction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Provider directory accuracy is a CMS compliance mandate; credentialing workflows are manual and take 60–90 days; directory inaccuracies result in member complaints and CMS penalties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provider credentialing workflow with CAQH integration; real-time directory updates propagated across all member-facing and claims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CAQH ProView + claims system + provider portal connectivity; automated credentialing status tracking and directory update orchestration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Credentialing cycle time (60 days → 30 days), directory accuracy rate (CMS compliance), provider satisfaction score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Broker / Employer Group Onboarding &amp; Portal Integration [WSS: Revenue Growth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Employer group enrollment and benefit configuration involves manual data exchange between broker, employer HR system, and health plan — open enrollment creates significant ops burden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API-based employer group portal with real-time eligibility feeds from HR systems (Workday, ADP, UKG); broker can manage enrollment changes without health plan IT involvement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Workday, ADP, and UKG HR system connectivity; automated eligibility file processing and portal integration; Workato Embed for broker self-service portal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Open enrollment processing time, eligibility error rate, broker support ticket volume, employer group self-service adoption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Member Self-Service &amp; Digital Engagement Orchestration [WSS: Revenue Growth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Member-facing digital touchpoints (app, portal, chatbot) are disconnected from claims, eligibility, and care management systems; members get inconsistent information across channels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Single orchestration layer connects member-facing channels to all backend systems; AI-powered member support genie resolves 60%+ of inquiries without agent intervention; proactive care reminders triggered by claims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CX Genie + Support Genie + Enterprise MCP gives AI agents governed, HIPAA-compliant access to member records, claims, benefits, and PBM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Member inquiry deflection rate, digital self-service adoption, CAHPS satisfaction score, proactive outreach engagement rate</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6: Technology Ecosystem Overview</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6A. Core Systems of Record by Sub-Vertical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System Category</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P&amp;C / Life / Specialty</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Health Insurance Payers</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Policy Admin / Core</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Guidewire PolicyCenter, Duck Creek Policy, Majesco, Sapiens, Applied Epic, AMS360</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HealthEdge (HealthRules Payor), FACETS, TriZetto/Cognizant, Inovalon, Magellan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Claims Management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Guidewire ClaimCenter, Duck Creek Claims, Majesco Claims, Colossus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QNXT, HealthEdge ClaimCenter, Emdeon, McKesson (legacy), EPIC (hospital side)</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CRM / Distribution</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Salesforce FSC, Microsoft Dynamics, Salesforce Health Cloud</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Salesforce Health Cloud, Microsoft Dynamics, Veeva (specialty)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ERP / Finance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Oracle, SAP, NetSuite, Workday Financials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Oracle, SAP, Infor, Workday Financials</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HR / Payroll</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Workday, ADP, UKG</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Workday, ADP, Kronos/UKG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ITSM</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ServiceNow, Jira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ServiceNow, Jira, Zendesk</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Data Warehouse</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Snowflake, Databricks, Azure Synapse</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Snowflake, Databricks, AWS Redshift, Cloudera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 / IDP</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DocuSign, Adobe Sign, Kofax, ABBYY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DocuSign, Nuance, Kofax, Olive AI</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Fraud &amp; Risk Analytics</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Verisk, ISO, SAS Fraud, LexisNexis</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SAS, Cotiviti, Optum Insight, Gainwell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Care Management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Arcadian, Health Catalyst, Privia, Salesforce Health Cloud</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Pharmacy (PBM)</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N/A</w:t>
            </w:r>
          </w:p>
        </w:tc>
        <w:tc>
          <w:tcPr>
            <w:tcW w:type="dxa" w:w="343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9"/>
                <w:szCs w:val="19"/>
              </w:rPr>
              <w:t xml:space="preserve">Express Scripts/Evernorth, CVS Caremark, OptumRx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Eligibility / EDI</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Availity, Change Healthcare (Optum), Emdeon, EDI clearinghouses</w:t>
            </w:r>
          </w:p>
        </w:tc>
      </w:tr>
    </w:tbl>
    <w:p>
      <w:pPr>
        <w:spacing w:before="0" w:after="120"/>
      </w:pPr>
    </w:p>
    <w:p>
      <w:pPr>
        <w:pStyle w:val="Heading2"/>
        <w:spacing w:before="300" w:after="100"/>
      </w:pPr>
      <w:r>
        <w:rPr>
          <w:rFonts w:ascii="Arial" w:cs="Arial" w:eastAsia="Arial" w:hAnsi="Arial"/>
          <w:b/>
          <w:bCs/>
          <w:color w:val="007A7A"/>
          <w:sz w:val="28"/>
          <w:szCs w:val="28"/>
        </w:rPr>
        <w:t xml:space="preserve">6B. Integration Patterns &amp; Requirements</w:t>
      </w:r>
    </w:p>
    <w:p>
      <w:pPr>
        <w:pStyle w:val="ListParagraph"/>
        <w:numPr>
          <w:ilvl w:val="0"/>
          <w:numId w:val="2"/>
        </w:numPr>
        <w:spacing w:before="40" w:after="40"/>
      </w:pPr>
      <w:r>
        <w:rPr>
          <w:rFonts w:ascii="Arial" w:cs="Arial" w:eastAsia="Arial" w:hAnsi="Arial"/>
          <w:b w:val="false"/>
          <w:bCs w:val="false"/>
          <w:sz w:val="22"/>
          <w:szCs w:val="22"/>
        </w:rPr>
        <w:t xml:space="preserve">Event-driven FNOL orchestration: Real-time claim event triggers downstream routing, assignment, fraud scoring, and customer notification workflows.</w:t>
      </w:r>
    </w:p>
    <w:p>
      <w:pPr>
        <w:pStyle w:val="ListParagraph"/>
        <w:numPr>
          <w:ilvl w:val="0"/>
          <w:numId w:val="2"/>
        </w:numPr>
        <w:spacing w:before="40" w:after="40"/>
      </w:pPr>
      <w:r>
        <w:rPr>
          <w:rFonts w:ascii="Arial" w:cs="Arial" w:eastAsia="Arial" w:hAnsi="Arial"/>
          <w:b w:val="false"/>
          <w:bCs w:val="false"/>
          <w:sz w:val="22"/>
          <w:szCs w:val="22"/>
        </w:rPr>
        <w:t xml:space="preserve">ETL/ELT to data warehouse: Claims, premium, and member data pipelines to Snowflake/Databricks for actuarial, fraud, and operational analytics.</w:t>
      </w:r>
    </w:p>
    <w:p>
      <w:pPr>
        <w:pStyle w:val="ListParagraph"/>
        <w:numPr>
          <w:ilvl w:val="0"/>
          <w:numId w:val="2"/>
        </w:numPr>
        <w:spacing w:before="40" w:after="40"/>
      </w:pPr>
      <w:r>
        <w:rPr>
          <w:rFonts w:ascii="Arial" w:cs="Arial" w:eastAsia="Arial" w:hAnsi="Arial"/>
          <w:b w:val="false"/>
          <w:bCs w:val="false"/>
          <w:sz w:val="22"/>
          <w:szCs w:val="22"/>
        </w:rPr>
        <w:t xml:space="preserve">FHIR API integration (health payers): CMS-mandated patient access and prior authorization APIs requiring HL7 FHIR R4 compliance.</w:t>
      </w:r>
    </w:p>
    <w:p>
      <w:pPr>
        <w:pStyle w:val="ListParagraph"/>
        <w:numPr>
          <w:ilvl w:val="0"/>
          <w:numId w:val="2"/>
        </w:numPr>
        <w:spacing w:before="40" w:after="40"/>
      </w:pPr>
      <w:r>
        <w:rPr>
          <w:rFonts w:ascii="Arial" w:cs="Arial" w:eastAsia="Arial" w:hAnsi="Arial"/>
          <w:b w:val="false"/>
          <w:bCs w:val="false"/>
          <w:sz w:val="22"/>
          <w:szCs w:val="22"/>
        </w:rPr>
        <w:t xml:space="preserve">EDI/X12 transaction automation: 837 (claims), 270/271 (eligibility), 278 (prior auth), 835 (remittance) — high-volume EDI processing is a core integration requirement.</w:t>
      </w:r>
    </w:p>
    <w:p>
      <w:pPr>
        <w:pStyle w:val="ListParagraph"/>
        <w:numPr>
          <w:ilvl w:val="0"/>
          <w:numId w:val="2"/>
        </w:numPr>
        <w:spacing w:before="40" w:after="40"/>
      </w:pPr>
      <w:r>
        <w:rPr>
          <w:rFonts w:ascii="Arial" w:cs="Arial" w:eastAsia="Arial" w:hAnsi="Arial"/>
          <w:b w:val="false"/>
          <w:bCs w:val="false"/>
          <w:sz w:val="22"/>
          <w:szCs w:val="22"/>
        </w:rPr>
        <w:t xml:space="preserve">Agency management system (AMS) connectivity: Bidirectional sync between carrier PAS and broker/agent AMS platforms (Applied Epic, AMS360, HawkSoft).</w:t>
      </w:r>
    </w:p>
    <w:p>
      <w:pPr>
        <w:pStyle w:val="ListParagraph"/>
        <w:numPr>
          <w:ilvl w:val="0"/>
          <w:numId w:val="2"/>
        </w:numPr>
        <w:spacing w:before="40" w:after="40"/>
      </w:pPr>
      <w:r>
        <w:rPr>
          <w:rFonts w:ascii="Arial" w:cs="Arial" w:eastAsia="Arial" w:hAnsi="Arial"/>
          <w:b w:val="false"/>
          <w:bCs w:val="false"/>
          <w:sz w:val="22"/>
          <w:szCs w:val="22"/>
        </w:rPr>
        <w:t xml:space="preserve">On-prem mainframe connectivity: Many health payers and large P&amp;C carriers require on-prem agent for legacy core system access.</w:t>
      </w:r>
    </w:p>
    <w:p>
      <w:pPr>
        <w:spacing w:before="0" w:after="120"/>
      </w:pPr>
    </w:p>
    <w:p>
      <w:pPr>
        <w:pStyle w:val="Heading2"/>
        <w:spacing w:before="300" w:after="100"/>
      </w:pPr>
      <w:r>
        <w:rPr>
          <w:rFonts w:ascii="Arial" w:cs="Arial" w:eastAsia="Arial" w:hAnsi="Arial"/>
          <w:b/>
          <w:bCs/>
          <w:color w:val="007A7A"/>
          <w:sz w:val="28"/>
          <w:szCs w:val="28"/>
        </w:rPr>
        <w:t xml:space="preserve">6C. Partner Ecosystem</w:t>
      </w:r>
    </w:p>
    <w:p>
      <w:pPr>
        <w:pStyle w:val="Heading3"/>
        <w:spacing w:before="200" w:after="80"/>
      </w:pPr>
      <w:r>
        <w:rPr>
          <w:rFonts w:ascii="Arial" w:cs="Arial" w:eastAsia="Arial" w:hAnsi="Arial"/>
          <w:b/>
          <w:bCs/>
          <w:color w:val="1F2937"/>
          <w:sz w:val="24"/>
          <w:szCs w:val="24"/>
        </w:rPr>
        <w:t xml:space="preserve">Global System Integrators (GSIs)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GSI Partner</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Insurance Focus Areas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Accenture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P&amp;C and life insurance modernization; specialty finance and reinsurance; strong Guidewire and Duck Creek SI practice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Deloitte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Insurance strategy and digital transformation; managed care advisory; regulatory and actuarial consulting</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PwC</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Insurance regulatory risk, Solvency II, IFRS 17 compliance; health payer operational advisory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Capgemini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admin modernization; European insurance (Solvency II); health IT transformation</w:t>
            </w:r>
          </w:p>
        </w:tc>
      </w:tr>
    </w:tbl>
    <w:p>
      <w:pPr>
        <w:spacing w:before="0" w:after="80"/>
      </w:pPr>
    </w:p>
    <w:p>
      <w:pPr>
        <w:pStyle w:val="Heading3"/>
        <w:spacing w:before="200" w:after="80"/>
      </w:pPr>
      <w:r>
        <w:rPr>
          <w:rFonts w:ascii="Arial" w:cs="Arial" w:eastAsia="Arial" w:hAnsi="Arial"/>
          <w:b/>
          <w:bCs/>
          <w:color w:val="1F2937"/>
          <w:sz w:val="24"/>
          <w:szCs w:val="24"/>
        </w:rPr>
        <w:t xml:space="preserve">Regional / Industry-Specific SI Partners</w:t>
      </w:r>
    </w:p>
    <w:p>
      <w:pPr>
        <w:spacing w:before="40" w:after="40"/>
      </w:pPr>
      <w:r>
        <w:rPr>
          <w:rFonts w:ascii="Arial" w:cs="Arial" w:eastAsia="Arial" w:hAnsi="Arial"/>
          <w:color w:val="4B5563"/>
          <w:sz w:val="20"/>
          <w:szCs w:val="20"/>
        </w:rPr>
        <w:t xml:space="preserve">PMM Note — Partner Ecosystem: Insurance-specific SI partners should be identified and added as they are onboarded. Guidewire PartnerConnect and Duck Creek Alliance Program members are high-value targets for co-sell. InsurTech-focused SIs (e.g., EY Nexus partners, Majesco ecosystem) should be added with active pipeline.</w:t>
      </w:r>
    </w:p>
    <w:p>
      <w:pPr>
        <w:spacing w:before="0" w:after="120"/>
      </w:pPr>
    </w:p>
    <w:p>
      <w:pPr>
        <w:pStyle w:val="Heading2"/>
        <w:spacing w:before="300" w:after="100"/>
      </w:pPr>
      <w:r>
        <w:rPr>
          <w:rFonts w:ascii="Arial" w:cs="Arial" w:eastAsia="Arial" w:hAnsi="Arial"/>
          <w:b/>
          <w:bCs/>
          <w:color w:val="007A7A"/>
          <w:sz w:val="28"/>
          <w:szCs w:val="28"/>
        </w:rPr>
        <w:t xml:space="preserve">6D. Workato Connector &amp; EMCP Coverage —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Insurance Connectors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Policy Admin: Guidewire (PolicyCenter, ClaimCenter, BillingCenter), Duck Creek (Policy, Claims, Billing), Majesco</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Health Core: HealthEdge HealthRules Payor, TriZetto/FACETS, Inovalon (via API)</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ERP / Finance: Oracle, SAP, NetSuite, Workday Financials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CRM: Salesforce Financial Services Cloud, Salesforce Health Cloud, Microsoft Dynamics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HR: Workday (all modules), ADP, UKG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ITSM: ServiceNow, Jira, Zendesk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Data: Snowflake, Databricks, SQL Server, Azure Synapse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Document / IDP: DocuSign, Adobe Sign; AI IDP via AWS Bedrock / Anthropic Claude (Helia case study)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Eligibility / EDI: Availity, Change Healthcare (Optum) — verify current connector availability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AI Agents: Claude (Anthropic), ChatGPT (OpenAI) — accessible via Enterprise MCP</w:t>
            </w:r>
          </w:p>
        </w:tc>
      </w:tr>
    </w:tbl>
    <w:p>
      <w:pPr>
        <w:spacing w:before="40" w:after="40"/>
      </w:pPr>
      <w:r>
        <w:rPr>
          <w:rFonts w:ascii="Arial" w:cs="Arial" w:eastAsia="Arial" w:hAnsi="Arial"/>
          <w:color w:val="4B5563"/>
          <w:sz w:val="20"/>
          <w:szCs w:val="20"/>
        </w:rPr>
        <w:t xml:space="preserve">PMM Note — Connector Coverage: Verify current connector availability and depth (read-only vs. full CRUD) for Guidewire ClaimCenter and HealthEdge with product team before customer-facing use. Flag any gaps for roadmap discussion.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7: Competitive Landscape (WSS-Aligned)</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WSS Alignment: Chapter 7 follows the Workato Selling System (WSS) Value Driver framework with Defensible Differentiators (SPEED, POWER, SCALE). Trap-setting questions are designed to expose competitor weaknesses without direct naming. Always verify competitor messaging currency before use in a sales engagement.</w:t>
      </w:r>
    </w:p>
    <w:p>
      <w:pPr>
        <w:spacing w:before="0" w:after="120"/>
      </w:pPr>
    </w:p>
    <w:p>
      <w:pPr>
        <w:pStyle w:val="Heading2"/>
        <w:spacing w:before="300" w:after="100"/>
      </w:pPr>
      <w:r>
        <w:rPr>
          <w:rFonts w:ascii="Arial" w:cs="Arial" w:eastAsia="Arial" w:hAnsi="Arial"/>
          <w:b/>
          <w:bCs/>
          <w:color w:val="007A7A"/>
          <w:sz w:val="28"/>
          <w:szCs w:val="28"/>
        </w:rPr>
        <w:t xml:space="preserve">7A. Competitive Overview in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Insurance Positioning</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MuleSoft (Salesforce)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Insurance segments: P&amp;C, Agencies &amp; Brokerages, Life &amp; Annuity, Group Benefits. Messaging: integration-first, "Make core systems AI-ready." Strong developer-first narrative.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Boomi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 automation for finance and insurance." FinTech-focused but explicitly claims insurance. Positions on flexibility and risk protection.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UiPath</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RPA + agentic AI for claims, KYC, document processing, client onboarding. Task-level automation, not enterprise orchestration.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Pega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BPM + AI for claims management and customer service. Strong in health payer customer service and P&amp;C claims workflow.</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ServiceNow</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ITSM + digital workflows; increasingly competing in back-office insurance process automation. Strong IT persona overlap.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Guidewire / Duck Creek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Native automation features within their platforms; limited to their own stack. Workato complements and extends, not replaces.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Deloitte / Accenture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Implementation partners offering pre-built accelerators on major platforms. Win on thought leadership — Workato should align with these GSIs, not compete.</w:t>
            </w:r>
          </w:p>
        </w:tc>
      </w:tr>
    </w:tbl>
    <w:p>
      <w:pPr>
        <w:spacing w:before="0" w:after="120"/>
      </w:pPr>
    </w:p>
    <w:p>
      <w:pPr>
        <w:pStyle w:val="Heading2"/>
        <w:spacing w:before="300" w:after="100"/>
      </w:pPr>
      <w:r>
        <w:rPr>
          <w:rFonts w:ascii="Arial" w:cs="Arial" w:eastAsia="Arial" w:hAnsi="Arial"/>
          <w:b/>
          <w:bCs/>
          <w:color w:val="007A7A"/>
          <w:sz w:val="28"/>
          <w:szCs w:val="28"/>
        </w:rPr>
        <w:t xml:space="preserve">7B. Competitive Positioning by Value Driver</w:t>
      </w:r>
    </w:p>
    <w:p>
      <w:pPr>
        <w:pStyle w:val="Heading3"/>
        <w:spacing w:before="200" w:after="80"/>
      </w:pPr>
      <w:r>
        <w:rPr>
          <w:rFonts w:ascii="Arial" w:cs="Arial" w:eastAsia="Arial" w:hAnsi="Arial"/>
          <w:b/>
          <w:bCs/>
          <w:color w:val="1F2937"/>
          <w:sz w:val="24"/>
          <w:szCs w:val="24"/>
        </w:rPr>
        <w:t xml:space="preserve">When Competing on Enterprise Agility</w:t>
      </w:r>
    </w:p>
    <w:p>
      <w:pPr>
        <w:spacing w:before="160" w:after="60"/>
      </w:pPr>
      <w:r>
        <w:rPr>
          <w:rFonts w:ascii="Arial" w:cs="Arial" w:eastAsia="Arial" w:hAnsi="Arial"/>
          <w:b/>
          <w:bCs/>
          <w:color w:val="4B5563"/>
          <w:sz w:val="22"/>
          <w:szCs w:val="22"/>
        </w:rPr>
        <w:t xml:space="preserve">vs. MuleSoft</w:t>
      </w:r>
    </w:p>
    <w:p>
      <w:pPr>
        <w:spacing w:before="40" w:after="40"/>
      </w:pPr>
      <w:r>
        <w:rPr>
          <w:rFonts w:ascii="Arial" w:cs="Arial" w:eastAsia="Arial" w:hAnsi="Arial"/>
          <w:color w:val="4B5563"/>
          <w:sz w:val="20"/>
          <w:szCs w:val="20"/>
        </w:rPr>
        <w:t xml:space="preserve">Their Position: Developer-first, "Build the connected foundation for AI and agentic" insurance operations. Organized by P&amp;C, Agencies/Brokerages, Life &amp; Annuity, Group Benefits.</w:t>
      </w:r>
    </w:p>
    <w:p>
      <w:pPr>
        <w:pStyle w:val="ListParagraph"/>
        <w:numPr>
          <w:ilvl w:val="0"/>
          <w:numId w:val="2"/>
        </w:numPr>
        <w:spacing w:before="40" w:after="40"/>
      </w:pPr>
      <w:r>
        <w:rPr>
          <w:rFonts w:ascii="Arial" w:cs="Arial" w:eastAsia="Arial" w:hAnsi="Arial"/>
          <w:b w:val="false"/>
          <w:bCs w:val="false"/>
          <w:sz w:val="22"/>
          <w:szCs w:val="22"/>
        </w:rPr>
        <w:t xml:space="preserve">Workato Counter: Business-led automation with AI; 10x faster deployment without MuleSoft’s specialized developer requirement; Enterprise MCP is a first-mover capability MuleSoft does not match.</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your claims operations team needs a new integration or workflow change, how long does it take from IT ticket submission to live production?"</w:t>
      </w:r>
    </w:p>
    <w:p>
      <w:pPr>
        <w:pStyle w:val="ListParagraph"/>
        <w:numPr>
          <w:ilvl w:val="0"/>
          <w:numId w:val="2"/>
        </w:numPr>
        <w:spacing w:before="40" w:after="40"/>
      </w:pPr>
      <w:r>
        <w:rPr>
          <w:rFonts w:ascii="Arial" w:cs="Arial" w:eastAsia="Arial" w:hAnsi="Arial"/>
          <w:b w:val="false"/>
          <w:bCs w:val="false"/>
          <w:sz w:val="22"/>
          <w:szCs w:val="22"/>
        </w:rPr>
        <w:t xml:space="preserve">Differentiators: SPEED (Fast Build &amp; Delivery, Citizen Builders) + POWER (Enterprise MCP — MuleSoft has no comparable agentic AI governance layer)</w:t>
      </w:r>
    </w:p>
    <w:p>
      <w:pPr>
        <w:spacing w:before="0" w:after="80"/>
      </w:pPr>
    </w:p>
    <w:p>
      <w:pPr>
        <w:spacing w:before="160" w:after="60"/>
      </w:pPr>
      <w:r>
        <w:rPr>
          <w:rFonts w:ascii="Arial" w:cs="Arial" w:eastAsia="Arial" w:hAnsi="Arial"/>
          <w:b/>
          <w:bCs/>
          <w:color w:val="4B5563"/>
          <w:sz w:val="22"/>
          <w:szCs w:val="22"/>
        </w:rPr>
        <w:t xml:space="preserve">vs. Boomi</w:t>
      </w:r>
    </w:p>
    <w:p>
      <w:pPr>
        <w:spacing w:before="40" w:after="40"/>
      </w:pPr>
      <w:r>
        <w:rPr>
          <w:rFonts w:ascii="Arial" w:cs="Arial" w:eastAsia="Arial" w:hAnsi="Arial"/>
          <w:color w:val="4B5563"/>
          <w:sz w:val="20"/>
          <w:szCs w:val="20"/>
        </w:rPr>
        <w:t xml:space="preserve">Their Position: "Process automation for finance and insurance: Gain flexibility and speed to respond to market changes and protect against risk."</w:t>
      </w:r>
    </w:p>
    <w:p>
      <w:pPr>
        <w:pStyle w:val="ListParagraph"/>
        <w:numPr>
          <w:ilvl w:val="0"/>
          <w:numId w:val="2"/>
        </w:numPr>
        <w:spacing w:before="40" w:after="40"/>
      </w:pPr>
      <w:r>
        <w:rPr>
          <w:rFonts w:ascii="Arial" w:cs="Arial" w:eastAsia="Arial" w:hAnsi="Arial"/>
          <w:b w:val="false"/>
          <w:bCs w:val="false"/>
          <w:sz w:val="22"/>
          <w:szCs w:val="22"/>
        </w:rPr>
        <w:t xml:space="preserve">Workato Counter: Workato was built for agentic AI — Boomi is retrofitting. Cloud-native autoscaling is critical for CAT events and open enrollment spikes; Boomi requires capacity forecasting.</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you had a major CAT event last year, how did your integration and automation platform handle the claims volume spike — did you need to provision additional infrastructure?"</w:t>
      </w:r>
    </w:p>
    <w:p>
      <w:pPr>
        <w:pStyle w:val="ListParagraph"/>
        <w:numPr>
          <w:ilvl w:val="0"/>
          <w:numId w:val="2"/>
        </w:numPr>
        <w:spacing w:before="40" w:after="40"/>
      </w:pPr>
      <w:r>
        <w:rPr>
          <w:rFonts w:ascii="Arial" w:cs="Arial" w:eastAsia="Arial" w:hAnsi="Arial"/>
          <w:b w:val="false"/>
          <w:bCs w:val="false"/>
          <w:sz w:val="22"/>
          <w:szCs w:val="22"/>
        </w:rPr>
        <w:t xml:space="preserve">Differentiators: SPEED (Cloud Native Autoscaling for CAT/OE spikes) + POWER (Agentic AI built-in)</w:t>
      </w:r>
    </w:p>
    <w:p>
      <w:pPr>
        <w:spacing w:before="0" w:after="80"/>
      </w:pPr>
    </w:p>
    <w:p>
      <w:pPr>
        <w:spacing w:before="160" w:after="60"/>
      </w:pPr>
      <w:r>
        <w:rPr>
          <w:rFonts w:ascii="Arial" w:cs="Arial" w:eastAsia="Arial" w:hAnsi="Arial"/>
          <w:b/>
          <w:bCs/>
          <w:color w:val="4B5563"/>
          <w:sz w:val="22"/>
          <w:szCs w:val="22"/>
        </w:rPr>
        <w:t xml:space="preserve">vs. UiPath</w:t>
      </w:r>
    </w:p>
    <w:p>
      <w:pPr>
        <w:spacing w:before="40" w:after="40"/>
      </w:pPr>
      <w:r>
        <w:rPr>
          <w:rFonts w:ascii="Arial" w:cs="Arial" w:eastAsia="Arial" w:hAnsi="Arial"/>
          <w:color w:val="4B5563"/>
          <w:sz w:val="20"/>
          <w:szCs w:val="20"/>
        </w:rPr>
        <w:t xml:space="preserve">Their Position: Agentic AI for loan origination, KYC/AML, document processing, client onboarding. Growing insurance focus with claims and underwriting bots.</w:t>
      </w:r>
    </w:p>
    <w:p>
      <w:pPr>
        <w:pStyle w:val="ListParagraph"/>
        <w:numPr>
          <w:ilvl w:val="0"/>
          <w:numId w:val="2"/>
        </w:numPr>
        <w:spacing w:before="40" w:after="40"/>
      </w:pPr>
      <w:r>
        <w:rPr>
          <w:rFonts w:ascii="Arial" w:cs="Arial" w:eastAsia="Arial" w:hAnsi="Arial"/>
          <w:b w:val="false"/>
          <w:bCs w:val="false"/>
          <w:sz w:val="22"/>
          <w:szCs w:val="22"/>
        </w:rPr>
        <w:t xml:space="preserve">Workato Counter: UiPath is task-level RPA with AI overlay. Workato orchestrates entire cross-system claims workflows from FNOL through settlement, not individual tasks.</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a claims adjuster gets an exception that the UiPath bot can’t handle, what happens? How do exceptions get routed, and who owns fixing the bot when a system changes its interface?"</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orchestration vs. point automation) + SCALE (Federated Model vs. centralized RPA team) + SPEED (Faster to handle exceptions)</w:t>
      </w:r>
    </w:p>
    <w:p>
      <w:pPr>
        <w:spacing w:before="0" w:after="80"/>
      </w:pPr>
    </w:p>
    <w:p>
      <w:pPr>
        <w:spacing w:before="160" w:after="60"/>
      </w:pPr>
      <w:r>
        <w:rPr>
          <w:rFonts w:ascii="Arial" w:cs="Arial" w:eastAsia="Arial" w:hAnsi="Arial"/>
          <w:b/>
          <w:bCs/>
          <w:color w:val="4B5563"/>
          <w:sz w:val="22"/>
          <w:szCs w:val="22"/>
        </w:rPr>
        <w:t xml:space="preserve">vs. Pega</w:t>
      </w:r>
    </w:p>
    <w:p>
      <w:pPr>
        <w:pStyle w:val="ListParagraph"/>
        <w:numPr>
          <w:ilvl w:val="0"/>
          <w:numId w:val="2"/>
        </w:numPr>
        <w:spacing w:before="40" w:after="40"/>
      </w:pPr>
      <w:r>
        <w:rPr>
          <w:rFonts w:ascii="Arial" w:cs="Arial" w:eastAsia="Arial" w:hAnsi="Arial"/>
          <w:b w:val="false"/>
          <w:bCs w:val="false"/>
          <w:sz w:val="22"/>
          <w:szCs w:val="22"/>
        </w:rPr>
        <w:t xml:space="preserve">Workato Counter: Pega is a BPM platform with heavy implementation cost and long deployment cycles. Workato delivers time-to-value in weeks, not quarters.</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long did your last Pega implementation take to go from design to live production? And how long does it take to modify a workflow when a business rule changes?"</w:t>
      </w:r>
    </w:p>
    <w:p>
      <w:pPr>
        <w:pStyle w:val="ListParagraph"/>
        <w:numPr>
          <w:ilvl w:val="0"/>
          <w:numId w:val="2"/>
        </w:numPr>
        <w:spacing w:before="40" w:after="40"/>
      </w:pPr>
      <w:r>
        <w:rPr>
          <w:rFonts w:ascii="Arial" w:cs="Arial" w:eastAsia="Arial" w:hAnsi="Arial"/>
          <w:b w:val="false"/>
          <w:bCs w:val="false"/>
          <w:sz w:val="22"/>
          <w:szCs w:val="22"/>
        </w:rPr>
        <w:t xml:space="preserve">Differentiators: SPEED (Fast Build &amp; Delivery — Workato deploys in weeks; Pega in quarters) + SCALE (OrCA vs. Pega’s licensing model)</w:t>
      </w:r>
    </w:p>
    <w:p>
      <w:pPr>
        <w:spacing w:before="0" w:after="120"/>
      </w:pPr>
    </w:p>
    <w:p>
      <w:pPr>
        <w:pStyle w:val="Heading3"/>
        <w:spacing w:before="200" w:after="80"/>
      </w:pPr>
      <w:r>
        <w:rPr>
          <w:rFonts w:ascii="Arial" w:cs="Arial" w:eastAsia="Arial" w:hAnsi="Arial"/>
          <w:b/>
          <w:bCs/>
          <w:color w:val="1F2937"/>
          <w:sz w:val="24"/>
          <w:szCs w:val="24"/>
        </w:rPr>
        <w:t xml:space="preserve">When Competing on Efficiency &amp; OrCA</w:t>
      </w:r>
    </w:p>
    <w:p>
      <w:pPr>
        <w:spacing w:before="160" w:after="60"/>
      </w:pPr>
      <w:r>
        <w:rPr>
          <w:rFonts w:ascii="Arial" w:cs="Arial" w:eastAsia="Arial" w:hAnsi="Arial"/>
          <w:b/>
          <w:bCs/>
          <w:color w:val="4B5563"/>
          <w:sz w:val="22"/>
          <w:szCs w:val="22"/>
        </w:rPr>
        <w:t xml:space="preserve">vs. MuleSoft / Boomi</w:t>
      </w:r>
    </w:p>
    <w:p>
      <w:pPr>
        <w:pStyle w:val="ListParagraph"/>
        <w:numPr>
          <w:ilvl w:val="0"/>
          <w:numId w:val="2"/>
        </w:numPr>
        <w:spacing w:before="40" w:after="40"/>
      </w:pPr>
      <w:r>
        <w:rPr>
          <w:rFonts w:ascii="Arial" w:cs="Arial" w:eastAsia="Arial" w:hAnsi="Arial"/>
          <w:b w:val="false"/>
          <w:bCs w:val="false"/>
          <w:sz w:val="22"/>
          <w:szCs w:val="22"/>
        </w:rPr>
        <w:t xml:space="preserve">Workato Counter: 40% lower TCO; consumption-based pricing aligns with insurance’s variable workload (CAT season, open enrollment).</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"What’s your current cost per integration, including infrastructure, licenses, and the specialized developer time required to maintain them?"</w:t>
      </w:r>
    </w:p>
    <w:p>
      <w:pPr>
        <w:pStyle w:val="ListParagraph"/>
        <w:numPr>
          <w:ilvl w:val="0"/>
          <w:numId w:val="2"/>
        </w:numPr>
        <w:spacing w:before="40" w:after="40"/>
      </w:pPr>
      <w:r>
        <w:rPr>
          <w:rFonts w:ascii="Arial" w:cs="Arial" w:eastAsia="Arial" w:hAnsi="Arial"/>
          <w:b w:val="false"/>
          <w:bCs w:val="false"/>
          <w:sz w:val="22"/>
          <w:szCs w:val="22"/>
        </w:rPr>
        <w:t xml:space="preserve">Differentiators: SCALE (OrCA — consumption-based pricing handles volume spikes without overprovisioning) + SPEED (Fast Build = lower services cost, no specialized developer dependency)</w:t>
      </w:r>
    </w:p>
    <w:p>
      <w:pPr>
        <w:spacing w:before="0" w:after="120"/>
      </w:pPr>
    </w:p>
    <w:p>
      <w:pPr>
        <w:pStyle w:val="Heading3"/>
        <w:spacing w:before="200" w:after="80"/>
      </w:pPr>
      <w:r>
        <w:rPr>
          <w:rFonts w:ascii="Arial" w:cs="Arial" w:eastAsia="Arial" w:hAnsi="Arial"/>
          <w:b/>
          <w:bCs/>
          <w:color w:val="1F2937"/>
          <w:sz w:val="24"/>
          <w:szCs w:val="24"/>
        </w:rPr>
        <w:t xml:space="preserve">When Competing on Risk Reduction</w:t>
      </w:r>
    </w:p>
    <w:p>
      <w:pPr>
        <w:spacing w:before="160" w:after="60"/>
      </w:pPr>
      <w:r>
        <w:rPr>
          <w:rFonts w:ascii="Arial" w:cs="Arial" w:eastAsia="Arial" w:hAnsi="Arial"/>
          <w:b/>
          <w:bCs/>
          <w:color w:val="4B5563"/>
          <w:sz w:val="22"/>
          <w:szCs w:val="22"/>
        </w:rPr>
        <w:t xml:space="preserve">vs. Any Competitor — HIPAA / Compliance</w:t>
      </w:r>
    </w:p>
    <w:p>
      <w:pPr>
        <w:pStyle w:val="ListParagraph"/>
        <w:numPr>
          <w:ilvl w:val="0"/>
          <w:numId w:val="2"/>
        </w:numPr>
        <w:spacing w:before="40" w:after="40"/>
      </w:pPr>
      <w:r>
        <w:rPr>
          <w:rFonts w:ascii="Arial" w:cs="Arial" w:eastAsia="Arial" w:hAnsi="Arial"/>
          <w:b w:val="false"/>
          <w:bCs w:val="false"/>
          <w:sz w:val="22"/>
          <w:szCs w:val="22"/>
        </w:rPr>
        <w:t xml:space="preserve">Workato Counter: HIPAA Business Associate Agreement (BAA) available; SOC 2 Type II certified; GDPR compliant; complete audit trail for every automated action — critical for OCR audits.</w:t>
      </w:r>
    </w:p>
    <w:p>
      <w:pPr>
        <w:pStyle w:val="ListParagraph"/>
        <w:numPr>
          <w:ilvl w:val="0"/>
          <w:numId w:val="2"/>
        </w:numPr>
        <w:spacing w:before="40" w:after="40"/>
      </w:pPr>
      <w:r>
        <w:rPr>
          <w:rFonts w:ascii="Arial" w:cs="Arial" w:eastAsia="Arial" w:hAnsi="Arial"/>
          <w:b w:val="false"/>
          <w:bCs w:val="false"/>
          <w:sz w:val="22"/>
          <w:szCs w:val="22"/>
        </w:rPr>
        <w:t xml:space="preserve">Trap-Setting Question: "If the OCR came in for a HIPAA audit tomorrow, could you produce a complete audit trail of every system that touched PHI through your automation platform in the last 12 months?"</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Security, HIPAA BAA, Audit Trails, Human-in-the-Loop) + SCALE (Governance at enterprise scale)</w:t>
      </w:r>
    </w:p>
    <w:p>
      <w:pPr>
        <w:spacing w:before="0" w:after="80"/>
      </w:pPr>
    </w:p>
    <w:p>
      <w:pPr>
        <w:spacing w:before="160" w:after="60"/>
      </w:pPr>
      <w:r>
        <w:rPr>
          <w:rFonts w:ascii="Arial" w:cs="Arial" w:eastAsia="Arial" w:hAnsi="Arial"/>
          <w:b/>
          <w:bCs/>
          <w:color w:val="4B5563"/>
          <w:sz w:val="22"/>
          <w:szCs w:val="22"/>
        </w:rPr>
        <w:t xml:space="preserve">vs. ServiceNow</w:t>
      </w:r>
    </w:p>
    <w:p>
      <w:pPr>
        <w:pStyle w:val="ListParagraph"/>
        <w:numPr>
          <w:ilvl w:val="0"/>
          <w:numId w:val="2"/>
        </w:numPr>
        <w:spacing w:before="40" w:after="40"/>
      </w:pPr>
      <w:r>
        <w:rPr>
          <w:rFonts w:ascii="Arial" w:cs="Arial" w:eastAsia="Arial" w:hAnsi="Arial"/>
          <w:b w:val="false"/>
          <w:bCs w:val="false"/>
          <w:sz w:val="22"/>
          <w:szCs w:val="22"/>
        </w:rPr>
        <w:t xml:space="preserve">Workato Counter: ServiceNow is ITSM-first; its process automation is limited to IT workflows. Workato orchestrates across claims, underwriting, HR, finance, and IT in a single platform.</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a claims operations workflow needs to connect to your policy admin system and Workday simultaneously, does ServiceNow handle that — or does it hand off to something else?"</w:t>
      </w:r>
    </w:p>
    <w:p>
      <w:pPr>
        <w:pStyle w:val="ListParagraph"/>
        <w:numPr>
          <w:ilvl w:val="0"/>
          <w:numId w:val="2"/>
        </w:numPr>
        <w:spacing w:before="40" w:after="40"/>
      </w:pPr>
      <w:r>
        <w:rPr>
          <w:rFonts w:ascii="Arial" w:cs="Arial" w:eastAsia="Arial" w:hAnsi="Arial"/>
          <w:b w:val="false"/>
          <w:bCs w:val="false"/>
          <w:sz w:val="22"/>
          <w:szCs w:val="22"/>
        </w:rPr>
        <w:t xml:space="preserve">Differentiators: POWER (Single platform for IT + business operations) + SPEED (Extensive Connectivity beyond IT systems)</w:t>
      </w:r>
    </w:p>
    <w:p>
      <w:pPr>
        <w:spacing w:before="0" w:after="120"/>
      </w:pPr>
    </w:p>
    <w:p>
      <w:pPr>
        <w:pStyle w:val="Heading2"/>
        <w:spacing w:before="300" w:after="100"/>
      </w:pPr>
      <w:r>
        <w:rPr>
          <w:rFonts w:ascii="Arial" w:cs="Arial" w:eastAsia="Arial" w:hAnsi="Arial"/>
          <w:b/>
          <w:bCs/>
          <w:color w:val="007A7A"/>
          <w:sz w:val="28"/>
          <w:szCs w:val="28"/>
        </w:rPr>
        <w:t xml:space="preserve">7C. Workato Competitive Advantages in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Why It Matters in Insurance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Enterprise MCP for Claims Agents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 comparable offering from competitors — first-mover advantage for deploying governed AI agents in regulated insurance operations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On-Prem Agent for Legacy PAS / Mainframe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Essential for carriers and health payers running Guidewire on-prem, COBOL claims systems, or IBM mainframe eligibility platforms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HIPAA BAA Available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Non-negotiable for health payer automations touching PHI — eliminates competitive barrier immediately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Native Autoscaling (OrCA)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 events and open enrollment spikes require elastic scaling without capacity planning — Boomi and MuleSoft require provisioning</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IDP for Claims Documents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AI-powered extraction from photos, repair estimates, medical bills, and FNOL forms — the highest-volume document type in insurance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Low-Code for Regional Carriers/MGAs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Regional P&amp;C carriers and MGAs with small IT teams need citizen builder capability — MuleSoft and Pega require specialized developers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Workato Embed for Distribution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Carriers building embedded insurance or agency portal products can embed integration capabilities without maintaining custom APIs indefinitely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24/7 Customer Support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Non-negotiable in insurance — claims systems must be available around the clock; support SLAs matter</w:t>
            </w:r>
          </w:p>
        </w:tc>
      </w:tr>
    </w:tbl>
    <w:p>
      <w:pPr>
        <w:spacing w:before="0" w:after="80"/>
      </w:pPr>
    </w:p>
    <w:p>
      <w:pPr>
        <w:pStyle w:val="Heading2"/>
        <w:spacing w:before="300" w:after="100"/>
      </w:pPr>
      <w:r>
        <w:rPr>
          <w:rFonts w:ascii="Arial" w:cs="Arial" w:eastAsia="Arial" w:hAnsi="Arial"/>
          <w:b/>
          <w:bCs/>
          <w:color w:val="007A7A"/>
          <w:sz w:val="28"/>
          <w:szCs w:val="28"/>
        </w:rPr>
        <w:t xml:space="preserve">7D. Competitive Weaknesses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4680"/>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Limited insurance brand recognition vs. Guidewire ecosystem</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Lead with Helia case study and IC-Verzekeringen; target Guidewire-hosted (cloud) customers where on-prem constraint is removed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Guidewire / Duck Creek connector depth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with product team and be transparent about read vs. write capability; position gaps as roadmap items with committed timelines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Health payer mainframe connectivity</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On-prem agent addresses this; position as hybrid architecture advantage; involve solution engineering early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native FHIR engine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Workato connects to FHIR-compliant APIs — position as the orchestration layer between FHIR gateway and downstream systems, not as the FHIR engine itself</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8: Customer Proof &amp; References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8A. Approved Customer Logos</w:t>
      </w:r>
    </w:p>
    <w:p>
      <w:pPr>
        <w:pStyle w:val="ListParagraph"/>
        <w:numPr>
          <w:ilvl w:val="0"/>
          <w:numId w:val="2"/>
        </w:numPr>
        <w:spacing w:before="40" w:after="40"/>
      </w:pPr>
      <w:r>
        <w:rPr>
          <w:rFonts w:ascii="Arial" w:cs="Arial" w:eastAsia="Arial" w:hAnsi="Arial"/>
          <w:b w:val="false"/>
          <w:bCs w:val="false"/>
          <w:sz w:val="22"/>
          <w:szCs w:val="22"/>
        </w:rPr>
        <w:t xml:space="preserve">Northwestern Mutual (Life / Wealth), Helia (Australian Mortgage Insurance), IC-Verzekeringen (Dutch P&amp;C)</w:t>
      </w:r>
    </w:p>
    <w:p>
      <w:pPr>
        <w:spacing w:before="40" w:after="40"/>
      </w:pPr>
      <w:r>
        <w:rPr>
          <w:rFonts w:ascii="Arial" w:cs="Arial" w:eastAsia="Arial" w:hAnsi="Arial"/>
          <w:color w:val="4B5563"/>
          <w:sz w:val="20"/>
          <w:szCs w:val="20"/>
        </w:rPr>
        <w:t xml:space="preserve">PMM Note — Logos: Insurance customer logo coverage is currently thin relative to the opportunity. Actively work with Customer Marketing to identify referenceable insurance customers (particularly health payers) and move them through the case study approval process. Prioritize health payer references as this sub-vertical has zero approved logos today.</w:t>
      </w:r>
    </w:p>
    <w:p>
      <w:pPr>
        <w:spacing w:before="0" w:after="120"/>
      </w:pPr>
    </w:p>
    <w:p>
      <w:pPr>
        <w:pStyle w:val="Heading2"/>
        <w:spacing w:before="300" w:after="100"/>
      </w:pPr>
      <w:r>
        <w:rPr>
          <w:rFonts w:ascii="Arial" w:cs="Arial" w:eastAsia="Arial" w:hAnsi="Arial"/>
          <w:b/>
          <w:bCs/>
          <w:color w:val="007A7A"/>
          <w:sz w:val="28"/>
          <w:szCs w:val="28"/>
        </w:rPr>
        <w:t xml:space="preserve">8B. Approved Customer Quotes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“Workato was pivotal in helping us enhance our customer experience offering. They moved quickly, deployed quickly, listened to Helia at every step of the way, and strived for perfection. The Workato team actively sought out product feedback, demonstrating exceptional customer-centricity in building new functionalities we needed.”</w:t>
            </w:r>
          </w:p>
          <w:p>
            <w:r>
              <w:rPr>
                <w:rFonts w:ascii="Arial" w:cs="Arial" w:eastAsia="Arial" w:hAnsi="Arial"/>
                <w:b/>
                <w:bCs/>
                <w:color w:val="007A7A"/>
                <w:sz w:val="20"/>
                <w:szCs w:val="20"/>
              </w:rPr>
              <w:t xml:space="preserve">— Neil Rodgers, Digital Solutions Director, Helia</w:t>
            </w:r>
          </w:p>
        </w:tc>
      </w:tr>
    </w:tbl>
    <w:p>
      <w:pPr>
        <w:spacing w:before="0" w:after="80"/>
      </w:pPr>
    </w:p>
    <w:p>
      <w:pPr>
        <w:spacing w:before="40" w:after="40"/>
      </w:pPr>
      <w:r>
        <w:rPr>
          <w:rFonts w:ascii="Arial" w:cs="Arial" w:eastAsia="Arial" w:hAnsi="Arial"/>
          <w:color w:val="4B5563"/>
          <w:sz w:val="20"/>
          <w:szCs w:val="20"/>
        </w:rPr>
        <w:t xml:space="preserve">PMM Note — Quotes: Only Helia has an approved external quote for the insurance vertical. Prioritize quote acquisition from IC-Verzekeringen, Northwestern Mutual, and any health payer customers in the pipeline. Target quote themes: AI-first strategy acceleration, claims processing speed, compliance confidence.</w:t>
      </w:r>
    </w:p>
    <w:p>
      <w:pPr>
        <w:spacing w:before="0" w:after="120"/>
      </w:pPr>
    </w:p>
    <w:p>
      <w:pPr>
        <w:pStyle w:val="Heading2"/>
        <w:spacing w:before="300" w:after="100"/>
      </w:pPr>
      <w:r>
        <w:rPr>
          <w:rFonts w:ascii="Arial" w:cs="Arial" w:eastAsia="Arial" w:hAnsi="Arial"/>
          <w:b/>
          <w:bCs/>
          <w:color w:val="007A7A"/>
          <w:sz w:val="28"/>
          <w:szCs w:val="28"/>
        </w:rPr>
        <w:t xml:space="preserve">8C. Case Studies &amp; Success Stories by Sub-Vertical</w:t>
      </w:r>
    </w:p>
    <w:p>
      <w:pPr>
        <w:pStyle w:val="Heading3"/>
        <w:spacing w:before="200" w:after="80"/>
      </w:pPr>
      <w:r>
        <w:rPr>
          <w:rFonts w:ascii="Arial" w:cs="Arial" w:eastAsia="Arial" w:hAnsi="Arial"/>
          <w:b/>
          <w:bCs/>
          <w:color w:val="1F2937"/>
          <w:sz w:val="24"/>
          <w:szCs w:val="24"/>
        </w:rPr>
        <w:t xml:space="preserve">P&amp;C / Life / Specialty Insurance</w:t>
      </w:r>
    </w:p>
    <w:p>
      <w:pPr>
        <w:pStyle w:val="ListParagraph"/>
        <w:numPr>
          <w:ilvl w:val="0"/>
          <w:numId w:val="2"/>
        </w:numPr>
        <w:spacing w:before="40" w:after="40"/>
      </w:pPr>
      <w:r>
        <w:rPr>
          <w:rFonts w:ascii="Arial" w:cs="Arial" w:eastAsia="Arial" w:hAnsi="Arial"/>
          <w:b w:val="false"/>
          <w:bCs w:val="false"/>
          <w:sz w:val="22"/>
          <w:szCs w:val="22"/>
        </w:rPr>
        <w:t xml:space="preserve">Helia (Mortgage Insurance, Australia): Streamlined invoice generation and approval automation using AWS Bedrock / Anthropic Claude LLM for IDP. Outcomes: 4x more developers available; 35% time savings; accelerated AI-first strategy. Workflow: Supplier email → Claude LLM extracts data → Workato routes to Teams for approval → validated data submitted to SAP.</w:t>
      </w:r>
    </w:p>
    <w:p>
      <w:pPr>
        <w:pStyle w:val="ListParagraph"/>
        <w:numPr>
          <w:ilvl w:val="0"/>
          <w:numId w:val="2"/>
        </w:numPr>
        <w:spacing w:before="40" w:after="40"/>
      </w:pPr>
      <w:r>
        <w:rPr>
          <w:rFonts w:ascii="Arial" w:cs="Arial" w:eastAsia="Arial" w:hAnsi="Arial"/>
          <w:b w:val="false"/>
          <w:bCs w:val="false"/>
          <w:sz w:val="22"/>
          <w:szCs w:val="22"/>
        </w:rPr>
        <w:t xml:space="preserve">IC-Verzekeringen (P&amp;C, Netherlands): Used Workato automation to accelerate migration from on-premise to cloud platforms. Case study available — confirm external approval status before use.</w:t>
      </w:r>
    </w:p>
    <w:p>
      <w:pPr>
        <w:spacing w:before="0" w:after="120"/>
      </w:pPr>
    </w:p>
    <w:p>
      <w:pPr>
        <w:pStyle w:val="Heading3"/>
        <w:spacing w:before="200" w:after="80"/>
      </w:pPr>
      <w:r>
        <w:rPr>
          <w:rFonts w:ascii="Arial" w:cs="Arial" w:eastAsia="Arial" w:hAnsi="Arial"/>
          <w:b/>
          <w:bCs/>
          <w:color w:val="1F2937"/>
          <w:sz w:val="24"/>
          <w:szCs w:val="24"/>
        </w:rPr>
        <w:t xml:space="preserve">Health Insurance Payers</w:t>
      </w:r>
    </w:p>
    <w:p>
      <w:pPr>
        <w:spacing w:before="40" w:after="40"/>
      </w:pPr>
      <w:r>
        <w:rPr>
          <w:rFonts w:ascii="Arial" w:cs="Arial" w:eastAsia="Arial" w:hAnsi="Arial"/>
          <w:color w:val="4B5563"/>
          <w:sz w:val="20"/>
          <w:szCs w:val="20"/>
        </w:rPr>
        <w:t xml:space="preserve">PMM Note: No externally approved health payer case studies currently available. This is a critical gap to close in FY26. Prioritize health payer customers in the pipeline for case study development. Recommended themes: prior authorization automation (high regulatory urgency), member onboarding efficiency, Star Ratings / HEDIS improvement.</w:t>
      </w:r>
    </w:p>
    <w:p>
      <w:pPr>
        <w:spacing w:before="0" w:after="120"/>
      </w:pPr>
    </w:p>
    <w:p>
      <w:pPr>
        <w:pStyle w:val="Heading2"/>
        <w:spacing w:before="300" w:after="100"/>
      </w:pPr>
      <w:r>
        <w:rPr>
          <w:rFonts w:ascii="Arial" w:cs="Arial" w:eastAsia="Arial" w:hAnsi="Arial"/>
          <w:b/>
          <w:bCs/>
          <w:color w:val="007A7A"/>
          <w:sz w:val="28"/>
          <w:szCs w:val="28"/>
        </w:rPr>
        <w:t xml:space="preserve">8D. Enterprise Agility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Helia — AI-First Strategy with Workato</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4x more developers available after moving from custom Java code to Workato recipes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35% time savings on invoice generation and approval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Accelerated AI-first strategy by deploying Anthropic Claude LLM via AWS Bedrock for document processing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Community library recipe adapted in days vs. months of custom development</w:t>
            </w:r>
          </w:p>
        </w:tc>
      </w:tr>
    </w:tbl>
    <w:p>
      <w:pPr>
        <w:spacing w:before="0" w:after="80"/>
      </w:pPr>
    </w:p>
    <w:p>
      <w:pPr>
        <w:pStyle w:val="Heading2"/>
        <w:spacing w:before="300" w:after="100"/>
      </w:pPr>
      <w:r>
        <w:rPr>
          <w:rFonts w:ascii="Arial" w:cs="Arial" w:eastAsia="Arial" w:hAnsi="Arial"/>
          <w:b/>
          <w:bCs/>
          <w:color w:val="007A7A"/>
          <w:sz w:val="28"/>
          <w:szCs w:val="28"/>
        </w:rPr>
        <w:t xml:space="preserve">8E. Reference Customer Map by Sub-Segment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Sub-Segment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Reference Customers / Status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Mortgage / Specialty Insurance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Helia (approved case study + quote) — PRIMARY 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P&amp;C (Netherlands)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IC-Verzekeringen (case study available — verify external approval)</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Life / Wealth Insurance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Northwestern Mutual (logo approved; case study TBD)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Health Insurance Payers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approved references currently — PRIORITY GAP for FY26</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Carrier IT / Operations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Explore pipeline customers for reference development</w:t>
            </w:r>
          </w:p>
        </w:tc>
      </w:tr>
    </w:tbl>
    <w:p>
      <w:pPr>
        <w:spacing w:before="0" w:after="80"/>
      </w:pPr>
    </w:p>
    <w:p>
      <w:pPr>
        <w:pStyle w:val="Heading2"/>
        <w:spacing w:before="300" w:after="100"/>
      </w:pPr>
      <w:r>
        <w:rPr>
          <w:rFonts w:ascii="Arial" w:cs="Arial" w:eastAsia="Arial" w:hAnsi="Arial"/>
          <w:b/>
          <w:bCs/>
          <w:color w:val="007A7A"/>
          <w:sz w:val="28"/>
          <w:szCs w:val="28"/>
        </w:rPr>
        <w:t xml:space="preserve">8F. Deloitte Segments for Context (Competitor / Partner)</w:t>
      </w:r>
    </w:p>
    <w:p>
      <w:pPr>
        <w:spacing w:before="60" w:after="60"/>
      </w:pPr>
      <w:r>
        <w:rPr>
          <w:rFonts w:ascii="Arial" w:cs="Arial" w:eastAsia="Arial" w:hAnsi="Arial"/>
          <w:b w:val="false"/>
          <w:bCs w:val="false"/>
          <w:color w:val="1F2937"/>
          <w:sz w:val="22"/>
          <w:szCs w:val="22"/>
        </w:rPr>
        <w:t xml:space="preserve">Deloitte covers Insurance under their Financial Services practice with four segments: Banking and Capital Markets, Insurance, Investment Management, and Real Estate. Their insurance messaging is heavy on thought leadership and featured case studies — a content strategy Workato should match through analyst-backed research and approved customer stories.</w:t>
      </w:r>
    </w:p>
    <w:p>
      <w:pPr>
        <w:spacing w:before="0" w:after="120"/>
      </w:pPr>
    </w:p>
    <w:p>
      <w:pPr>
        <w:pBdr>
          <w:bottom w:val="single" w:color="00B4B4" w:sz="6" w:space="1"/>
        </w:pBdr>
        <w:spacing w:before="80" w:after="80"/>
      </w:pPr>
    </w:p>
    <w:p>
      <w:pPr>
        <w:spacing w:before="0" w:after="80"/>
      </w:pPr>
    </w:p>
    <w:p>
      <w:pPr>
        <w:jc w:val="center"/>
      </w:pPr>
      <w:r>
        <w:rPr>
          <w:rFonts w:ascii="Arial" w:cs="Arial" w:eastAsia="Arial" w:hAnsi="Arial"/>
          <w:color w:val="4B5563"/>
          <w:sz w:val="18"/>
          <w:szCs w:val="18"/>
        </w:rPr>
        <w:t xml:space="preserve">Workato  |  Insurance &amp; Healthcare Payers Industry Overview  |  FY2026–2027</w:t>
      </w:r>
    </w:p>
    <w:p>
      <w:pPr>
        <w:jc w:val="center"/>
      </w:pPr>
      <w:r>
        <w:rPr>
          <w:rFonts w:ascii="Arial" w:cs="Arial" w:eastAsia="Arial" w:hAnsi="Arial"/>
          <w:b/>
          <w:bCs/>
          <w:color w:val="4B5563"/>
          <w:sz w:val="16"/>
          <w:szCs w:val="16"/>
        </w:rPr>
        <w:t xml:space="preserve">CONFIDENTIAL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007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2026-02-18T00:40:57.245Z</dcterms:created>
  <dcterms:modified xsi:type="dcterms:W3CDTF">2026-02-18T00:40:57.246Z</dcterms:modified>
</cp:coreProperties>
</file>

<file path=docProps/custom.xml><?xml version="1.0" encoding="utf-8"?>
<Properties xmlns="http://schemas.openxmlformats.org/officeDocument/2006/custom-properties" xmlns:vt="http://schemas.openxmlformats.org/officeDocument/2006/docPropsVTypes"/>
</file>