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color w:val="27989F"/>
          <w:sz w:val="44"/>
          <w:szCs w:val="44"/>
        </w:rPr>
        <w:t xml:space="preserve">Mendix + Workato</w:t>
      </w:r>
    </w:p>
    <w:p>
      <w:r>
        <w:rPr>
          <w:color w:val="0B2D2F"/>
          <w:sz w:val="28"/>
          <w:szCs w:val="28"/>
        </w:rPr>
        <w:t xml:space="preserve">A Solution Brief for CIOs and Architects</w:t>
      </w:r>
    </w:p>
    <w:p/>
    <w:p>
      <w:pPr>
        <w:spacing w:after="200"/>
      </w:pPr>
      <w:r>
        <w:t xml:space="preserve">Application development and integration go hand in hand, but they are distinct disciplines with their own skill sets and tooling. Mendix excels at building enterprise-grade applications at speed and scale. For enterprise-wide integration, Workato—a seven-time Gartner iPaaS Magic Quadrant Leader—provides the specialized orchestration layer that lets your Mendix investment deliver its full potential.</w:t>
      </w:r>
    </w:p>
    <w:p>
      <w:pPr>
        <w:pStyle w:val="Heading2"/>
      </w:pPr>
      <w:r>
        <w:t xml:space="preserve">The Challenge</w:t>
      </w:r>
    </w:p>
    <w:p>
      <w:pPr>
        <w:spacing w:after="200"/>
      </w:pPr>
      <w:r>
        <w:t xml:space="preserve">Most Mendix applications must integrate with backend systems—ERP, CRM, HR, Finance, Data Stores, and more. Point-to-point integrations work initially, but as applications and backends multiply, the number of integrations grows exponentially. This creates a "spaghetti architecture" that becomes a bottleneck for app development and a drain on IT resources.</w:t>
      </w:r>
    </w:p>
    <w:p>
      <w:pPr>
        <w:spacing w:after="200"/>
      </w:pPr>
      <w:r>
        <w:t xml:space="preserve">The result: integration complexity slows innovation, consumes budget meant for transformation, and turns IT into a bottleneck rather than a business enabler.</w:t>
      </w:r>
    </w:p>
    <w:p>
      <w:pPr>
        <w:pStyle w:val="Heading2"/>
      </w:pPr>
      <w:r>
        <w:t xml:space="preserve">Better Together: Combined Capabilities</w:t>
      </w:r>
    </w:p>
    <w:p>
      <w:pPr>
        <w:spacing w:after="200"/>
      </w:pPr>
      <w:r>
        <w:t xml:space="preserve">Mendix and Workato complement each other by design. Mendix empowers your teams to rapidly build the applications your business needs, while Workato provides enterprise-grade integration, automation, and orchestration across your entire technology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7989F" w:val="clear"/>
            <w:tcMar>
              <w:top w:type="dxa" w:w="100"/>
              <w:left w:type="dxa" w:w="120"/>
              <w:bottom w:type="dxa" w:w="100"/>
              <w:right w:type="dxa" w:w="120"/>
            </w:tcMar>
          </w:tcPr>
          <w:p>
            <w:pPr>
              <w:jc w:val="center"/>
            </w:pPr>
            <w:r>
              <w:rPr>
                <w:b/>
                <w:bCs/>
                <w:color w:val="FFFFFF"/>
              </w:rPr>
              <w:t xml:space="preserve">Mendix Delivers</w:t>
            </w:r>
          </w:p>
        </w:tc>
        <w:tc>
          <w:tcPr>
            <w:tcW w:type="dxa" w:w="4680"/>
            <w:tcBorders>
              <w:top w:val="single" w:color="CCCCCC" w:sz="1"/>
              <w:left w:val="single" w:color="CCCCCC" w:sz="1"/>
              <w:bottom w:val="single" w:color="CCCCCC" w:sz="1"/>
              <w:right w:val="single" w:color="CCCCCC" w:sz="1"/>
            </w:tcBorders>
            <w:shd w:fill="27989F" w:val="clear"/>
            <w:tcMar>
              <w:top w:type="dxa" w:w="100"/>
              <w:left w:type="dxa" w:w="120"/>
              <w:bottom w:type="dxa" w:w="100"/>
              <w:right w:type="dxa" w:w="120"/>
            </w:tcMar>
          </w:tcPr>
          <w:p>
            <w:pPr>
              <w:jc w:val="center"/>
            </w:pPr>
            <w:r>
              <w:rPr>
                <w:b/>
                <w:bCs/>
                <w:color w:val="FFFFFF"/>
              </w:rPr>
              <w:t xml:space="preserve">Workato Delivers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Low-code application development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1,200+ pre-built enterprise connectors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Rapid UI/UX creation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Enterprise-wide process orchestration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App-centric integration features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Backend-to-backend integration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Citizen developer enablement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AI-powered automation &amp; orchestration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lifecycle management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Enterprise governance &amp; security</w:t>
            </w:r>
          </w:p>
        </w:tc>
      </w:tr>
    </w:tbl>
    <w:p/>
    <w:p>
      <w:pPr>
        <w:pStyle w:val="Heading2"/>
      </w:pPr>
      <w:r>
        <w:t xml:space="preserve">The Architecture Advantage</w:t>
      </w:r>
    </w:p>
    <w:p>
      <w:pPr>
        <w:spacing w:after="200"/>
      </w:pPr>
      <w:r>
        <w:t xml:space="preserve">Introducing a dedicated integration layer between Mendix applications and backend systems eliminates spaghetti complexity. Each application and backend connects once to the integration layer, which handles all cross-system communication.</w:t>
      </w:r>
    </w:p>
    <w:p>
      <w:pPr>
        <w:spacing w:after="200"/>
      </w:pPr>
      <w:r>
        <w:t xml:space="preserve">While you can build an integration layer in Mendix, a purpose-built iPaaS like Workato offers distinct advantages: it serves both Mendix-centric and enterprise-wide integration needs, comes with proven connectors maintained by integration specialists, and allows application developers to focus entirely on building applications.</w:t>
      </w:r>
    </w:p>
    <w:p>
      <w:pPr>
        <w:spacing w:after="200"/>
      </w:pPr>
      <w:r>
        <w:t xml:space="preserve">In many organizations, application development and integration are separate disciplines with specialized teams. Giving each team purpose-built tooling—Mendix for apps, Workato for integrations—maximizes productivity across both functions.</w:t>
      </w:r>
    </w:p>
    <w:p>
      <w:r>
        <w:br w:type="page"/>
      </w:r>
    </w:p>
    <w:p>
      <w:pPr>
        <w:pStyle w:val="Heading2"/>
      </w:pPr>
      <w:r>
        <w:t xml:space="preserve">Use Cases</w:t>
      </w:r>
    </w:p>
    <w:p>
      <w:pPr>
        <w:spacing w:after="200"/>
      </w:pPr>
      <w:r>
        <w:t xml:space="preserve">Here are examples of how Mendix and Workato work together to deliver business value:</w:t>
      </w:r>
    </w:p>
    <w:p>
      <w:pPr>
        <w:pStyle w:val="Heading3"/>
      </w:pPr>
      <w:r>
        <w:rPr>
          <w:color w:val="27989F"/>
        </w:rPr>
        <w:t xml:space="preserve">HR Process Automation</w:t>
      </w:r>
    </w:p>
    <w:p>
      <w:pPr>
        <w:spacing w:after="200"/>
      </w:pPr>
      <w:r>
        <w:t xml:space="preserve">Use Mendix to build an employee self-service portal for leave requests, expense claims, and internal surveys. Workato automates the approval workflows, integrates with HRIS systems like Workday, connects to payroll and benefits providers, and triggers notifications to managers and employees.</w:t>
      </w:r>
    </w:p>
    <w:p>
      <w:pPr>
        <w:pStyle w:val="Heading3"/>
      </w:pPr>
      <w:r>
        <w:rPr>
          <w:color w:val="27989F"/>
        </w:rPr>
        <w:t xml:space="preserve">Field Service Management</w:t>
      </w:r>
    </w:p>
    <w:p>
      <w:pPr>
        <w:spacing w:after="200"/>
      </w:pPr>
      <w:r>
        <w:t xml:space="preserve">Use Mendix to build a mobile application for field technicians to view schedules, update job status, capture photos, and order parts. Workato integrates the mobile app with scheduling systems, inventory management, billing, and customer support platforms—ensuring real-time updates and seamless dispatch.</w:t>
      </w:r>
    </w:p>
    <w:p>
      <w:pPr>
        <w:pStyle w:val="Heading3"/>
      </w:pPr>
      <w:r>
        <w:rPr>
          <w:color w:val="27989F"/>
        </w:rPr>
        <w:t xml:space="preserve">Customer Onboarding</w:t>
      </w:r>
    </w:p>
    <w:p>
      <w:pPr>
        <w:spacing w:after="200"/>
      </w:pPr>
      <w:r>
        <w:t xml:space="preserve">Use Mendix to develop a customer onboarding portal for data collection, document submission, and progress tracking. Workato automates the backend: pushing customer data to CRM, initiating background checks, setting up accounts in ERP, sending welcome emails, and notifying relevant teams.</w:t>
      </w:r>
    </w:p>
    <w:p>
      <w:pPr>
        <w:pStyle w:val="Heading3"/>
      </w:pPr>
      <w:r>
        <w:rPr>
          <w:color w:val="27989F"/>
        </w:rPr>
        <w:t xml:space="preserve">IT Operations Automation</w:t>
      </w:r>
    </w:p>
    <w:p>
      <w:pPr>
        <w:spacing w:after="200"/>
      </w:pPr>
      <w:r>
        <w:t xml:space="preserve">Use Mendix to build a custom IT request portal for software access, hardware provisioning, or incident reporting. Workato automates fulfillment by integrating with identity management systems, ticketing systems, cloud providers, and endpoint management tools.</w:t>
      </w:r>
    </w:p>
    <w:p>
      <w:pPr>
        <w:pStyle w:val="Heading3"/>
      </w:pPr>
      <w:r>
        <w:rPr>
          <w:color w:val="27989F"/>
        </w:rPr>
        <w:t xml:space="preserve">Supply Chain Optimization</w:t>
      </w:r>
    </w:p>
    <w:p>
      <w:pPr>
        <w:spacing w:after="200"/>
      </w:pPr>
      <w:r>
        <w:t xml:space="preserve">Use Mendix to develop a supplier portal for order management, invoice submission, and delivery tracking. Workato connects the portal to ERP systems, logistics providers, and financial systems to automate order processing, payment reconciliation, and inventory updates across the supply chain.</w:t>
      </w:r>
    </w:p>
    <w:p>
      <w:pPr>
        <w:pStyle w:val="Heading2"/>
      </w:pPr>
      <w:r>
        <w:t xml:space="preserve">Benefits for Your Organization</w:t>
      </w:r>
    </w:p>
    <w:p>
      <w:r>
        <w:rPr>
          <w:b/>
          <w:bCs/>
          <w:color w:val="27989F"/>
        </w:rPr>
        <w:t xml:space="preserve">Accelerate Your Integration Team</w:t>
      </w:r>
    </w:p>
    <w:p>
      <w:pPr>
        <w:spacing w:after="200"/>
      </w:pPr>
      <w:r>
        <w:t xml:space="preserve">Workato gives your integration team a future-proof platform with best-in-class functionality and user experience. With 1,200+ pre-built connectors—proven, fully supported, and continuously updated—your team spends time solving business problems, not building and maintaining connectivity.</w:t>
      </w:r>
    </w:p>
    <w:p>
      <w:r>
        <w:rPr>
          <w:b/>
          <w:bCs/>
          <w:color w:val="27989F"/>
        </w:rPr>
        <w:t xml:space="preserve">Unleash Your Mendix Team</w:t>
      </w:r>
    </w:p>
    <w:p>
      <w:pPr>
        <w:spacing w:after="200"/>
      </w:pPr>
      <w:r>
        <w:t xml:space="preserve">When integrations are never a bottleneck, your Mendix developers can focus entirely on building the applications your business needs. Faster application delivery, faster time-to-value, faster business impact.</w:t>
      </w:r>
    </w:p>
    <w:p>
      <w:r>
        <w:rPr>
          <w:b/>
          <w:bCs/>
          <w:color w:val="27989F"/>
        </w:rPr>
        <w:t xml:space="preserve">Reduce Total Cost of Ownership</w:t>
      </w:r>
    </w:p>
    <w:p>
      <w:pPr>
        <w:spacing w:after="200"/>
      </w:pPr>
      <w:r>
        <w:t xml:space="preserve">Workato drives down TCO for integrations the same way Mendix does for applications. The platform investment is quickly offset by faster creation, easier changes, and streamlined management throughout the integration lifecycle—for Mendix-related integrations and across your enterprise.</w:t>
      </w:r>
    </w:p>
    <w:p>
      <w:pPr>
        <w:pStyle w:val="Heading2"/>
      </w:pPr>
      <w:r>
        <w:t xml:space="preserve">Customer Success</w:t>
      </w:r>
    </w:p>
    <w:p>
      <w:pPr>
        <w:spacing w:after="200"/>
      </w:pPr>
      <w:r>
        <w:t xml:space="preserve">Organizations across industries are achieving measurable results with enterprise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27989F" w:val="clear"/>
            <w:tcMar>
              <w:top w:type="dxa" w:w="100"/>
              <w:left w:type="dxa" w:w="120"/>
              <w:bottom w:type="dxa" w:w="100"/>
              <w:right w:type="dxa" w:w="120"/>
            </w:tcMar>
          </w:tcPr>
          <w:p>
            <w:r>
              <w:rPr>
                <w:b/>
                <w:bCs/>
                <w:color w:val="FFFFFF"/>
              </w:rPr>
              <w:t xml:space="preserve">Industry</w:t>
            </w:r>
          </w:p>
        </w:tc>
        <w:tc>
          <w:tcPr>
            <w:tcW w:type="dxa" w:w="2200"/>
            <w:tcBorders>
              <w:top w:val="single" w:color="CCCCCC" w:sz="1"/>
              <w:left w:val="single" w:color="CCCCCC" w:sz="1"/>
              <w:bottom w:val="single" w:color="CCCCCC" w:sz="1"/>
              <w:right w:val="single" w:color="CCCCCC" w:sz="1"/>
            </w:tcBorders>
            <w:shd w:fill="27989F" w:val="clear"/>
            <w:tcMar>
              <w:top w:type="dxa" w:w="100"/>
              <w:left w:type="dxa" w:w="120"/>
              <w:bottom w:type="dxa" w:w="100"/>
              <w:right w:type="dxa" w:w="120"/>
            </w:tcMar>
          </w:tcPr>
          <w:p>
            <w:r>
              <w:rPr>
                <w:b/>
                <w:bCs/>
                <w:color w:val="FFFFFF"/>
              </w:rPr>
              <w:t xml:space="preserve">Customer</w:t>
            </w:r>
          </w:p>
        </w:tc>
        <w:tc>
          <w:tcPr>
            <w:tcW w:type="dxa" w:w="5160"/>
            <w:tcBorders>
              <w:top w:val="single" w:color="CCCCCC" w:sz="1"/>
              <w:left w:val="single" w:color="CCCCCC" w:sz="1"/>
              <w:bottom w:val="single" w:color="CCCCCC" w:sz="1"/>
              <w:right w:val="single" w:color="CCCCCC" w:sz="1"/>
            </w:tcBorders>
            <w:shd w:fill="27989F" w:val="clear"/>
            <w:tcMar>
              <w:top w:type="dxa" w:w="100"/>
              <w:left w:type="dxa" w:w="120"/>
              <w:bottom w:type="dxa" w:w="100"/>
              <w:right w:type="dxa" w:w="120"/>
            </w:tcMar>
          </w:tcPr>
          <w:p>
            <w:r>
              <w:rPr>
                <w:b/>
                <w:bCs/>
                <w:color w:val="FFFFFF"/>
              </w:rPr>
              <w:t xml:space="preserve">Results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Technology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Broadcom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6,500 hours/month saved; scaled to 300+ workflows without adding headcount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Financial Services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Voya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Insourced integration work from offshore; dramatically improved time-to-result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Technology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Atlassian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 faster ERP migration; 25,000 hours saved annually; 98% reduction in tech debt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David Jones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days to first go-live; replaced 90% of legacy integrations in 7 months</w:t>
            </w:r>
          </w:p>
        </w:tc>
      </w:tr>
    </w:tbl>
    <w:p/>
    <w:p>
      <w:pPr>
        <w:pStyle w:val="Heading2"/>
      </w:pPr>
      <w:r>
        <w:t xml:space="preserve">Conclusion</w:t>
      </w:r>
    </w:p>
    <w:p>
      <w:pPr>
        <w:spacing w:after="200"/>
      </w:pPr>
      <w:r>
        <w:t xml:space="preserve">If you're building enterprise-grade applications at speed and scale, a dedicated integration layer eliminates the complexity of spaghetti architecture. A best-of-breed iPaaS like Workato boosts productivity and lowers TCO—not just for your integration team, but for your application development team as well.</w:t>
      </w:r>
    </w:p>
    <w:p>
      <w:r>
        <w:rPr>
          <w:b/>
          <w:bCs/>
          <w:color w:val="27989F"/>
        </w:rPr>
        <w:t xml:space="preserve">Next Steps</w:t>
      </w:r>
    </w:p>
    <w:p>
      <w:pPr>
        <w:spacing w:after="200"/>
      </w:pPr>
      <w:r>
        <w:t xml:space="preserve">To explore how Mendix and Workato can accelerate your digital transformation, contact Maarten de Vries via your regular Mendix contacts.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989F" w:sz="12"/>
              <w:left w:val="single" w:color="27989F" w:sz="12"/>
              <w:bottom w:val="single" w:color="27989F" w:sz="12"/>
              <w:right w:val="single" w:color="27989F" w:sz="12"/>
            </w:tcBorders>
            <w:shd w:fill="F5F5F5" w:val="clear"/>
            <w:tcMar>
              <w:top w:type="dxa" w:w="150"/>
              <w:left w:type="dxa" w:w="200"/>
              <w:bottom w:type="dxa" w:w="150"/>
              <w:right w:type="dxa" w:w="200"/>
            </w:tcMar>
          </w:tcPr>
          <w:p>
            <w:pPr>
              <w:spacing w:after="100"/>
            </w:pPr>
            <w:r>
              <w:rPr>
                <w:b/>
                <w:bCs/>
                <w:color w:val="27989F"/>
                <w:sz w:val="24"/>
                <w:szCs w:val="24"/>
              </w:rPr>
              <w:t xml:space="preserve">About Workato</w:t>
            </w:r>
          </w:p>
          <w:p>
            <w:r>
              <w:rPr>
                <w:sz w:val="20"/>
                <w:szCs w:val="20"/>
              </w:rPr>
              <w:t xml:space="preserve">Workato is a cloud-native process orchestration and integration platform. With 1,200+ out-of-the-box connectors and a unified approach to integration, automation, and AI orchestration, Workato is recognized as a Leader in the Gartner Magic Quadrant for iPaaS for seven consecutive years.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7989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B2D2F"/>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2026-02-10T19:21:26.099Z</dcterms:created>
  <dcterms:modified xsi:type="dcterms:W3CDTF">2026-02-10T19:21:26.100Z</dcterms:modified>
</cp:coreProperties>
</file>

<file path=docProps/custom.xml><?xml version="1.0" encoding="utf-8"?>
<Properties xmlns="http://schemas.openxmlformats.org/officeDocument/2006/custom-properties" xmlns:vt="http://schemas.openxmlformats.org/officeDocument/2006/docPropsVTypes"/>
</file>