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b/>
          <w:bCs/>
          <w:color w:val="686868"/>
          <w:sz w:val="18"/>
          <w:szCs w:val="18"/>
        </w:rPr>
        <w:t xml:space="preserve">PARTNER SUCCESS STORY</w:t>
      </w:r>
    </w:p>
    <w:p>
      <w:pPr>
        <w:spacing w:after="240"/>
        <w:jc w:val="center"/>
      </w:pPr>
      <w:r>
        <w:rPr>
          <w:b/>
          <w:bCs/>
          <w:color w:val="282525"/>
          <w:sz w:val="36"/>
          <w:szCs w:val="36"/>
        </w:rPr>
        <w:t xml:space="preserve">How </w:t>
      </w:r>
      <w:r>
        <w:rPr>
          <w:b/>
          <w:bCs/>
          <w:color w:val="22DBC8"/>
          <w:sz w:val="36"/>
          <w:szCs w:val="36"/>
        </w:rPr>
        <w:t xml:space="preserve">Connor Group</w:t>
      </w:r>
      <w:r>
        <w:rPr>
          <w:b/>
          <w:bCs/>
          <w:color w:val="282525"/>
          <w:sz w:val="36"/>
          <w:szCs w:val="36"/>
        </w:rPr>
        <w:t xml:space="preserve"> &amp; Workato
Built DoorDash's Data Bridge for M&amp;A Success</w:t>
      </w:r>
    </w:p>
    <w:p>
      <w:pPr>
        <w:spacing w:after="360"/>
        <w:jc w:val="center"/>
      </w:pPr>
      <w:r>
        <w:rPr>
          <w:sz w:val="24"/>
          <w:szCs w:val="24"/>
        </w:rPr>
        <w:t xml:space="preserve">🏆 </w:t>
      </w:r>
      <w:r>
        <w:rPr>
          <w:b/>
          <w:bCs/>
          <w:color w:val="282525"/>
          <w:sz w:val="20"/>
          <w:szCs w:val="20"/>
        </w:rPr>
        <w:t xml:space="preserve">Financial Solutions Award Winner | IPO &amp; M&amp;A Specialists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shd w:fill="E1FF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60"/>
            </w:pPr>
            <w:r>
              <w:rPr>
                <w:b/>
                <w:bCs/>
                <w:color w:val="282525"/>
                <w:sz w:val="24"/>
                <w:szCs w:val="24"/>
              </w:rPr>
              <w:t xml:space="preserve">THE CHALLENGE</w:t>
            </w:r>
          </w:p>
          <w:p>
            <w:pPr>
              <w:spacing w:after="120"/>
            </w:pPr>
            <w:r>
              <w:rPr>
                <w:color w:val="282525"/>
                <w:sz w:val="22"/>
                <w:szCs w:val="22"/>
              </w:rPr>
              <w:t xml:space="preserve">DoorDash's rapid M&amp;A growth created data silos across departments. The company needed a unified data ecosystem to enhance reporting, leverage AI, and ensure data accessibility for finance, operations, and analytics teams.</w:t>
            </w:r>
          </w:p>
          <w:p>
            <w:pPr>
              <w:spacing w:after="160"/>
            </w:pPr>
            <w:r>
              <w:rPr>
                <w:b/>
                <w:bCs/>
                <w:color w:val="282525"/>
                <w:sz w:val="24"/>
                <w:szCs w:val="24"/>
              </w:rPr>
              <w:t xml:space="preserve">THE SOLUTION</w:t>
            </w:r>
          </w:p>
          <w:p>
            <w:r>
              <w:rPr>
                <w:color w:val="282525"/>
                <w:sz w:val="22"/>
                <w:szCs w:val="22"/>
              </w:rPr>
              <w:t xml:space="preserve">Connor Group partnered with Workato to architect a 'Data Bridge' - a unified data ecosystem connecting disparate systems to create a single source of truth for dynamic reporting and AI-powered insights.</w:t>
            </w:r>
          </w:p>
        </w:tc>
      </w:tr>
    </w:tbl>
    <w:p>
      <w:pPr>
        <w:spacing w:after="260"/>
      </w:pPr>
    </w:p>
    <w:p>
      <w:pPr>
        <w:spacing w:after="160"/>
      </w:pPr>
      <w:r>
        <w:rPr>
          <w:b/>
          <w:bCs/>
          <w:color w:val="282525"/>
          <w:sz w:val="24"/>
          <w:szCs w:val="24"/>
        </w:rPr>
        <w:t xml:space="preserve">CONNOR GROUP'S PROVEN EXPERTISE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22DBC8"/>
                <w:sz w:val="40"/>
                <w:szCs w:val="40"/>
              </w:rPr>
              <w:t xml:space="preserve">250+</w:t>
            </w:r>
          </w:p>
          <w:p>
            <w:pPr>
              <w:jc w:val="center"/>
            </w:pPr>
            <w:r>
              <w:rPr>
                <w:color w:val="282525"/>
                <w:sz w:val="20"/>
                <w:szCs w:val="20"/>
              </w:rPr>
              <w:t xml:space="preserve">IPOs Guided</w:t>
            </w:r>
            <w:r>
              <w:rPr>
                <w:color w:val="686868"/>
                <w:sz w:val="18"/>
                <w:szCs w:val="18"/>
              </w:rPr>
              <w:t xml:space="preserve">
$3.3T in Valuation</w:t>
            </w:r>
          </w:p>
        </w:tc>
        <w:tc>
          <w:tcPr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22DBC8"/>
                <w:sz w:val="40"/>
                <w:szCs w:val="40"/>
              </w:rPr>
              <w:t xml:space="preserve">2,000+</w:t>
            </w:r>
          </w:p>
          <w:p>
            <w:pPr>
              <w:jc w:val="center"/>
            </w:pPr>
            <w:r>
              <w:rPr>
                <w:color w:val="282525"/>
                <w:sz w:val="20"/>
                <w:szCs w:val="20"/>
              </w:rPr>
              <w:t xml:space="preserve">Brands Served</w:t>
            </w:r>
            <w:r>
              <w:rPr>
                <w:color w:val="686868"/>
                <w:sz w:val="18"/>
                <w:szCs w:val="18"/>
              </w:rPr>
              <w:t xml:space="preserve">
All Growth Stages</w:t>
            </w:r>
          </w:p>
        </w:tc>
        <w:tc>
          <w:tcPr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22DBC8"/>
                <w:sz w:val="40"/>
                <w:szCs w:val="40"/>
              </w:rPr>
              <w:t xml:space="preserve">20 Years</w:t>
            </w:r>
          </w:p>
          <w:p>
            <w:pPr>
              <w:jc w:val="center"/>
            </w:pPr>
            <w:r>
              <w:rPr>
                <w:color w:val="282525"/>
                <w:sz w:val="20"/>
                <w:szCs w:val="20"/>
              </w:rPr>
              <w:t xml:space="preserve">Elite Pattern
Recognition</w:t>
            </w:r>
          </w:p>
        </w:tc>
      </w:tr>
    </w:tbl>
    <w:p>
      <w:pPr>
        <w:spacing w:after="260"/>
      </w:pPr>
    </w:p>
    <w:p>
      <w:pPr>
        <w:spacing w:after="180"/>
      </w:pPr>
      <w:r>
        <w:rPr>
          <w:b/>
          <w:bCs/>
          <w:color w:val="282525"/>
          <w:sz w:val="24"/>
          <w:szCs w:val="24"/>
        </w:rPr>
        <w:t xml:space="preserve">WHY CONNOR GROUP WINS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color w:val="22DBC8"/>
                <w:sz w:val="24"/>
                <w:szCs w:val="24"/>
              </w:rPr>
              <w:t xml:space="preserve">✓ </w:t>
            </w:r>
            <w:r>
              <w:rPr>
                <w:b/>
                <w:bCs/>
                <w:color w:val="282525"/>
                <w:sz w:val="22"/>
                <w:szCs w:val="22"/>
              </w:rPr>
              <w:t xml:space="preserve">CFO Office Focus</w:t>
            </w:r>
          </w:p>
          <w:p>
            <w:r>
              <w:rPr>
                <w:color w:val="686868"/>
                <w:sz w:val="20"/>
                <w:szCs w:val="20"/>
              </w:rPr>
              <w:t xml:space="preserve">Deep expertise in accounting, compliance, M&amp;A integration, and financial operations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color w:val="22DBC8"/>
                <w:sz w:val="24"/>
                <w:szCs w:val="24"/>
              </w:rPr>
              <w:t xml:space="preserve">✓ </w:t>
            </w:r>
            <w:r>
              <w:rPr>
                <w:b/>
                <w:bCs/>
                <w:color w:val="282525"/>
                <w:sz w:val="22"/>
                <w:szCs w:val="22"/>
              </w:rPr>
              <w:t xml:space="preserve">Pragmatic Delivery</w:t>
            </w:r>
          </w:p>
          <w:p>
            <w:r>
              <w:rPr>
                <w:color w:val="686868"/>
                <w:sz w:val="20"/>
                <w:szCs w:val="20"/>
              </w:rPr>
              <w:t xml:space="preserve">Cut teeth on high-pressure IPO work; built for breakthroughs, not just deadlines</w:t>
            </w:r>
          </w:p>
        </w:tc>
      </w:tr>
      <w:t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color w:val="22DBC8"/>
                <w:sz w:val="24"/>
                <w:szCs w:val="24"/>
              </w:rPr>
              <w:t xml:space="preserve">✓ </w:t>
            </w:r>
            <w:r>
              <w:rPr>
                <w:b/>
                <w:bCs/>
                <w:color w:val="282525"/>
                <w:sz w:val="22"/>
                <w:szCs w:val="22"/>
              </w:rPr>
              <w:t xml:space="preserve">Order-to-Cash Masters</w:t>
            </w:r>
          </w:p>
          <w:p>
            <w:r>
              <w:rPr>
                <w:color w:val="686868"/>
                <w:sz w:val="20"/>
                <w:szCs w:val="20"/>
              </w:rPr>
              <w:t xml:space="preserve">Specialists in CRM/ERP sync, DSO reduction, and financial process automation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color w:val="22DBC8"/>
                <w:sz w:val="24"/>
                <w:szCs w:val="24"/>
              </w:rPr>
              <w:t xml:space="preserve">✓ </w:t>
            </w:r>
            <w:r>
              <w:rPr>
                <w:b/>
                <w:bCs/>
                <w:color w:val="282525"/>
                <w:sz w:val="22"/>
                <w:szCs w:val="22"/>
              </w:rPr>
              <w:t xml:space="preserve">Client-First Approach</w:t>
            </w:r>
          </w:p>
          <w:p>
            <w:r>
              <w:rPr>
                <w:color w:val="686868"/>
                <w:sz w:val="20"/>
                <w:szCs w:val="20"/>
              </w:rPr>
              <w:t xml:space="preserve">Independently owned, world-class communication, sleeves-rolled-up partnership</w:t>
            </w:r>
          </w:p>
        </w:tc>
      </w:tr>
    </w:tbl>
    <w:p>
      <w:pPr>
        <w:spacing w:after="260"/>
      </w:pPr>
    </w:p>
    <w:p>
      <w:pPr>
        <w:spacing w:after="160"/>
      </w:pPr>
      <w:r>
        <w:rPr>
          <w:b/>
          <w:bCs/>
          <w:color w:val="282525"/>
          <w:sz w:val="24"/>
          <w:szCs w:val="24"/>
        </w:rPr>
        <w:t xml:space="preserve">OTHER CONNOR GROUP + WORKATO WINS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EF1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282525"/>
                <w:sz w:val="22"/>
                <w:szCs w:val="22"/>
              </w:rPr>
              <w:t xml:space="preserve">DataStax</w:t>
            </w:r>
          </w:p>
          <w:p>
            <w:pPr>
              <w:jc w:val="center"/>
            </w:pPr>
            <w:r>
              <w:rPr>
                <w:color w:val="686868"/>
                <w:sz w:val="18"/>
                <w:szCs w:val="18"/>
              </w:rPr>
              <w:t xml:space="preserve">HR automation:
6,500 emails automated
99.9% time savings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EF1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282525"/>
                <w:sz w:val="22"/>
                <w:szCs w:val="22"/>
              </w:rPr>
              <w:t xml:space="preserve">DuoLingo</w:t>
            </w:r>
          </w:p>
          <w:p>
            <w:pPr>
              <w:jc w:val="center"/>
            </w:pPr>
            <w:r>
              <w:rPr>
                <w:color w:val="686868"/>
                <w:sz w:val="18"/>
                <w:szCs w:val="18"/>
              </w:rPr>
              <w:t xml:space="preserve">Financial systems
integration &amp; Order-to-
Cash automation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EF1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282525"/>
                <w:sz w:val="22"/>
                <w:szCs w:val="22"/>
              </w:rPr>
              <w:t xml:space="preserve">Multiple IPOs</w:t>
            </w:r>
          </w:p>
          <w:p>
            <w:pPr>
              <w:jc w:val="center"/>
            </w:pPr>
            <w:r>
              <w:rPr>
                <w:color w:val="686868"/>
                <w:sz w:val="18"/>
                <w:szCs w:val="18"/>
              </w:rPr>
              <w:t xml:space="preserve">Pre-IPO readiness,
compliance automation
&amp; reporting excellence</w:t>
            </w:r>
          </w:p>
        </w:tc>
      </w:tr>
    </w:tbl>
    <w:p>
      <w:pPr>
        <w:spacing w:after="2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525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4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Built for Breakthroughs, Trusted by Ambitious Companies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Connor Group brings 20 years of elite pattern recognition helping 250+ companies go public. Their pragmatic,
delivery-oriented approach combined with Workato creates lasting results for fast-moving finance organizations.</w:t>
            </w:r>
          </w:p>
        </w:tc>
      </w:tr>
    </w:tbl>
    <w:p>
      <w:pPr>
        <w:spacing w:after="180"/>
      </w:pPr>
    </w:p>
    <w:p>
      <w:pPr>
        <w:jc w:val="center"/>
      </w:pPr>
      <w:r>
        <w:rPr>
          <w:color w:val="686868"/>
          <w:sz w:val="20"/>
          <w:szCs w:val="20"/>
        </w:rPr>
        <w:t xml:space="preserve">Ready to partner with us? </w:t>
      </w:r>
      <w:r>
        <w:rPr>
          <w:b/>
          <w:bCs/>
          <w:color w:val="22DBC8"/>
          <w:sz w:val="20"/>
          <w:szCs w:val="20"/>
        </w:rPr>
        <w:t xml:space="preserve">Contact partnerships@workato.com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2026-01-29T22:19:39.964Z</dcterms:created>
  <dcterms:modified xsi:type="dcterms:W3CDTF">2026-01-29T22:19:39.965Z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