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b/>
          <w:bCs/>
          <w:color w:val="686868"/>
          <w:sz w:val="18"/>
          <w:szCs w:val="18"/>
        </w:rPr>
        <w:t xml:space="preserve">PARTNER SUCCESS STORY</w:t>
      </w:r>
    </w:p>
    <w:p>
      <w:pPr>
        <w:spacing w:after="240"/>
        <w:jc w:val="center"/>
      </w:pPr>
      <w:r>
        <w:rPr>
          <w:b/>
          <w:bCs/>
          <w:color w:val="282525"/>
          <w:sz w:val="36"/>
          <w:szCs w:val="36"/>
        </w:rPr>
        <w:t xml:space="preserve">How </w:t>
      </w:r>
      <w:r>
        <w:rPr>
          <w:b/>
          <w:bCs/>
          <w:color w:val="22DBC8"/>
          <w:sz w:val="36"/>
          <w:szCs w:val="36"/>
        </w:rPr>
        <w:t xml:space="preserve">Dispatch Integrations</w:t>
      </w:r>
      <w:r>
        <w:rPr>
          <w:b/>
          <w:bCs/>
          <w:color w:val="282525"/>
          <w:sz w:val="36"/>
          <w:szCs w:val="36"/>
        </w:rPr>
        <w:t xml:space="preserve"> &amp; Workato
Transformed a Canadian University's Operations</w:t>
      </w:r>
    </w:p>
    <w:p>
      <w:pPr>
        <w:spacing w:after="360"/>
        <w:jc w:val="center"/>
      </w:pPr>
      <w:r>
        <w:rPr>
          <w:sz w:val="24"/>
          <w:szCs w:val="24"/>
        </w:rPr>
        <w:t xml:space="preserve">💎 </w:t>
      </w:r>
      <w:r>
        <w:rPr>
          <w:b/>
          <w:bCs/>
          <w:color w:val="282525"/>
          <w:sz w:val="20"/>
          <w:szCs w:val="20"/>
        </w:rPr>
        <w:t xml:space="preserve">Platinum Innovation Partner | Mission-Critical Specialists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shd w:fill="E1FFFC" w:val="clear"/>
            <w:tcMar>
              <w:top w:type="dxa" w:w="200"/>
              <w:left w:type="dxa" w:w="240"/>
              <w:bottom w:type="dxa" w:w="200"/>
              <w:right w:type="dxa" w:w="240"/>
            </w:tcMar>
          </w:tcPr>
          <w:p>
            <w:pPr>
              <w:spacing w:after="160"/>
            </w:pPr>
            <w:r>
              <w:rPr>
                <w:b/>
                <w:bCs/>
                <w:color w:val="282525"/>
                <w:sz w:val="24"/>
                <w:szCs w:val="24"/>
              </w:rPr>
              <w:t xml:space="preserve">THE CHALLENGE</w:t>
            </w:r>
          </w:p>
          <w:p>
            <w:pPr>
              <w:spacing w:after="120"/>
            </w:pPr>
            <w:r>
              <w:rPr>
                <w:color w:val="282525"/>
                <w:sz w:val="22"/>
                <w:szCs w:val="22"/>
              </w:rPr>
              <w:t xml:space="preserve">A leading Canadian post-secondary institution serving tens of thousands of students faced fragmented systems across IT, HR, Finance, and Campus Safety. Manual processes delayed audits, emergency alerts used outdated data, and integration errors went undetected for hours.</w:t>
            </w:r>
          </w:p>
          <w:p>
            <w:pPr>
              <w:spacing w:after="160"/>
            </w:pPr>
            <w:r>
              <w:rPr>
                <w:b/>
                <w:bCs/>
                <w:color w:val="282525"/>
                <w:sz w:val="24"/>
                <w:szCs w:val="24"/>
              </w:rPr>
              <w:t xml:space="preserve">THE SOLUTION</w:t>
            </w:r>
          </w:p>
          <w:p>
            <w:r>
              <w:rPr>
                <w:color w:val="282525"/>
                <w:sz w:val="22"/>
                <w:szCs w:val="22"/>
              </w:rPr>
              <w:t xml:space="preserve">Dispatch Integrations deployed their proprietary DEEP™ and DIVE™ methodologies with Workato to automate five mission-critical workflows across Workday, Banner, RAVE Alert, TeamDynamix, Jira, and Slack - transforming fragmented manual processes into high-performance digital operations.</w:t>
            </w:r>
          </w:p>
        </w:tc>
      </w:tr>
    </w:tbl>
    <w:p>
      <w:pPr>
        <w:spacing w:after="260"/>
      </w:pPr>
    </w:p>
    <w:p>
      <w:pPr>
        <w:spacing w:after="160"/>
      </w:pPr>
      <w:r>
        <w:rPr>
          <w:b/>
          <w:bCs/>
          <w:color w:val="282525"/>
          <w:sz w:val="24"/>
          <w:szCs w:val="24"/>
        </w:rPr>
        <w:t xml:space="preserve">MEASURABLE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shd w:fill="FFFFFF" w:val="clear"/>
            <w:tcMar>
              <w:top w:type="dxa" w:w="160"/>
              <w:left w:type="dxa" w:w="120"/>
              <w:bottom w:type="dxa" w:w="160"/>
              <w:right w:type="dxa" w:w="120"/>
            </w:tcMar>
            <w:vAlign w:val="center"/>
          </w:tcPr>
          <w:p>
            <w:pPr>
              <w:spacing w:after="80"/>
              <w:jc w:val="center"/>
            </w:pPr>
            <w:r>
              <w:rPr>
                <w:b/>
                <w:bCs/>
                <w:color w:val="22DBC8"/>
                <w:sz w:val="40"/>
                <w:szCs w:val="40"/>
              </w:rPr>
              <w:t xml:space="preserve">Hundreds</w:t>
            </w:r>
          </w:p>
          <w:p>
            <w:pPr>
              <w:jc w:val="center"/>
            </w:pPr>
            <w:r>
              <w:rPr>
                <w:color w:val="282525"/>
                <w:sz w:val="20"/>
                <w:szCs w:val="20"/>
              </w:rPr>
              <w:t xml:space="preserve">Hours Saved</w:t>
            </w:r>
            <w:r>
              <w:rPr>
                <w:color w:val="686868"/>
                <w:sz w:val="18"/>
                <w:szCs w:val="18"/>
              </w:rPr>
              <w:t xml:space="preserve">
Annually Across
IT &amp; HR Ops</w:t>
            </w:r>
          </w:p>
        </w:tc>
        <w:tc>
          <w:tcPr>
            <w:shd w:fill="FFFFFF" w:val="clear"/>
            <w:tcMar>
              <w:top w:type="dxa" w:w="160"/>
              <w:left w:type="dxa" w:w="120"/>
              <w:bottom w:type="dxa" w:w="160"/>
              <w:right w:type="dxa" w:w="120"/>
            </w:tcMar>
            <w:vAlign w:val="center"/>
          </w:tcPr>
          <w:p>
            <w:pPr>
              <w:spacing w:after="80"/>
              <w:jc w:val="center"/>
            </w:pPr>
            <w:r>
              <w:rPr>
                <w:b/>
                <w:bCs/>
                <w:color w:val="22DBC8"/>
                <w:sz w:val="40"/>
                <w:szCs w:val="40"/>
              </w:rPr>
              <w:t xml:space="preserve">15</w:t>
            </w:r>
          </w:p>
          <w:p>
            <w:pPr>
              <w:jc w:val="center"/>
            </w:pPr>
            <w:r>
              <w:rPr>
                <w:color w:val="282525"/>
                <w:sz w:val="20"/>
                <w:szCs w:val="20"/>
              </w:rPr>
              <w:t xml:space="preserve">Workday Tenants</w:t>
            </w:r>
            <w:r>
              <w:rPr>
                <w:color w:val="686868"/>
                <w:sz w:val="18"/>
                <w:szCs w:val="18"/>
              </w:rPr>
              <w:t xml:space="preserve">
Consolidated for
Compliance</w:t>
            </w:r>
          </w:p>
        </w:tc>
        <w:tc>
          <w:tcPr>
            <w:shd w:fill="FFFFFF" w:val="clear"/>
            <w:tcMar>
              <w:top w:type="dxa" w:w="160"/>
              <w:left w:type="dxa" w:w="120"/>
              <w:bottom w:type="dxa" w:w="160"/>
              <w:right w:type="dxa" w:w="120"/>
            </w:tcMar>
            <w:vAlign w:val="center"/>
          </w:tcPr>
          <w:p>
            <w:pPr>
              <w:spacing w:after="80"/>
              <w:jc w:val="center"/>
            </w:pPr>
            <w:r>
              <w:rPr>
                <w:b/>
                <w:bCs/>
                <w:color w:val="22DBC8"/>
                <w:sz w:val="40"/>
                <w:szCs w:val="40"/>
              </w:rPr>
              <w:t xml:space="preserve">Real-Time</w:t>
            </w:r>
          </w:p>
          <w:p>
            <w:pPr>
              <w:jc w:val="center"/>
            </w:pPr>
            <w:r>
              <w:rPr>
                <w:color w:val="282525"/>
                <w:sz w:val="20"/>
                <w:szCs w:val="20"/>
              </w:rPr>
              <w:t xml:space="preserve">Emergency Alerts</w:t>
            </w:r>
            <w:r>
              <w:rPr>
                <w:color w:val="686868"/>
                <w:sz w:val="18"/>
                <w:szCs w:val="18"/>
              </w:rPr>
              <w:t xml:space="preserve">
Current Contact
Data</w:t>
            </w:r>
          </w:p>
        </w:tc>
      </w:tr>
    </w:tbl>
    <w:p>
      <w:pPr>
        <w:spacing w:after="260"/>
      </w:pPr>
    </w:p>
    <w:p>
      <w:pPr>
        <w:spacing w:after="180"/>
      </w:pPr>
      <w:r>
        <w:rPr>
          <w:b/>
          <w:bCs/>
          <w:color w:val="282525"/>
          <w:sz w:val="24"/>
          <w:szCs w:val="24"/>
        </w:rPr>
        <w:t xml:space="preserve">THE DISPATCH INTEGRATIONS DIFFERENCE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Mar>
              <w:top w:type="dxa" w:w="120"/>
              <w:left w:type="dxa" w:w="160"/>
              <w:bottom w:type="dxa" w:w="120"/>
              <w:right w:type="dxa" w:w="160"/>
            </w:tcMar>
          </w:tcPr>
          <w:p>
            <w:pPr>
              <w:spacing w:after="80"/>
            </w:pPr>
            <w:r>
              <w:rPr>
                <w:color w:val="22DBC8"/>
                <w:sz w:val="24"/>
                <w:szCs w:val="24"/>
              </w:rPr>
              <w:t xml:space="preserve">✓ </w:t>
            </w:r>
            <w:r>
              <w:rPr>
                <w:b/>
                <w:bCs/>
                <w:color w:val="282525"/>
                <w:sz w:val="22"/>
                <w:szCs w:val="22"/>
              </w:rPr>
              <w:t xml:space="preserve">Proprietary Methodologies</w:t>
            </w:r>
          </w:p>
          <w:p>
            <w:r>
              <w:rPr>
                <w:color w:val="686868"/>
                <w:sz w:val="20"/>
                <w:szCs w:val="20"/>
              </w:rPr>
              <w:t xml:space="preserve">DEEP™ and DIVE™ frameworks ensure stakeholder needs are met and processes are fundamentally transformed</w:t>
            </w:r>
          </w:p>
        </w:tc>
        <w:tc>
          <w:tcPr>
            <w:tcMar>
              <w:top w:type="dxa" w:w="120"/>
              <w:left w:type="dxa" w:w="160"/>
              <w:bottom w:type="dxa" w:w="120"/>
              <w:right w:type="dxa" w:w="160"/>
            </w:tcMar>
          </w:tcPr>
          <w:p>
            <w:pPr>
              <w:spacing w:after="80"/>
            </w:pPr>
            <w:r>
              <w:rPr>
                <w:color w:val="22DBC8"/>
                <w:sz w:val="24"/>
                <w:szCs w:val="24"/>
              </w:rPr>
              <w:t xml:space="preserve">✓ </w:t>
            </w:r>
            <w:r>
              <w:rPr>
                <w:b/>
                <w:bCs/>
                <w:color w:val="282525"/>
                <w:sz w:val="22"/>
                <w:szCs w:val="22"/>
              </w:rPr>
              <w:t xml:space="preserve">Mission-Critical Focus</w:t>
            </w:r>
          </w:p>
          <w:p>
            <w:r>
              <w:rPr>
                <w:color w:val="686868"/>
                <w:sz w:val="20"/>
                <w:szCs w:val="20"/>
              </w:rPr>
              <w:t xml:space="preserve">Specialists in intelligent, secure, reliable, and scalable solutions that maximize system value</w:t>
            </w:r>
          </w:p>
        </w:tc>
      </w:tr>
      <w:tr>
        <w:tc>
          <w:tcPr>
            <w:tcMar>
              <w:top w:type="dxa" w:w="120"/>
              <w:left w:type="dxa" w:w="160"/>
              <w:bottom w:type="dxa" w:w="120"/>
              <w:right w:type="dxa" w:w="160"/>
            </w:tcMar>
          </w:tcPr>
          <w:p>
            <w:pPr>
              <w:spacing w:after="80"/>
            </w:pPr>
            <w:r>
              <w:rPr>
                <w:color w:val="22DBC8"/>
                <w:sz w:val="24"/>
                <w:szCs w:val="24"/>
              </w:rPr>
              <w:t xml:space="preserve">✓ </w:t>
            </w:r>
            <w:r>
              <w:rPr>
                <w:b/>
                <w:bCs/>
                <w:color w:val="282525"/>
                <w:sz w:val="22"/>
                <w:szCs w:val="22"/>
              </w:rPr>
              <w:t xml:space="preserve">Governance Excellence</w:t>
            </w:r>
          </w:p>
          <w:p>
            <w:r>
              <w:rPr>
                <w:color w:val="686868"/>
                <w:sz w:val="20"/>
                <w:szCs w:val="20"/>
              </w:rPr>
              <w:t xml:space="preserve">Design low-maintenance governance models and provide strategic guidance for scalable growth</w:t>
            </w:r>
          </w:p>
        </w:tc>
        <w:tc>
          <w:tcPr>
            <w:tcMar>
              <w:top w:type="dxa" w:w="120"/>
              <w:left w:type="dxa" w:w="160"/>
              <w:bottom w:type="dxa" w:w="120"/>
              <w:right w:type="dxa" w:w="160"/>
            </w:tcMar>
          </w:tcPr>
          <w:p>
            <w:pPr>
              <w:spacing w:after="80"/>
            </w:pPr>
            <w:r>
              <w:rPr>
                <w:color w:val="22DBC8"/>
                <w:sz w:val="24"/>
                <w:szCs w:val="24"/>
              </w:rPr>
              <w:t xml:space="preserve">✓ </w:t>
            </w:r>
            <w:r>
              <w:rPr>
                <w:b/>
                <w:bCs/>
                <w:color w:val="282525"/>
                <w:sz w:val="22"/>
                <w:szCs w:val="22"/>
              </w:rPr>
              <w:t xml:space="preserve">From Start-ups to Enterprise</w:t>
            </w:r>
          </w:p>
          <w:p>
            <w:r>
              <w:rPr>
                <w:color w:val="686868"/>
                <w:sz w:val="20"/>
                <w:szCs w:val="20"/>
              </w:rPr>
              <w:t xml:space="preserve">Proven success across industries from emerging companies to global enterprises</w:t>
            </w:r>
          </w:p>
        </w:tc>
      </w:tr>
    </w:tbl>
    <w:p>
      <w:pPr>
        <w:spacing w:after="260"/>
      </w:pPr>
    </w:p>
    <w:p>
      <w:pPr>
        <w:spacing w:after="160"/>
      </w:pPr>
      <w:r>
        <w:rPr>
          <w:b/>
          <w:bCs/>
          <w:color w:val="282525"/>
          <w:sz w:val="24"/>
          <w:szCs w:val="24"/>
        </w:rPr>
        <w:t xml:space="preserve">OTHER DISPATCH + WORKATO SUCCESS STORIES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Borders>
              <w:top w:val="single" w:color="CCCCCC" w:sz="1"/>
              <w:left w:val="single" w:color="CCCCCC" w:sz="1"/>
              <w:bottom w:val="single" w:color="CCCCCC" w:sz="1"/>
              <w:right w:val="single" w:color="CCCCCC" w:sz="1"/>
            </w:tcBorders>
            <w:shd w:fill="EDEEF1" w:val="clear"/>
            <w:tcMar>
              <w:top w:type="dxa" w:w="160"/>
              <w:left w:type="dxa" w:w="160"/>
              <w:bottom w:type="dxa" w:w="160"/>
              <w:right w:type="dxa" w:w="160"/>
            </w:tcMar>
          </w:tcPr>
          <w:p>
            <w:pPr>
              <w:spacing w:after="100"/>
            </w:pPr>
            <w:r>
              <w:rPr>
                <w:b/>
                <w:bCs/>
                <w:color w:val="282525"/>
                <w:sz w:val="22"/>
                <w:szCs w:val="22"/>
              </w:rPr>
              <w:t xml:space="preserve">Slack (Their Client!)</w:t>
            </w:r>
          </w:p>
          <w:p>
            <w:r>
              <w:rPr>
                <w:color w:val="686868"/>
                <w:sz w:val="20"/>
                <w:szCs w:val="20"/>
              </w:rPr>
              <w:t xml:space="preserve">Enterprise workflow automation solutions for Slack's internal operations</w:t>
            </w:r>
          </w:p>
        </w:tc>
        <w:tc>
          <w:tcPr>
            <w:tcBorders>
              <w:top w:val="single" w:color="CCCCCC" w:sz="1"/>
              <w:left w:val="single" w:color="CCCCCC" w:sz="1"/>
              <w:bottom w:val="single" w:color="CCCCCC" w:sz="1"/>
              <w:right w:val="single" w:color="CCCCCC" w:sz="1"/>
            </w:tcBorders>
            <w:shd w:fill="EDEEF1" w:val="clear"/>
            <w:tcMar>
              <w:top w:type="dxa" w:w="160"/>
              <w:left w:type="dxa" w:w="160"/>
              <w:bottom w:type="dxa" w:w="160"/>
              <w:right w:type="dxa" w:w="160"/>
            </w:tcMar>
          </w:tcPr>
          <w:p>
            <w:pPr>
              <w:spacing w:after="100"/>
            </w:pPr>
            <w:r>
              <w:rPr>
                <w:b/>
                <w:bCs/>
                <w:color w:val="282525"/>
                <w:sz w:val="22"/>
                <w:szCs w:val="22"/>
              </w:rPr>
              <w:t xml:space="preserve">Salesforce CPQ Automation</w:t>
            </w:r>
          </w:p>
          <w:p>
            <w:r>
              <w:rPr>
                <w:color w:val="686868"/>
                <w:sz w:val="20"/>
                <w:szCs w:val="20"/>
              </w:rPr>
              <w:t xml:space="preserve">Moved approval workflows to Slack workbot, eliminating email notifications and accelerating revenue</w:t>
            </w:r>
          </w:p>
        </w:tc>
      </w:tr>
    </w:tbl>
    <w:p>
      <w:pPr>
        <w:spacing w:after="2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Borders>
              <w:top w:val="single" w:color="CCCCCC" w:sz="1"/>
              <w:left w:val="single" w:color="CCCCCC" w:sz="1"/>
              <w:bottom w:val="single" w:color="CCCCCC" w:sz="1"/>
              <w:right w:val="single" w:color="CCCCCC" w:sz="1"/>
            </w:tcBorders>
            <w:shd w:fill="282525" w:val="clear"/>
            <w:tcMar>
              <w:top w:type="dxa" w:w="240"/>
              <w:left w:type="dxa" w:w="240"/>
              <w:bottom w:type="dxa" w:w="240"/>
              <w:right w:type="dxa" w:w="240"/>
            </w:tcMar>
          </w:tcPr>
          <w:p>
            <w:pPr>
              <w:spacing w:after="140"/>
              <w:jc w:val="center"/>
            </w:pPr>
            <w:r>
              <w:rPr>
                <w:b/>
                <w:bCs/>
                <w:color w:val="FFFFFF"/>
                <w:sz w:val="28"/>
                <w:szCs w:val="28"/>
              </w:rPr>
              <w:t xml:space="preserve">Transforming Business Processes, Not Just Connecting Apps</w:t>
            </w:r>
          </w:p>
          <w:p>
            <w:pPr>
              <w:jc w:val="center"/>
            </w:pPr>
            <w:r>
              <w:rPr>
                <w:color w:val="FFFFFF"/>
                <w:sz w:val="20"/>
                <w:szCs w:val="20"/>
              </w:rPr>
              <w:t xml:space="preserve">Dispatch Integrations brings proprietary methodologies, mission-critical expertise, and a track record from start-ups to
global enterprises. They help organizations discover competitive advantages that grow revenue and profitability.</w:t>
            </w:r>
          </w:p>
        </w:tc>
      </w:tr>
    </w:tbl>
    <w:p>
      <w:pPr>
        <w:spacing w:after="180"/>
      </w:pPr>
    </w:p>
    <w:p>
      <w:pPr>
        <w:jc w:val="center"/>
      </w:pPr>
      <w:r>
        <w:rPr>
          <w:color w:val="686868"/>
          <w:sz w:val="20"/>
          <w:szCs w:val="20"/>
        </w:rPr>
        <w:t xml:space="preserve">Ready to partner with us? </w:t>
      </w:r>
      <w:r>
        <w:rPr>
          <w:b/>
          <w:bCs/>
          <w:color w:val="22DBC8"/>
          <w:sz w:val="20"/>
          <w:szCs w:val="20"/>
        </w:rPr>
        <w:t xml:space="preserve">Contact partnerships@workato.com</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2026-01-29T22:20:35.166Z</dcterms:created>
  <dcterms:modified xsi:type="dcterms:W3CDTF">2026-01-29T22:20:35.167Z</dcterms:modified>
</cp:coreProperties>
</file>

<file path=docProps/custom.xml><?xml version="1.0" encoding="utf-8"?>
<Properties xmlns="http://schemas.openxmlformats.org/officeDocument/2006/custom-properties" xmlns:vt="http://schemas.openxmlformats.org/officeDocument/2006/docPropsVTypes"/>
</file>