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686868"/>
          <w:sz w:val="18"/>
          <w:szCs w:val="18"/>
        </w:rPr>
        <w:t xml:space="preserve">PARTNER SUCCESS STORY</w:t>
      </w:r>
    </w:p>
    <w:p>
      <w:pPr>
        <w:spacing w:after="240"/>
        <w:jc w:val="center"/>
      </w:pPr>
      <w:r>
        <w:rPr>
          <w:b/>
          <w:bCs/>
          <w:color w:val="282525"/>
          <w:sz w:val="36"/>
          <w:szCs w:val="36"/>
        </w:rPr>
        <w:t xml:space="preserve">How </w:t>
      </w:r>
      <w:r>
        <w:rPr>
          <w:b/>
          <w:bCs/>
          <w:color w:val="22DBC8"/>
          <w:sz w:val="36"/>
          <w:szCs w:val="36"/>
        </w:rPr>
        <w:t xml:space="preserve">Twenty20 Systems</w:t>
      </w:r>
      <w:r>
        <w:rPr>
          <w:b/>
          <w:bCs/>
          <w:color w:val="282525"/>
          <w:sz w:val="36"/>
          <w:szCs w:val="36"/>
        </w:rPr>
        <w:t xml:space="preserve"> &amp; Workato
Powered Coinbase's $1.8M Expansion</w:t>
      </w:r>
    </w:p>
    <w:p>
      <w:pPr>
        <w:spacing w:after="360"/>
        <w:jc w:val="center"/>
      </w:pPr>
      <w:r>
        <w:rPr>
          <w:sz w:val="24"/>
          <w:szCs w:val="24"/>
        </w:rPr>
        <w:t xml:space="preserve">🏆 </w:t>
      </w:r>
      <w:r>
        <w:rPr>
          <w:b/>
          <w:bCs/>
          <w:color w:val="282525"/>
          <w:sz w:val="20"/>
          <w:szCs w:val="20"/>
        </w:rPr>
        <w:t xml:space="preserve">Gold Partner | 2023 Delivery Partner of the Year - Americas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F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b/>
                <w:bCs/>
                <w:color w:val="282525"/>
                <w:sz w:val="24"/>
                <w:szCs w:val="24"/>
              </w:rPr>
              <w:t xml:space="preserve">THE COLLABORATION</w:t>
            </w:r>
          </w:p>
          <w:p>
            <w:pPr>
              <w:spacing w:after="100"/>
            </w:pPr>
            <w:r>
              <w:rPr>
                <w:color w:val="282525"/>
                <w:sz w:val="22"/>
                <w:szCs w:val="22"/>
              </w:rPr>
              <w:t xml:space="preserve">When Coinbase needed to migrate from MuleSoft and scale their automation platform, Twenty20 Systems partnered with Workato to deliver a transformation that went far beyond a simple migration.</w:t>
            </w:r>
          </w:p>
          <w:p>
            <w:r>
              <w:rPr>
                <w:i/>
                <w:iCs/>
                <w:color w:val="282525"/>
                <w:sz w:val="22"/>
                <w:szCs w:val="22"/>
              </w:rPr>
              <w:t xml:space="preserve">"Twenty20 helped sell the initial deal, drove the migration timeline, and helped position Workato as not just a Mulesoft replacement, but truly an org-wide enterprise orchestration and agentic platform."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22DBC8"/>
                <w:sz w:val="40"/>
                <w:szCs w:val="40"/>
              </w:rPr>
              <w:t xml:space="preserve">$1.8M</w:t>
            </w:r>
          </w:p>
          <w:p>
            <w:pPr>
              <w:jc w:val="center"/>
            </w:pPr>
            <w:r>
              <w:rPr>
                <w:color w:val="282525"/>
                <w:sz w:val="20"/>
                <w:szCs w:val="20"/>
              </w:rPr>
              <w:t xml:space="preserve">ARR Expansion</w:t>
            </w:r>
          </w:p>
        </w:tc>
        <w:tc>
          <w:tcPr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22DBC8"/>
                <w:sz w:val="40"/>
                <w:szCs w:val="40"/>
              </w:rPr>
              <w:t xml:space="preserve">104%</w:t>
            </w:r>
          </w:p>
          <w:p>
            <w:pPr>
              <w:jc w:val="center"/>
            </w:pPr>
            <w:r>
              <w:rPr>
                <w:color w:val="282525"/>
                <w:sz w:val="20"/>
                <w:szCs w:val="20"/>
              </w:rPr>
              <w:t xml:space="preserve">Recipe Growth</w:t>
            </w:r>
            <w:r>
              <w:rPr>
                <w:color w:val="686868"/>
                <w:sz w:val="18"/>
                <w:szCs w:val="18"/>
              </w:rPr>
              <w:t xml:space="preserve">
(257 → 526)</w:t>
            </w:r>
          </w:p>
        </w:tc>
        <w:tc>
          <w:tcPr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22DBC8"/>
                <w:sz w:val="40"/>
                <w:szCs w:val="40"/>
              </w:rPr>
              <w:t xml:space="preserve">3.5 Years</w:t>
            </w:r>
          </w:p>
          <w:p>
            <w:pPr>
              <w:jc w:val="center"/>
            </w:pPr>
            <w:r>
              <w:rPr>
                <w:color w:val="282525"/>
                <w:sz w:val="20"/>
                <w:szCs w:val="20"/>
              </w:rPr>
              <w:t xml:space="preserve">Partnership
Journey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b/>
          <w:bCs/>
          <w:color w:val="282525"/>
          <w:sz w:val="24"/>
          <w:szCs w:val="24"/>
        </w:rPr>
        <w:t xml:space="preserve">KEY SUCCESS FACTORS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color w:val="22DBC8"/>
                <w:sz w:val="24"/>
                <w:szCs w:val="24"/>
              </w:rPr>
              <w:t xml:space="preserve">✓ </w:t>
            </w:r>
            <w:r>
              <w:rPr>
                <w:b/>
                <w:bCs/>
                <w:color w:val="282525"/>
                <w:sz w:val="22"/>
                <w:szCs w:val="22"/>
              </w:rPr>
              <w:t xml:space="preserve">Enterprise Migration Expertise</w:t>
            </w:r>
          </w:p>
          <w:p>
            <w:r>
              <w:rPr>
                <w:color w:val="686868"/>
                <w:sz w:val="20"/>
                <w:szCs w:val="20"/>
              </w:rPr>
              <w:t xml:space="preserve">Seamless MuleSoft to Workato migration with proven methodology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color w:val="22DBC8"/>
                <w:sz w:val="24"/>
                <w:szCs w:val="24"/>
              </w:rPr>
              <w:t xml:space="preserve">✓ </w:t>
            </w:r>
            <w:r>
              <w:rPr>
                <w:b/>
                <w:bCs/>
                <w:color w:val="282525"/>
                <w:sz w:val="22"/>
                <w:szCs w:val="22"/>
              </w:rPr>
              <w:t xml:space="preserve">Strategic Positioning</w:t>
            </w:r>
          </w:p>
          <w:p>
            <w:r>
              <w:rPr>
                <w:color w:val="686868"/>
                <w:sz w:val="20"/>
                <w:szCs w:val="20"/>
              </w:rPr>
              <w:t xml:space="preserve">Positioned Workato beyond replacement to enterprise platform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color w:val="22DBC8"/>
                <w:sz w:val="24"/>
                <w:szCs w:val="24"/>
              </w:rPr>
              <w:t xml:space="preserve">✓ </w:t>
            </w:r>
            <w:r>
              <w:rPr>
                <w:b/>
                <w:bCs/>
                <w:color w:val="282525"/>
                <w:sz w:val="22"/>
                <w:szCs w:val="22"/>
              </w:rPr>
              <w:t xml:space="preserve">Agentic &amp; AI Implementation</w:t>
            </w:r>
          </w:p>
          <w:p>
            <w:r>
              <w:rPr>
                <w:color w:val="686868"/>
                <w:sz w:val="20"/>
                <w:szCs w:val="20"/>
              </w:rPr>
              <w:t xml:space="preserve">Enabled cutting-edge agentic capabilities for competitive advantage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color w:val="22DBC8"/>
                <w:sz w:val="24"/>
                <w:szCs w:val="24"/>
              </w:rPr>
              <w:t xml:space="preserve">✓ </w:t>
            </w:r>
            <w:r>
              <w:rPr>
                <w:b/>
                <w:bCs/>
                <w:color w:val="282525"/>
                <w:sz w:val="22"/>
                <w:szCs w:val="22"/>
              </w:rPr>
              <w:t xml:space="preserve">Global Delivery Model</w:t>
            </w:r>
          </w:p>
          <w:p>
            <w:r>
              <w:rPr>
                <w:color w:val="686868"/>
                <w:sz w:val="20"/>
                <w:szCs w:val="20"/>
              </w:rPr>
              <w:t xml:space="preserve">Onshore US + offshore team for 24/7 support and rapid execution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52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This Is What's Possible With Strategic Partners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Twenty20 Systems brings deep Workato expertise, proven methodologies, and a track record of enterprise success.
They help customers achieve rapid time-to-value and maximize their automation investment.</w:t>
            </w:r>
          </w:p>
        </w:tc>
      </w:tr>
    </w:tbl>
    <w:p>
      <w:pPr>
        <w:spacing w:after="180"/>
      </w:pPr>
    </w:p>
    <w:p>
      <w:pPr>
        <w:jc w:val="center"/>
      </w:pPr>
      <w:r>
        <w:rPr>
          <w:color w:val="686868"/>
          <w:sz w:val="20"/>
          <w:szCs w:val="20"/>
        </w:rPr>
        <w:t xml:space="preserve">Ready to partner with us? </w:t>
      </w:r>
      <w:r>
        <w:rPr>
          <w:b/>
          <w:bCs/>
          <w:color w:val="22DBC8"/>
          <w:sz w:val="20"/>
          <w:szCs w:val="20"/>
        </w:rPr>
        <w:t xml:space="preserve">Contact partnerships@workato.com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2026-01-29T22:17:06.260Z</dcterms:created>
  <dcterms:modified xsi:type="dcterms:W3CDTF">2026-01-29T22:17:06.261Z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