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SmartTar — User’s Guide</w:t>
      </w:r>
    </w:p>
    <w:p>
      <w:pPr>
        <w:pStyle w:val="Subtitle"/>
      </w:pPr>
      <w:r>
        <w:t xml:space="preserve">Version 2.34</w:t>
      </w:r>
    </w:p>
    <w:p>
      <w:pPr>
        <w:pStyle w:val="Author"/>
      </w:pPr>
      <w:r>
        <w:t xml:space="preserve">MicroDiseño Ltda.</w:t>
      </w:r>
    </w:p>
    <w:p>
      <w:pPr>
        <w:pStyle w:val="Date"/>
      </w:pPr>
      <w:r>
        <w:t xml:space="preserve">Copyright © 1993–2003. All rights reserved.</w:t>
      </w:r>
    </w:p>
    <w:bookmarkStart w:id="11" w:name="introduction"/>
    <w:p>
      <w:pPr>
        <w:pStyle w:val="Heading1"/>
      </w:pPr>
      <w:r>
        <w:t xml:space="preserve">Introduction</w:t>
      </w:r>
    </w:p>
    <w:p>
      <w:pPr>
        <w:pStyle w:val="FirstParagraph"/>
      </w:pPr>
      <w:r>
        <w:t xml:space="preserve">SmartTar is a real-time telephone tariff management system for public telephone booth centers. It monitors active calls, calculates charges according to configurable tariff schedules, prints itemized receipts with tax, and maintains a complete transaction history.</w:t>
      </w:r>
    </w:p>
    <w:p>
      <w:pPr>
        <w:pStyle w:val="BodyText"/>
      </w:pPr>
      <w:r>
        <w:t xml:space="preserve">This guide covers the day-to-day operation of SmartTar for telephone center operators and supervisors. For technical configuration details, system architecture, and hardware installation, refer to the</w:t>
      </w:r>
      <w:r>
        <w:t xml:space="preserve"> </w:t>
      </w:r>
      <w:r>
        <w:rPr>
          <w:i/>
          <w:iCs/>
        </w:rPr>
        <w:t xml:space="preserve">SmartTar Reference Manual</w:t>
      </w:r>
      <w:r>
        <w:t xml:space="preserve">.</w:t>
      </w:r>
    </w:p>
    <w:bookmarkStart w:id="9" w:name="conventions-used-in-this-guide"/>
    <w:p>
      <w:pPr>
        <w:pStyle w:val="Heading2"/>
      </w:pPr>
      <w:r>
        <w:t xml:space="preserve">Conventions Used in This Guide</w:t>
      </w:r>
    </w:p>
    <w:p>
      <w:pPr>
        <w:pStyle w:val="Compact"/>
        <w:numPr>
          <w:ilvl w:val="0"/>
          <w:numId w:val="1001"/>
        </w:numPr>
      </w:pPr>
      <w:r>
        <w:t xml:space="preserve">Menu paths are written as</w:t>
      </w:r>
      <w:r>
        <w:t xml:space="preserve"> </w:t>
      </w:r>
      <w:r>
        <w:rPr>
          <w:b/>
          <w:bCs/>
        </w:rPr>
        <w:t xml:space="preserve">Menu &gt; Item</w:t>
      </w:r>
      <w:r>
        <w:t xml:space="preserve"> </w:t>
      </w:r>
      <w:r>
        <w:t xml:space="preserve">(e.g.,</w:t>
      </w:r>
      <w:r>
        <w:t xml:space="preserve"> </w:t>
      </w:r>
      <w:r>
        <w:rPr>
          <w:b/>
          <w:bCs/>
        </w:rPr>
        <w:t xml:space="preserve">Configuración &gt; Fecha y Hora</w:t>
      </w:r>
      <w:r>
        <w:t xml:space="preserve">).</w:t>
      </w:r>
    </w:p>
    <w:p>
      <w:pPr>
        <w:pStyle w:val="Compact"/>
        <w:numPr>
          <w:ilvl w:val="0"/>
          <w:numId w:val="1001"/>
        </w:numPr>
      </w:pPr>
      <w:r>
        <w:t xml:space="preserve">Key combinations use the format</w:t>
      </w:r>
      <w:r>
        <w:t xml:space="preserve"> </w:t>
      </w:r>
      <w:r>
        <w:rPr>
          <w:b/>
          <w:bCs/>
        </w:rPr>
        <w:t xml:space="preserve">Alt+F4</w:t>
      </w:r>
      <w:r>
        <w:t xml:space="preserve">,</w:t>
      </w:r>
      <w:r>
        <w:t xml:space="preserve"> </w:t>
      </w:r>
      <w:r>
        <w:rPr>
          <w:b/>
          <w:bCs/>
        </w:rPr>
        <w:t xml:space="preserve">F1</w:t>
      </w:r>
      <w:r>
        <w:t xml:space="preserve">,</w:t>
      </w:r>
      <w:r>
        <w:t xml:space="preserve"> </w:t>
      </w:r>
      <w:r>
        <w:rPr>
          <w:b/>
          <w:bCs/>
        </w:rPr>
        <w:t xml:space="preserve">Enter</w:t>
      </w:r>
      <w:r>
        <w:t xml:space="preserve">.</w:t>
      </w:r>
    </w:p>
    <w:p>
      <w:pPr>
        <w:pStyle w:val="Compact"/>
        <w:numPr>
          <w:ilvl w:val="0"/>
          <w:numId w:val="1001"/>
        </w:numPr>
      </w:pPr>
      <w:r>
        <w:t xml:space="preserve">Button labels in dialogs appear in</w:t>
      </w:r>
      <w:r>
        <w:t xml:space="preserve"> </w:t>
      </w:r>
      <w:r>
        <w:rPr>
          <w:b/>
          <w:bCs/>
        </w:rPr>
        <w:t xml:space="preserve">bold</w:t>
      </w:r>
      <w:r>
        <w:t xml:space="preserve">.</w:t>
      </w:r>
    </w:p>
    <w:p>
      <w:pPr>
        <w:pStyle w:val="Compact"/>
        <w:numPr>
          <w:ilvl w:val="0"/>
          <w:numId w:val="1001"/>
        </w:numPr>
      </w:pPr>
      <w:r>
        <w:t xml:space="preserve">Field names in dialogs appear in</w:t>
      </w:r>
      <w:r>
        <w:t xml:space="preserve"> </w:t>
      </w:r>
      <w:r>
        <w:rPr>
          <w:i/>
          <w:iCs/>
        </w:rPr>
        <w:t xml:space="preserve">italics</w:t>
      </w:r>
      <w:r>
        <w:t xml:space="preserve">.</w:t>
      </w:r>
    </w:p>
    <w:p>
      <w:pPr>
        <w:pStyle w:val="Compact"/>
        <w:numPr>
          <w:ilvl w:val="0"/>
          <w:numId w:val="1001"/>
        </w:numPr>
      </w:pPr>
      <w:r>
        <w:t xml:space="preserve">Important notes appear as:</w:t>
      </w:r>
      <w:r>
        <w:t xml:space="preserve"> </w:t>
      </w:r>
      <w:r>
        <w:rPr>
          <w:b/>
          <w:bCs/>
        </w:rPr>
        <w:t xml:space="preserve">Note:</w:t>
      </w:r>
      <w:r>
        <w:t xml:space="preserve"> </w:t>
      </w:r>
      <w:r>
        <w:t xml:space="preserve">text.</w:t>
      </w:r>
    </w:p>
    <w:bookmarkEnd w:id="9"/>
    <w:bookmarkStart w:id="10" w:name="basic-navigation"/>
    <w:p>
      <w:pPr>
        <w:pStyle w:val="Heading2"/>
      </w:pPr>
      <w:r>
        <w:t xml:space="preserve">Basic Navigation</w:t>
      </w:r>
    </w:p>
    <w:p>
      <w:pPr>
        <w:pStyle w:val="FirstParagraph"/>
      </w:pPr>
      <w:r>
        <w:t xml:space="preserve">SmartTar uses the Zinc graphical user interface. All windows, menus, and dialogs can be operated with either the keyboard or a mouse.</w:t>
      </w:r>
    </w:p>
    <w:p>
      <w:pPr>
        <w:pStyle w:val="Compact"/>
        <w:numPr>
          <w:ilvl w:val="0"/>
          <w:numId w:val="1002"/>
        </w:numPr>
      </w:pPr>
      <w:r>
        <w:rPr>
          <w:b/>
          <w:bCs/>
        </w:rPr>
        <w:t xml:space="preserve">Menu bar.</w:t>
      </w:r>
      <w:r>
        <w:t xml:space="preserve"> </w:t>
      </w:r>
      <w:r>
        <w:t xml:space="preserve">The menu bar at the top of the screen contains the main menus. Press the underlined letter while holding</w:t>
      </w:r>
      <w:r>
        <w:t xml:space="preserve"> </w:t>
      </w:r>
      <w:r>
        <w:rPr>
          <w:b/>
          <w:bCs/>
        </w:rPr>
        <w:t xml:space="preserve">Alt</w:t>
      </w:r>
      <w:r>
        <w:t xml:space="preserve"> </w:t>
      </w:r>
      <w:r>
        <w:t xml:space="preserve">to open a menu, or click the menu title with the mouse.</w:t>
      </w:r>
    </w:p>
    <w:p>
      <w:pPr>
        <w:pStyle w:val="Compact"/>
        <w:numPr>
          <w:ilvl w:val="0"/>
          <w:numId w:val="1002"/>
        </w:numPr>
      </w:pPr>
      <w:r>
        <w:rPr>
          <w:b/>
          <w:bCs/>
        </w:rPr>
        <w:t xml:space="preserve">Toolbar.</w:t>
      </w:r>
      <w:r>
        <w:t xml:space="preserve"> </w:t>
      </w:r>
      <w:r>
        <w:t xml:space="preserve">A row of icon buttons provides quick access to the most common actions.</w:t>
      </w:r>
    </w:p>
    <w:p>
      <w:pPr>
        <w:pStyle w:val="Compact"/>
        <w:numPr>
          <w:ilvl w:val="0"/>
          <w:numId w:val="1002"/>
        </w:numPr>
      </w:pPr>
      <w:r>
        <w:rPr>
          <w:b/>
          <w:bCs/>
        </w:rPr>
        <w:t xml:space="preserve">Dialogs.</w:t>
      </w:r>
      <w:r>
        <w:t xml:space="preserve"> </w:t>
      </w:r>
      <w:r>
        <w:t xml:space="preserve">Use</w:t>
      </w:r>
      <w:r>
        <w:t xml:space="preserve"> </w:t>
      </w:r>
      <w:r>
        <w:rPr>
          <w:b/>
          <w:bCs/>
        </w:rPr>
        <w:t xml:space="preserve">Tab</w:t>
      </w:r>
      <w:r>
        <w:t xml:space="preserve"> </w:t>
      </w:r>
      <w:r>
        <w:t xml:space="preserve">/</w:t>
      </w:r>
      <w:r>
        <w:t xml:space="preserve"> </w:t>
      </w:r>
      <w:r>
        <w:rPr>
          <w:b/>
          <w:bCs/>
        </w:rPr>
        <w:t xml:space="preserve">Shift+Tab</w:t>
      </w:r>
      <w:r>
        <w:t xml:space="preserve"> </w:t>
      </w:r>
      <w:r>
        <w:t xml:space="preserve">to move between fields. Press</w:t>
      </w:r>
      <w:r>
        <w:t xml:space="preserve"> </w:t>
      </w:r>
      <w:r>
        <w:rPr>
          <w:b/>
          <w:bCs/>
        </w:rPr>
        <w:t xml:space="preserve">Enter</w:t>
      </w:r>
      <w:r>
        <w:t xml:space="preserve"> </w:t>
      </w:r>
      <w:r>
        <w:t xml:space="preserve">to accept (</w:t>
      </w:r>
      <w:r>
        <w:rPr>
          <w:b/>
          <w:bCs/>
        </w:rPr>
        <w:t xml:space="preserve">Aceptar</w:t>
      </w:r>
      <w:r>
        <w:t xml:space="preserve">) or</w:t>
      </w:r>
      <w:r>
        <w:t xml:space="preserve"> </w:t>
      </w:r>
      <w:r>
        <w:rPr>
          <w:b/>
          <w:bCs/>
        </w:rPr>
        <w:t xml:space="preserve">Esc</w:t>
      </w:r>
      <w:r>
        <w:t xml:space="preserve"> </w:t>
      </w:r>
      <w:r>
        <w:t xml:space="preserve">to cancel (</w:t>
      </w:r>
      <w:r>
        <w:rPr>
          <w:b/>
          <w:bCs/>
        </w:rPr>
        <w:t xml:space="preserve">Cancelar</w:t>
      </w:r>
      <w:r>
        <w:t xml:space="preserve">).</w:t>
      </w:r>
    </w:p>
    <w:p>
      <w:pPr>
        <w:pStyle w:val="Compact"/>
        <w:numPr>
          <w:ilvl w:val="0"/>
          <w:numId w:val="1002"/>
        </w:numPr>
      </w:pPr>
      <w:r>
        <w:rPr>
          <w:b/>
          <w:bCs/>
        </w:rPr>
        <w:t xml:space="preserve">Help.</w:t>
      </w:r>
      <w:r>
        <w:t xml:space="preserve"> </w:t>
      </w:r>
      <w:r>
        <w:t xml:space="preserve">Press</w:t>
      </w:r>
      <w:r>
        <w:t xml:space="preserve"> </w:t>
      </w:r>
      <w:r>
        <w:rPr>
          <w:b/>
          <w:bCs/>
        </w:rPr>
        <w:t xml:space="preserve">F1</w:t>
      </w:r>
      <w:r>
        <w:t xml:space="preserve"> </w:t>
      </w:r>
      <w:r>
        <w:t xml:space="preserve">at any time for context-sensitive help for the current window.</w:t>
      </w:r>
    </w:p>
    <w:p>
      <w:pPr>
        <w:pStyle w:val="Compact"/>
        <w:numPr>
          <w:ilvl w:val="0"/>
          <w:numId w:val="1002"/>
        </w:numPr>
      </w:pPr>
      <w:r>
        <w:rPr>
          <w:b/>
          <w:bCs/>
        </w:rPr>
        <w:t xml:space="preserve">Exit.</w:t>
      </w:r>
      <w:r>
        <w:t xml:space="preserve"> </w:t>
      </w:r>
      <w:r>
        <w:t xml:space="preserve">Press</w:t>
      </w:r>
      <w:r>
        <w:t xml:space="preserve"> </w:t>
      </w:r>
      <w:r>
        <w:rPr>
          <w:b/>
          <w:bCs/>
        </w:rPr>
        <w:t xml:space="preserve">Alt+F4</w:t>
      </w:r>
      <w:r>
        <w:t xml:space="preserve"> </w:t>
      </w:r>
      <w:r>
        <w:t xml:space="preserve">or close the main window. A confirmation dialog will appear.</w:t>
      </w:r>
    </w:p>
    <w:p>
      <w:r>
        <w:pict>
          <v:rect style="width:0;height:1.5pt" o:hralign="center" o:hrstd="t" o:hr="t"/>
        </w:pict>
      </w:r>
    </w:p>
    <w:bookmarkEnd w:id="10"/>
    <w:bookmarkEnd w:id="11"/>
    <w:bookmarkStart w:id="16" w:name="starting-the-system"/>
    <w:p>
      <w:pPr>
        <w:pStyle w:val="Heading1"/>
      </w:pPr>
      <w:r>
        <w:t xml:space="preserve">Starting the System</w:t>
      </w:r>
    </w:p>
    <w:bookmarkStart w:id="12" w:name="prerequisites"/>
    <w:p>
      <w:pPr>
        <w:pStyle w:val="Heading2"/>
      </w:pPr>
      <w:r>
        <w:t xml:space="preserve">Prerequisites</w:t>
      </w:r>
    </w:p>
    <w:p>
      <w:pPr>
        <w:pStyle w:val="Compact"/>
        <w:numPr>
          <w:ilvl w:val="0"/>
          <w:numId w:val="1003"/>
        </w:numPr>
      </w:pPr>
      <w:r>
        <w:t xml:space="preserve">The hardware dongle (EEPROM key) must be connected to the parallel port (LPT1) before starting.</w:t>
      </w:r>
    </w:p>
    <w:p>
      <w:pPr>
        <w:pStyle w:val="Compact"/>
        <w:numPr>
          <w:ilvl w:val="0"/>
          <w:numId w:val="1003"/>
        </w:numPr>
      </w:pPr>
      <w:r>
        <w:t xml:space="preserve">The STB-x telephone cluster boards must be installed and connected to the telephone lines.</w:t>
      </w:r>
    </w:p>
    <w:p>
      <w:pPr>
        <w:pStyle w:val="Compact"/>
        <w:numPr>
          <w:ilvl w:val="0"/>
          <w:numId w:val="1003"/>
        </w:numPr>
      </w:pPr>
      <w:r>
        <w:t xml:space="preserve">The printer must be connected, powered on, and loaded with paper.</w:t>
      </w:r>
    </w:p>
    <w:p>
      <w:pPr>
        <w:pStyle w:val="Compact"/>
        <w:numPr>
          <w:ilvl w:val="0"/>
          <w:numId w:val="1003"/>
        </w:numPr>
      </w:pPr>
      <w:r>
        <w:t xml:space="preserve">All runtime data files (ST.CFG, RES.DAT, PH_INFO.DAT, etc.) must be present in the application directory.</w:t>
      </w:r>
    </w:p>
    <w:bookmarkEnd w:id="12"/>
    <w:bookmarkStart w:id="13" w:name="starting-the-application"/>
    <w:p>
      <w:pPr>
        <w:pStyle w:val="Heading2"/>
      </w:pPr>
      <w:r>
        <w:t xml:space="preserve">Starting the Application</w:t>
      </w:r>
    </w:p>
    <w:p>
      <w:pPr>
        <w:pStyle w:val="FirstParagraph"/>
      </w:pPr>
      <w:r>
        <w:t xml:space="preserve">From the DOS prompt, change to the application directory and run:</w:t>
      </w:r>
    </w:p>
    <w:p>
      <w:pPr>
        <w:pStyle w:val="SourceCode"/>
      </w:pPr>
      <w:r>
        <w:rPr>
          <w:rStyle w:val="VerbatimChar"/>
        </w:rPr>
        <w:t xml:space="preserve">C:\SMARTTAR\BIN&gt; ST</w:t>
      </w:r>
    </w:p>
    <w:p>
      <w:pPr>
        <w:pStyle w:val="FirstParagraph"/>
      </w:pPr>
      <w:r>
        <w:t xml:space="preserve">The application loads the Pharlap DOS extender, displays the version and serial number, then initializes the graphical interface. The main window opens maximized.</w:t>
      </w:r>
    </w:p>
    <w:bookmarkEnd w:id="13"/>
    <w:bookmarkStart w:id="14" w:name="startup-sequence"/>
    <w:p>
      <w:pPr>
        <w:pStyle w:val="Heading2"/>
      </w:pPr>
      <w:r>
        <w:t xml:space="preserve">Startup Sequence</w:t>
      </w:r>
    </w:p>
    <w:p>
      <w:pPr>
        <w:pStyle w:val="FirstParagraph"/>
      </w:pPr>
      <w:r>
        <w:t xml:space="preserve">During startup, SmartTar performs the following steps:</w:t>
      </w:r>
    </w:p>
    <w:p>
      <w:pPr>
        <w:pStyle w:val="Compact"/>
        <w:numPr>
          <w:ilvl w:val="0"/>
          <w:numId w:val="1004"/>
        </w:numPr>
      </w:pPr>
      <w:r>
        <w:rPr>
          <w:b/>
          <w:bCs/>
        </w:rPr>
        <w:t xml:space="preserve">Hardware authentication.</w:t>
      </w:r>
      <w:r>
        <w:t xml:space="preserve"> </w:t>
      </w:r>
      <w:r>
        <w:t xml:space="preserve">The EEPROM dongle is read and validated. If the dongle is missing or the version does not match, the message</w:t>
      </w:r>
      <w:r>
        <w:t xml:space="preserve"> </w:t>
      </w:r>
      <w:r>
        <w:rPr>
          <w:b/>
          <w:bCs/>
        </w:rPr>
        <w:t xml:space="preserve">“Acceso Negado”</w:t>
      </w:r>
      <w:r>
        <w:t xml:space="preserve"> </w:t>
      </w:r>
      <w:r>
        <w:t xml:space="preserve">is displayed and the application exits.</w:t>
      </w:r>
    </w:p>
    <w:p>
      <w:pPr>
        <w:pStyle w:val="Compact"/>
        <w:numPr>
          <w:ilvl w:val="0"/>
          <w:numId w:val="1004"/>
        </w:numPr>
      </w:pPr>
      <w:r>
        <w:rPr>
          <w:b/>
          <w:bCs/>
        </w:rPr>
        <w:t xml:space="preserve">Configuration load.</w:t>
      </w:r>
      <w:r>
        <w:t xml:space="preserve"> </w:t>
      </w:r>
      <w:r>
        <w:t xml:space="preserve">ST.CFG and ST.INI are read from the application directory.</w:t>
      </w:r>
    </w:p>
    <w:p>
      <w:pPr>
        <w:pStyle w:val="Compact"/>
        <w:numPr>
          <w:ilvl w:val="0"/>
          <w:numId w:val="1004"/>
        </w:numPr>
      </w:pPr>
      <w:r>
        <w:rPr>
          <w:b/>
          <w:bCs/>
        </w:rPr>
        <w:t xml:space="preserve">Telephony database load.</w:t>
      </w:r>
      <w:r>
        <w:t xml:space="preserve"> </w:t>
      </w:r>
      <w:r>
        <w:t xml:space="preserve">PH_INFO.DAT is loaded into protected-mode memory.</w:t>
      </w:r>
    </w:p>
    <w:p>
      <w:pPr>
        <w:pStyle w:val="Compact"/>
        <w:numPr>
          <w:ilvl w:val="0"/>
          <w:numId w:val="1004"/>
        </w:numPr>
      </w:pPr>
      <w:r>
        <w:rPr>
          <w:b/>
          <w:bCs/>
        </w:rPr>
        <w:t xml:space="preserve">Cluster detection.</w:t>
      </w:r>
      <w:r>
        <w:t xml:space="preserve"> </w:t>
      </w:r>
      <w:r>
        <w:t xml:space="preserve">The real-time engine probes each configured cluster port to count physically installed STB-x boards. The ACTIVE_CLUSTERS count is updated accordingly.</w:t>
      </w:r>
    </w:p>
    <w:p>
      <w:pPr>
        <w:pStyle w:val="Compact"/>
        <w:numPr>
          <w:ilvl w:val="0"/>
          <w:numId w:val="1004"/>
        </w:numPr>
      </w:pPr>
      <w:r>
        <w:rPr>
          <w:b/>
          <w:bCs/>
        </w:rPr>
        <w:t xml:space="preserve">Bad shutdown recovery.</w:t>
      </w:r>
      <w:r>
        <w:t xml:space="preserve"> </w:t>
      </w:r>
      <w:r>
        <w:t xml:space="preserve">If the previous session did not terminate cleanly, a recovery prompt is displayed.</w:t>
      </w:r>
    </w:p>
    <w:p>
      <w:pPr>
        <w:pStyle w:val="Compact"/>
        <w:numPr>
          <w:ilvl w:val="0"/>
          <w:numId w:val="1004"/>
        </w:numPr>
      </w:pPr>
      <w:r>
        <w:rPr>
          <w:b/>
          <w:bCs/>
        </w:rPr>
        <w:t xml:space="preserve">Main view display.</w:t>
      </w:r>
      <w:r>
        <w:t xml:space="preserve"> </w:t>
      </w:r>
      <w:r>
        <w:t xml:space="preserve">The booth monitoring view is shown, maximized to full screen.</w:t>
      </w:r>
    </w:p>
    <w:bookmarkEnd w:id="14"/>
    <w:bookmarkStart w:id="15" w:name="bad-shutdown-recovery"/>
    <w:p>
      <w:pPr>
        <w:pStyle w:val="Heading2"/>
      </w:pPr>
      <w:r>
        <w:t xml:space="preserve">Bad Shutdown Recovery</w:t>
      </w:r>
    </w:p>
    <w:p>
      <w:pPr>
        <w:pStyle w:val="FirstParagraph"/>
      </w:pPr>
      <w:r>
        <w:t xml:space="preserve">If the previous session ended abnormally (power failure, system reset, application crash), the EEPROM dongle records this as a BAD_SHUTDOWN event. On the next startup, SmartTar displays the date and time of the abnormal termination and asks whether to proceed with recovery.</w:t>
      </w:r>
    </w:p>
    <w:p>
      <w:pPr>
        <w:pStyle w:val="BodyText"/>
      </w:pPr>
      <w:r>
        <w:t xml:space="preserve">During the 5-second recovery window, press the appropriate key to bypass recovery, or wait for the timeout to let recovery proceed automatically. Recovery restores the receipt counter from the last known good EEPROM state, preventing duplicate or missing receipt numbers.</w:t>
      </w:r>
    </w:p>
    <w:p>
      <w:pPr>
        <w:pStyle w:val="BodyText"/>
      </w:pPr>
      <w:r>
        <w:rPr>
          <w:b/>
          <w:bCs/>
        </w:rPr>
        <w:t xml:space="preserve">Note:</w:t>
      </w:r>
      <w:r>
        <w:t xml:space="preserve"> </w:t>
      </w:r>
      <w:r>
        <w:t xml:space="preserve">Always allow recovery to complete if you are unsure. Bypassing recovery may result in receipt numbering gaps.</w:t>
      </w:r>
    </w:p>
    <w:p>
      <w:r>
        <w:pict>
          <v:rect style="width:0;height:1.5pt" o:hralign="center" o:hrstd="t" o:hr="t"/>
        </w:pict>
      </w:r>
    </w:p>
    <w:bookmarkEnd w:id="15"/>
    <w:bookmarkEnd w:id="16"/>
    <w:bookmarkStart w:id="21" w:name="main-screen-layout"/>
    <w:p>
      <w:pPr>
        <w:pStyle w:val="Heading1"/>
      </w:pPr>
      <w:r>
        <w:t xml:space="preserve">Main Screen Layout</w:t>
      </w:r>
    </w:p>
    <w:p>
      <w:pPr>
        <w:pStyle w:val="FirstParagraph"/>
      </w:pPr>
      <w:r>
        <w:t xml:space="preserve">The main SmartTar screen is divided into four functional areas.</w:t>
      </w:r>
    </w:p>
    <w:bookmarkStart w:id="17" w:name="menu-bar"/>
    <w:p>
      <w:pPr>
        <w:pStyle w:val="Heading2"/>
      </w:pPr>
      <w:r>
        <w:t xml:space="preserve">Menu Bar</w:t>
      </w:r>
    </w:p>
    <w:p>
      <w:pPr>
        <w:pStyle w:val="FirstParagraph"/>
      </w:pPr>
      <w:r>
        <w:t xml:space="preserve">Located at the top of the screen. Available menus depend on the current operator’s access level: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w:t>
            </w:r>
          </w:p>
        </w:tc>
        <w:tc>
          <w:tcPr/>
          <w:p>
            <w:pPr>
              <w:pStyle w:val="Compact"/>
            </w:pPr>
            <w:r>
              <w:t xml:space="preserve">Contents</w:t>
            </w:r>
          </w:p>
        </w:tc>
      </w:tr>
      <w:tr>
        <w:tc>
          <w:tcPr/>
          <w:p>
            <w:pPr>
              <w:pStyle w:val="Compact"/>
            </w:pPr>
            <w:r>
              <w:rPr>
                <w:b/>
                <w:bCs/>
              </w:rPr>
              <w:t xml:space="preserve">Archivo</w:t>
            </w:r>
            <w:r>
              <w:t xml:space="preserve"> </w:t>
            </w:r>
            <w:r>
              <w:t xml:space="preserve">(File)</w:t>
            </w:r>
          </w:p>
        </w:tc>
        <w:tc>
          <w:tcPr/>
          <w:p>
            <w:pPr>
              <w:pStyle w:val="Compact"/>
            </w:pPr>
            <w:r>
              <w:t xml:space="preserve">Turn management (start/end turn), archiving, exit.</w:t>
            </w:r>
          </w:p>
        </w:tc>
      </w:tr>
      <w:tr>
        <w:tc>
          <w:tcPr/>
          <w:p>
            <w:pPr>
              <w:pStyle w:val="Compact"/>
            </w:pPr>
            <w:r>
              <w:rPr>
                <w:b/>
                <w:bCs/>
              </w:rPr>
              <w:t xml:space="preserve">Imprimir</w:t>
            </w:r>
            <w:r>
              <w:t xml:space="preserve"> </w:t>
            </w:r>
            <w:r>
              <w:t xml:space="preserve">(Print)</w:t>
            </w:r>
          </w:p>
        </w:tc>
        <w:tc>
          <w:tcPr/>
          <w:p>
            <w:pPr>
              <w:pStyle w:val="Compact"/>
            </w:pPr>
            <w:r>
              <w:t xml:space="preserve">Report printing: sales accumulator, booth history, transaction log.</w:t>
            </w:r>
          </w:p>
        </w:tc>
      </w:tr>
      <w:tr>
        <w:tc>
          <w:tcPr/>
          <w:p>
            <w:pPr>
              <w:pStyle w:val="Compact"/>
            </w:pPr>
            <w:r>
              <w:rPr>
                <w:b/>
                <w:bCs/>
              </w:rPr>
              <w:t xml:space="preserve">Configuración</w:t>
            </w:r>
            <w:r>
              <w:t xml:space="preserve"> </w:t>
            </w:r>
            <w:r>
              <w:t xml:space="preserve">(Configuration)</w:t>
            </w:r>
          </w:p>
        </w:tc>
        <w:tc>
          <w:tcPr/>
          <w:p>
            <w:pPr>
              <w:pStyle w:val="Compact"/>
            </w:pPr>
            <w:r>
              <w:t xml:space="preserve">System configuration dialogs: time/date, signal type, timing, printer, telephony settings.</w:t>
            </w:r>
          </w:p>
        </w:tc>
      </w:tr>
      <w:tr>
        <w:tc>
          <w:tcPr/>
          <w:p>
            <w:pPr>
              <w:pStyle w:val="Compact"/>
            </w:pPr>
            <w:r>
              <w:rPr>
                <w:b/>
                <w:bCs/>
              </w:rPr>
              <w:t xml:space="preserve">Información</w:t>
            </w:r>
            <w:r>
              <w:t xml:space="preserve"> </w:t>
            </w:r>
            <w:r>
              <w:t xml:space="preserve">(Information)</w:t>
            </w:r>
          </w:p>
        </w:tc>
        <w:tc>
          <w:tcPr/>
          <w:p>
            <w:pPr>
              <w:pStyle w:val="Compact"/>
            </w:pPr>
            <w:r>
              <w:t xml:space="preserve">System information, version, serial number.</w:t>
            </w:r>
          </w:p>
        </w:tc>
      </w:tr>
      <w:tr>
        <w:tc>
          <w:tcPr/>
          <w:p>
            <w:pPr>
              <w:pStyle w:val="Compact"/>
            </w:pPr>
            <w:r>
              <w:rPr>
                <w:b/>
                <w:bCs/>
              </w:rPr>
              <w:t xml:space="preserve">Simulación</w:t>
            </w:r>
            <w:r>
              <w:t xml:space="preserve"> </w:t>
            </w:r>
            <w:r>
              <w:t xml:space="preserve">(Simulation)</w:t>
            </w:r>
          </w:p>
        </w:tc>
        <w:tc>
          <w:tcPr/>
          <w:p>
            <w:pPr>
              <w:pStyle w:val="Compact"/>
            </w:pPr>
            <w:r>
              <w:t xml:space="preserve">(Demo/development builds only.) Simulated call testing.</w:t>
            </w:r>
          </w:p>
        </w:tc>
      </w:tr>
      <w:tr>
        <w:tc>
          <w:tcPr/>
          <w:p>
            <w:pPr>
              <w:pStyle w:val="Compact"/>
            </w:pPr>
            <w:r>
              <w:rPr>
                <w:b/>
                <w:bCs/>
              </w:rPr>
              <w:t xml:space="preserve">Ayuda</w:t>
            </w:r>
            <w:r>
              <w:t xml:space="preserve"> </w:t>
            </w:r>
            <w:r>
              <w:t xml:space="preserve">(Help)</w:t>
            </w:r>
          </w:p>
        </w:tc>
        <w:tc>
          <w:tcPr/>
          <w:p>
            <w:pPr>
              <w:pStyle w:val="Compact"/>
            </w:pPr>
            <w:r>
              <w:t xml:space="preserve">In-application help and about dialog.</w:t>
            </w:r>
          </w:p>
        </w:tc>
      </w:tr>
    </w:tbl>
    <w:bookmarkEnd w:id="17"/>
    <w:bookmarkStart w:id="18" w:name="toolbar"/>
    <w:p>
      <w:pPr>
        <w:pStyle w:val="Heading2"/>
      </w:pPr>
      <w:r>
        <w:t xml:space="preserve">Toolbar</w:t>
      </w:r>
    </w:p>
    <w:p>
      <w:pPr>
        <w:pStyle w:val="FirstParagraph"/>
      </w:pPr>
      <w:r>
        <w:t xml:space="preserve">The toolbar below the menu bar provides icon buttons for the most frequent operations, including manual settlement, printing, configuration shortcuts, and view options. Hover over a button to see its function in the status bar.</w:t>
      </w:r>
    </w:p>
    <w:bookmarkEnd w:id="18"/>
    <w:bookmarkStart w:id="19" w:name="booth-view-main-working-area"/>
    <w:p>
      <w:pPr>
        <w:pStyle w:val="Heading2"/>
      </w:pPr>
      <w:r>
        <w:t xml:space="preserve">Booth View (Main Working Area)</w:t>
      </w:r>
    </w:p>
    <w:p>
      <w:pPr>
        <w:pStyle w:val="FirstParagraph"/>
      </w:pPr>
      <w:r>
        <w:t xml:space="preserve">The central area shows a grid of booth cells, one per telephone booth. Each cell displays:</w:t>
      </w:r>
    </w:p>
    <w:p>
      <w:pPr>
        <w:pStyle w:val="Compact"/>
        <w:numPr>
          <w:ilvl w:val="0"/>
          <w:numId w:val="1005"/>
        </w:numPr>
      </w:pPr>
      <w:r>
        <w:t xml:space="preserve">Booth name or number (configurable in</w:t>
      </w:r>
      <w:r>
        <w:t xml:space="preserve"> </w:t>
      </w:r>
      <w:r>
        <w:rPr>
          <w:b/>
          <w:bCs/>
        </w:rPr>
        <w:t xml:space="preserve">Configuración &gt; Nombres de cabinas</w:t>
      </w:r>
      <w:r>
        <w:t xml:space="preserve">).</w:t>
      </w:r>
    </w:p>
    <w:p>
      <w:pPr>
        <w:pStyle w:val="Compact"/>
        <w:numPr>
          <w:ilvl w:val="0"/>
          <w:numId w:val="1005"/>
        </w:numPr>
      </w:pPr>
      <w:r>
        <w:t xml:space="preserve">Current call state (idle, off-hook, dialing, ringing, connected, locked).</w:t>
      </w:r>
    </w:p>
    <w:p>
      <w:pPr>
        <w:pStyle w:val="Compact"/>
        <w:numPr>
          <w:ilvl w:val="0"/>
          <w:numId w:val="1005"/>
        </w:numPr>
      </w:pPr>
      <w:r>
        <w:t xml:space="preserve">Elapsed call time (displayed in real time during a connected call).</w:t>
      </w:r>
    </w:p>
    <w:p>
      <w:pPr>
        <w:pStyle w:val="Compact"/>
        <w:numPr>
          <w:ilvl w:val="0"/>
          <w:numId w:val="1005"/>
        </w:numPr>
      </w:pPr>
      <w:r>
        <w:t xml:space="preserve">Accumulated call cost (updated in real time; decimal places set by VIEW_DECIMALS).</w:t>
      </w:r>
    </w:p>
    <w:p>
      <w:pPr>
        <w:pStyle w:val="Compact"/>
        <w:numPr>
          <w:ilvl w:val="0"/>
          <w:numId w:val="1005"/>
        </w:numPr>
      </w:pPr>
      <w:r>
        <w:t xml:space="preserve">Call type indicator (local, DDN, DDI, cellular, border).</w:t>
      </w:r>
    </w:p>
    <w:p>
      <w:pPr>
        <w:pStyle w:val="Compact"/>
        <w:numPr>
          <w:ilvl w:val="0"/>
          <w:numId w:val="1005"/>
        </w:numPr>
      </w:pPr>
      <w:r>
        <w:t xml:space="preserve">Alarm indicators: communication error flag, dial error flag.</w:t>
      </w:r>
    </w:p>
    <w:bookmarkEnd w:id="19"/>
    <w:bookmarkStart w:id="20" w:name="status-bar"/>
    <w:p>
      <w:pPr>
        <w:pStyle w:val="Heading2"/>
      </w:pPr>
      <w:r>
        <w:t xml:space="preserve">Status Bar</w:t>
      </w:r>
    </w:p>
    <w:p>
      <w:pPr>
        <w:pStyle w:val="FirstParagraph"/>
      </w:pPr>
      <w:r>
        <w:t xml:space="preserve">The status bar at the bottom of the screen shows the current date and time, current turn number, number of active calls, last receipt number issued, and operator name and access level.</w:t>
      </w:r>
    </w:p>
    <w:p>
      <w:r>
        <w:pict>
          <v:rect style="width:0;height:1.5pt" o:hralign="center" o:hrstd="t" o:hr="t"/>
        </w:pict>
      </w:r>
    </w:p>
    <w:bookmarkEnd w:id="20"/>
    <w:bookmarkEnd w:id="21"/>
    <w:bookmarkStart w:id="25" w:name="monitoring-telephone-booths"/>
    <w:p>
      <w:pPr>
        <w:pStyle w:val="Heading1"/>
      </w:pPr>
      <w:r>
        <w:t xml:space="preserve">Monitoring Telephone Booths</w:t>
      </w:r>
    </w:p>
    <w:p>
      <w:pPr>
        <w:pStyle w:val="FirstParagraph"/>
      </w:pPr>
      <w:r>
        <w:t xml:space="preserve">SmartTar monitors all booths continuously without any operator action required. The booth view updates in real time as calls progress through their lifecycle.</w:t>
      </w:r>
    </w:p>
    <w:bookmarkStart w:id="22" w:name="booth-states"/>
    <w:p>
      <w:pPr>
        <w:pStyle w:val="Heading2"/>
      </w:pPr>
      <w:r>
        <w:t xml:space="preserve">Booth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What it means</w:t>
            </w:r>
          </w:p>
        </w:tc>
      </w:tr>
      <w:tr>
        <w:tc>
          <w:tcPr/>
          <w:p>
            <w:pPr>
              <w:pStyle w:val="Compact"/>
            </w:pPr>
            <w:r>
              <w:t xml:space="preserve">Libre (Idle)</w:t>
            </w:r>
          </w:p>
        </w:tc>
        <w:tc>
          <w:tcPr/>
          <w:p>
            <w:pPr>
              <w:pStyle w:val="Compact"/>
            </w:pPr>
            <w:r>
              <w:t xml:space="preserve">Handset on hook. Booth is ready for use.</w:t>
            </w:r>
          </w:p>
        </w:tc>
      </w:tr>
      <w:tr>
        <w:tc>
          <w:tcPr/>
          <w:p>
            <w:pPr>
              <w:pStyle w:val="Compact"/>
            </w:pPr>
            <w:r>
              <w:t xml:space="preserve">Descolgado</w:t>
            </w:r>
          </w:p>
        </w:tc>
        <w:tc>
          <w:tcPr/>
          <w:p>
            <w:pPr>
              <w:pStyle w:val="Compact"/>
            </w:pPr>
            <w:r>
              <w:t xml:space="preserve">Handset lifted; waiting for digit input.</w:t>
            </w:r>
          </w:p>
        </w:tc>
      </w:tr>
      <w:tr>
        <w:tc>
          <w:tcPr/>
          <w:p>
            <w:pPr>
              <w:pStyle w:val="Compact"/>
            </w:pPr>
            <w:r>
              <w:t xml:space="preserve">Marcando</w:t>
            </w:r>
          </w:p>
        </w:tc>
        <w:tc>
          <w:tcPr/>
          <w:p>
            <w:pPr>
              <w:pStyle w:val="Compact"/>
            </w:pPr>
            <w:r>
              <w:t xml:space="preserve">Digits being dialed.</w:t>
            </w:r>
          </w:p>
        </w:tc>
      </w:tr>
      <w:tr>
        <w:tc>
          <w:tcPr/>
          <w:p>
            <w:pPr>
              <w:pStyle w:val="Compact"/>
            </w:pPr>
            <w:r>
              <w:t xml:space="preserve">Llamando</w:t>
            </w:r>
          </w:p>
        </w:tc>
        <w:tc>
          <w:tcPr/>
          <w:p>
            <w:pPr>
              <w:pStyle w:val="Compact"/>
            </w:pPr>
            <w:r>
              <w:t xml:space="preserve">Dialing complete; waiting for answer.</w:t>
            </w:r>
          </w:p>
        </w:tc>
      </w:tr>
      <w:tr>
        <w:tc>
          <w:tcPr/>
          <w:p>
            <w:pPr>
              <w:pStyle w:val="Compact"/>
            </w:pPr>
            <w:r>
              <w:t xml:space="preserve">Hablando</w:t>
            </w:r>
          </w:p>
        </w:tc>
        <w:tc>
          <w:tcPr/>
          <w:p>
            <w:pPr>
              <w:pStyle w:val="Compact"/>
            </w:pPr>
            <w:r>
              <w:t xml:space="preserve">Call connected and billing in progress. Cost accumulates in real time.</w:t>
            </w:r>
          </w:p>
        </w:tc>
      </w:tr>
      <w:tr>
        <w:tc>
          <w:tcPr/>
          <w:p>
            <w:pPr>
              <w:pStyle w:val="Compact"/>
            </w:pPr>
            <w:r>
              <w:t xml:space="preserve">Colgado</w:t>
            </w:r>
          </w:p>
        </w:tc>
        <w:tc>
          <w:tcPr/>
          <w:p>
            <w:pPr>
              <w:pStyle w:val="Compact"/>
            </w:pPr>
            <w:r>
              <w:t xml:space="preserve">Handset replaced; receipt being generated and printed.</w:t>
            </w:r>
          </w:p>
        </w:tc>
      </w:tr>
      <w:tr>
        <w:tc>
          <w:tcPr/>
          <w:p>
            <w:pPr>
              <w:pStyle w:val="Compact"/>
            </w:pPr>
            <w:r>
              <w:t xml:space="preserve">Bloqueado</w:t>
            </w:r>
          </w:p>
        </w:tc>
        <w:tc>
          <w:tcPr/>
          <w:p>
            <w:pPr>
              <w:pStyle w:val="Compact"/>
            </w:pPr>
            <w:r>
              <w:t xml:space="preserve">Post-hangup lock period; booth will return to idle shortly.</w:t>
            </w:r>
          </w:p>
        </w:tc>
      </w:tr>
      <w:tr>
        <w:tc>
          <w:tcPr/>
          <w:p>
            <w:pPr>
              <w:pStyle w:val="Compact"/>
            </w:pPr>
            <w:r>
              <w:t xml:space="preserve">Error COM</w:t>
            </w:r>
          </w:p>
        </w:tc>
        <w:tc>
          <w:tcPr/>
          <w:p>
            <w:pPr>
              <w:pStyle w:val="Compact"/>
            </w:pPr>
            <w:r>
              <w:t xml:space="preserve">Communication error count exceeded the configured threshold.</w:t>
            </w:r>
          </w:p>
        </w:tc>
      </w:tr>
      <w:tr>
        <w:tc>
          <w:tcPr/>
          <w:p>
            <w:pPr>
              <w:pStyle w:val="Compact"/>
            </w:pPr>
            <w:r>
              <w:t xml:space="preserve">Error Marcación</w:t>
            </w:r>
          </w:p>
        </w:tc>
        <w:tc>
          <w:tcPr/>
          <w:p>
            <w:pPr>
              <w:pStyle w:val="Compact"/>
            </w:pPr>
            <w:r>
              <w:t xml:space="preserve">Dialing error count exceeded the configured threshold.</w:t>
            </w:r>
          </w:p>
        </w:tc>
      </w:tr>
    </w:tbl>
    <w:bookmarkEnd w:id="22"/>
    <w:bookmarkStart w:id="23" w:name="spy-intervention-mode"/>
    <w:p>
      <w:pPr>
        <w:pStyle w:val="Heading2"/>
      </w:pPr>
      <w:r>
        <w:t xml:space="preserve">Spy (Intervention) Mode</w:t>
      </w:r>
    </w:p>
    <w:p>
      <w:pPr>
        <w:pStyle w:val="FirstParagraph"/>
      </w:pPr>
      <w:r>
        <w:t xml:space="preserve">Supervisors can monitor a call in progress by selecting a booth and activating the spy function. While in spy mode, the operator can listen to the call without disturbing the customer. Spy mode is subject to the EXCLUSIVE_SPY configuration flag, which can limit simultaneous interventions to one booth at a time.</w:t>
      </w:r>
    </w:p>
    <w:p>
      <w:pPr>
        <w:pStyle w:val="BodyText"/>
      </w:pPr>
      <w:r>
        <w:t xml:space="preserve">To activate spy mode: select the active booth cell and press the spy toolbar button, or use the keyboard shortcut defined in the resource file.</w:t>
      </w:r>
    </w:p>
    <w:p>
      <w:pPr>
        <w:pStyle w:val="BodyText"/>
      </w:pPr>
      <w:r>
        <w:rPr>
          <w:b/>
          <w:bCs/>
        </w:rPr>
        <w:t xml:space="preserve">Note:</w:t>
      </w:r>
      <w:r>
        <w:t xml:space="preserve"> </w:t>
      </w:r>
      <w:r>
        <w:t xml:space="preserve">Spy mode is available only to operators with Supervisor-level access. If NO_SOUND_WHILE_SPY is enabled, the alarm sound is suppressed during intervention.</w:t>
      </w:r>
    </w:p>
    <w:bookmarkEnd w:id="23"/>
    <w:bookmarkStart w:id="24" w:name="alarm-conditions"/>
    <w:p>
      <w:pPr>
        <w:pStyle w:val="Heading2"/>
      </w:pPr>
      <w:r>
        <w:t xml:space="preserve">Alarm Conditions</w:t>
      </w:r>
    </w:p>
    <w:p>
      <w:pPr>
        <w:pStyle w:val="FirstParagraph"/>
      </w:pPr>
      <w:r>
        <w:t xml:space="preserve">The following alarm conditions trigger a visual indicator and, depending on configuration, an audible alert:</w:t>
      </w:r>
    </w:p>
    <w:p>
      <w:pPr>
        <w:pStyle w:val="Compact"/>
        <w:numPr>
          <w:ilvl w:val="0"/>
          <w:numId w:val="1006"/>
        </w:numPr>
      </w:pPr>
      <w:r>
        <w:rPr>
          <w:b/>
          <w:bCs/>
        </w:rPr>
        <w:t xml:space="preserve">Communication error.</w:t>
      </w:r>
      <w:r>
        <w:t xml:space="preserve"> </w:t>
      </w:r>
      <w:r>
        <w:t xml:space="preserve">The booth could not establish a communication signal after dialing. Triggered when N_COM_ERR exceeds MAX_COM_ERR.</w:t>
      </w:r>
    </w:p>
    <w:p>
      <w:pPr>
        <w:pStyle w:val="Compact"/>
        <w:numPr>
          <w:ilvl w:val="0"/>
          <w:numId w:val="1006"/>
        </w:numPr>
      </w:pPr>
      <w:r>
        <w:rPr>
          <w:b/>
          <w:bCs/>
        </w:rPr>
        <w:t xml:space="preserve">Dial error.</w:t>
      </w:r>
      <w:r>
        <w:t xml:space="preserve"> </w:t>
      </w:r>
      <w:r>
        <w:t xml:space="preserve">An invalid or incomplete digit sequence was received. Triggered when N_DIAL_ERR exceeds MAX_DIAL_ERR.</w:t>
      </w:r>
    </w:p>
    <w:p>
      <w:pPr>
        <w:pStyle w:val="Compact"/>
        <w:numPr>
          <w:ilvl w:val="0"/>
          <w:numId w:val="1006"/>
        </w:numPr>
      </w:pPr>
      <w:r>
        <w:rPr>
          <w:b/>
          <w:bCs/>
        </w:rPr>
        <w:t xml:space="preserve">Incoming call detected.</w:t>
      </w:r>
      <w:r>
        <w:t xml:space="preserve"> </w:t>
      </w:r>
      <w:r>
        <w:t xml:space="preserve">When DETECT_INCOME is enabled, an incoming call on a booth line is flagged.</w:t>
      </w:r>
    </w:p>
    <w:p>
      <w:pPr>
        <w:pStyle w:val="Compact"/>
        <w:numPr>
          <w:ilvl w:val="0"/>
          <w:numId w:val="1006"/>
        </w:numPr>
      </w:pPr>
      <w:r>
        <w:rPr>
          <w:b/>
          <w:bCs/>
        </w:rPr>
        <w:t xml:space="preserve">Inter-cluster error.</w:t>
      </w:r>
      <w:r>
        <w:t xml:space="preserve"> </w:t>
      </w:r>
      <w:r>
        <w:t xml:space="preserve">An unexpected signal from a booth in another cluster.</w:t>
      </w:r>
    </w:p>
    <w:p>
      <w:pPr>
        <w:pStyle w:val="FirstParagraph"/>
      </w:pPr>
      <w:r>
        <w:t xml:space="preserve">To clear an alarm: address the underlying cause and then use the alarm-reset function from the toolbar or the Configuration menu.</w:t>
      </w:r>
    </w:p>
    <w:p>
      <w:r>
        <w:pict>
          <v:rect style="width:0;height:1.5pt" o:hralign="center" o:hrstd="t" o:hr="t"/>
        </w:pict>
      </w:r>
    </w:p>
    <w:bookmarkEnd w:id="24"/>
    <w:bookmarkEnd w:id="25"/>
    <w:bookmarkStart w:id="30" w:name="manual-call-settlement"/>
    <w:p>
      <w:pPr>
        <w:pStyle w:val="Heading1"/>
      </w:pPr>
      <w:r>
        <w:t xml:space="preserve">Manual Call Settlement</w:t>
      </w:r>
    </w:p>
    <w:p>
      <w:pPr>
        <w:pStyle w:val="FirstParagraph"/>
      </w:pPr>
      <w:r>
        <w:t xml:space="preserve">Manual settlement allows the operator to review, approve, and print receipts for completed calls. This is the primary tool used to hand a receipt to a customer and record payment.</w:t>
      </w:r>
    </w:p>
    <w:bookmarkStart w:id="26" w:name="opening-the-settlement-window"/>
    <w:p>
      <w:pPr>
        <w:pStyle w:val="Heading2"/>
      </w:pPr>
      <w:r>
        <w:t xml:space="preserve">Opening the Settlement Window</w:t>
      </w:r>
    </w:p>
    <w:p>
      <w:pPr>
        <w:pStyle w:val="FirstParagraph"/>
      </w:pPr>
      <w:r>
        <w:t xml:space="preserve">Click the manual settlement toolbar button, or select the booth and press the keyboard shortcut. The settlement window opens showing all completed, unpaid calls for the selected booth.</w:t>
      </w:r>
    </w:p>
    <w:bookmarkEnd w:id="26"/>
    <w:bookmarkStart w:id="27" w:name="settlement-window-layout"/>
    <w:p>
      <w:pPr>
        <w:pStyle w:val="Heading2"/>
      </w:pPr>
      <w:r>
        <w:t xml:space="preserve">Settlement Window Layout</w:t>
      </w:r>
    </w:p>
    <w:p>
      <w:pPr>
        <w:pStyle w:val="FirstParagraph"/>
      </w:pPr>
      <w:r>
        <w:t xml:space="preserve">The settlement window shows a table with the following columns for each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Call #</w:t>
            </w:r>
          </w:p>
        </w:tc>
        <w:tc>
          <w:tcPr/>
          <w:p>
            <w:pPr>
              <w:pStyle w:val="Compact"/>
            </w:pPr>
            <w:r>
              <w:t xml:space="preserve">Call number in the session.</w:t>
            </w:r>
          </w:p>
        </w:tc>
      </w:tr>
      <w:tr>
        <w:tc>
          <w:tcPr/>
          <w:p>
            <w:pPr>
              <w:pStyle w:val="Compact"/>
            </w:pPr>
            <w:r>
              <w:t xml:space="preserve">Type / Destination</w:t>
            </w:r>
          </w:p>
        </w:tc>
        <w:tc>
          <w:tcPr/>
          <w:p>
            <w:pPr>
              <w:pStyle w:val="Compact"/>
            </w:pPr>
            <w:r>
              <w:t xml:space="preserve">Call type and destination.</w:t>
            </w:r>
          </w:p>
        </w:tc>
      </w:tr>
      <w:tr>
        <w:tc>
          <w:tcPr/>
          <w:p>
            <w:pPr>
              <w:pStyle w:val="Compact"/>
            </w:pPr>
            <w:r>
              <w:t xml:space="preserve">Duration</w:t>
            </w:r>
          </w:p>
        </w:tc>
        <w:tc>
          <w:tcPr/>
          <w:p>
            <w:pPr>
              <w:pStyle w:val="Compact"/>
            </w:pPr>
            <w:r>
              <w:t xml:space="preserve">Call duration.</w:t>
            </w:r>
          </w:p>
        </w:tc>
      </w:tr>
      <w:tr>
        <w:tc>
          <w:tcPr/>
          <w:p>
            <w:pPr>
              <w:pStyle w:val="Compact"/>
            </w:pPr>
            <w:r>
              <w:t xml:space="preserve">Cost</w:t>
            </w:r>
          </w:p>
        </w:tc>
        <w:tc>
          <w:tcPr/>
          <w:p>
            <w:pPr>
              <w:pStyle w:val="Compact"/>
            </w:pPr>
            <w:r>
              <w:t xml:space="preserve">Individual call cost.</w:t>
            </w:r>
          </w:p>
        </w:tc>
      </w:tr>
      <w:tr>
        <w:tc>
          <w:tcPr/>
          <w:p>
            <w:pPr>
              <w:pStyle w:val="Compact"/>
            </w:pPr>
            <w:r>
              <w:t xml:space="preserve">NC</w:t>
            </w:r>
          </w:p>
        </w:tc>
        <w:tc>
          <w:tcPr/>
          <w:p>
            <w:pPr>
              <w:pStyle w:val="Compact"/>
            </w:pPr>
            <w:r>
              <w:t xml:space="preserve">Mark call as</w:t>
            </w:r>
            <w:r>
              <w:t xml:space="preserve"> </w:t>
            </w:r>
            <w:r>
              <w:t xml:space="preserve">“no charge”</w:t>
            </w:r>
            <w:r>
              <w:t xml:space="preserve"> </w:t>
            </w:r>
            <w:r>
              <w:t xml:space="preserve">(toll-free).</w:t>
            </w:r>
          </w:p>
        </w:tc>
      </w:tr>
      <w:tr>
        <w:tc>
          <w:tcPr/>
          <w:p>
            <w:pPr>
              <w:pStyle w:val="Compact"/>
            </w:pPr>
            <w:r>
              <w:t xml:space="preserve">PR</w:t>
            </w:r>
          </w:p>
        </w:tc>
        <w:tc>
          <w:tcPr/>
          <w:p>
            <w:pPr>
              <w:pStyle w:val="Compact"/>
            </w:pPr>
            <w:r>
              <w:t xml:space="preserve">Mark call for reprint.</w:t>
            </w:r>
          </w:p>
        </w:tc>
      </w:tr>
    </w:tbl>
    <w:p>
      <w:pPr>
        <w:pStyle w:val="BodyText"/>
      </w:pPr>
      <w:r>
        <w:t xml:space="preserve">Summary fields at the bottom: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Total</w:t>
            </w:r>
          </w:p>
        </w:tc>
        <w:tc>
          <w:tcPr/>
          <w:p>
            <w:pPr>
              <w:pStyle w:val="Compact"/>
            </w:pPr>
            <w:r>
              <w:t xml:space="preserve">Sum of all call costs.</w:t>
            </w:r>
          </w:p>
        </w:tc>
      </w:tr>
      <w:tr>
        <w:tc>
          <w:tcPr/>
          <w:p>
            <w:pPr>
              <w:pStyle w:val="Compact"/>
            </w:pPr>
            <w:r>
              <w:rPr>
                <w:b/>
                <w:bCs/>
              </w:rPr>
              <w:t xml:space="preserve">Sin cobrar</w:t>
            </w:r>
          </w:p>
        </w:tc>
        <w:tc>
          <w:tcPr/>
          <w:p>
            <w:pPr>
              <w:pStyle w:val="Compact"/>
            </w:pPr>
            <w:r>
              <w:t xml:space="preserve">Total of calls not yet settled.</w:t>
            </w:r>
          </w:p>
        </w:tc>
      </w:tr>
      <w:tr>
        <w:tc>
          <w:tcPr/>
          <w:p>
            <w:pPr>
              <w:pStyle w:val="Compact"/>
            </w:pPr>
            <w:r>
              <w:rPr>
                <w:b/>
                <w:bCs/>
              </w:rPr>
              <w:t xml:space="preserve">Gratuito</w:t>
            </w:r>
          </w:p>
        </w:tc>
        <w:tc>
          <w:tcPr/>
          <w:p>
            <w:pPr>
              <w:pStyle w:val="Compact"/>
            </w:pPr>
            <w:r>
              <w:t xml:space="preserve">Total of calls marked as no charge.</w:t>
            </w:r>
          </w:p>
        </w:tc>
      </w:tr>
      <w:tr>
        <w:tc>
          <w:tcPr/>
          <w:p>
            <w:pPr>
              <w:pStyle w:val="Compact"/>
            </w:pPr>
            <w:r>
              <w:rPr>
                <w:b/>
                <w:bCs/>
              </w:rPr>
              <w:t xml:space="preserve">Sub-total</w:t>
            </w:r>
          </w:p>
        </w:tc>
        <w:tc>
          <w:tcPr/>
          <w:p>
            <w:pPr>
              <w:pStyle w:val="Compact"/>
            </w:pPr>
            <w:r>
              <w:t xml:space="preserve">Billable total.</w:t>
            </w:r>
          </w:p>
        </w:tc>
      </w:tr>
      <w:tr>
        <w:tc>
          <w:tcPr/>
          <w:p>
            <w:pPr>
              <w:pStyle w:val="Compact"/>
            </w:pPr>
            <w:r>
              <w:rPr>
                <w:b/>
                <w:bCs/>
              </w:rPr>
              <w:t xml:space="preserve">Pagado</w:t>
            </w:r>
          </w:p>
        </w:tc>
        <w:tc>
          <w:tcPr/>
          <w:p>
            <w:pPr>
              <w:pStyle w:val="Compact"/>
            </w:pPr>
            <w:r>
              <w:t xml:space="preserve">Amount tendered by the customer.</w:t>
            </w:r>
          </w:p>
        </w:tc>
      </w:tr>
      <w:tr>
        <w:tc>
          <w:tcPr/>
          <w:p>
            <w:pPr>
              <w:pStyle w:val="Compact"/>
            </w:pPr>
            <w:r>
              <w:rPr>
                <w:b/>
                <w:bCs/>
              </w:rPr>
              <w:t xml:space="preserve">Cambio</w:t>
            </w:r>
          </w:p>
        </w:tc>
        <w:tc>
          <w:tcPr/>
          <w:p>
            <w:pPr>
              <w:pStyle w:val="Compact"/>
            </w:pPr>
            <w:r>
              <w:t xml:space="preserve">Change to return to the customer.</w:t>
            </w:r>
          </w:p>
        </w:tc>
      </w:tr>
    </w:tbl>
    <w:bookmarkEnd w:id="27"/>
    <w:bookmarkStart w:id="28" w:name="settling-a-call"/>
    <w:p>
      <w:pPr>
        <w:pStyle w:val="Heading2"/>
      </w:pPr>
      <w:r>
        <w:t xml:space="preserve">Settling a Call</w:t>
      </w:r>
    </w:p>
    <w:p>
      <w:pPr>
        <w:pStyle w:val="Compact"/>
        <w:numPr>
          <w:ilvl w:val="0"/>
          <w:numId w:val="1007"/>
        </w:numPr>
      </w:pPr>
      <w:r>
        <w:t xml:space="preserve">Open the settlement window for the booth.</w:t>
      </w:r>
    </w:p>
    <w:p>
      <w:pPr>
        <w:pStyle w:val="Compact"/>
        <w:numPr>
          <w:ilvl w:val="0"/>
          <w:numId w:val="1007"/>
        </w:numPr>
      </w:pPr>
      <w:r>
        <w:t xml:space="preserve">Review the call list. Mark any toll-free calls by clicking their</w:t>
      </w:r>
      <w:r>
        <w:t xml:space="preserve"> </w:t>
      </w:r>
      <w:r>
        <w:rPr>
          <w:b/>
          <w:bCs/>
        </w:rPr>
        <w:t xml:space="preserve">NC</w:t>
      </w:r>
      <w:r>
        <w:t xml:space="preserve"> </w:t>
      </w:r>
      <w:r>
        <w:t xml:space="preserve">button.</w:t>
      </w:r>
    </w:p>
    <w:p>
      <w:pPr>
        <w:pStyle w:val="Compact"/>
        <w:numPr>
          <w:ilvl w:val="0"/>
          <w:numId w:val="1007"/>
        </w:numPr>
      </w:pPr>
      <w:r>
        <w:t xml:space="preserve">Enter the amount tendered by the customer in the</w:t>
      </w:r>
      <w:r>
        <w:t xml:space="preserve"> </w:t>
      </w:r>
      <w:r>
        <w:rPr>
          <w:i/>
          <w:iCs/>
        </w:rPr>
        <w:t xml:space="preserve">Pagado</w:t>
      </w:r>
      <w:r>
        <w:t xml:space="preserve"> </w:t>
      </w:r>
      <w:r>
        <w:t xml:space="preserve">field. The</w:t>
      </w:r>
      <w:r>
        <w:t xml:space="preserve"> </w:t>
      </w:r>
      <w:r>
        <w:rPr>
          <w:i/>
          <w:iCs/>
        </w:rPr>
        <w:t xml:space="preserve">Cambio</w:t>
      </w:r>
      <w:r>
        <w:t xml:space="preserve"> </w:t>
      </w:r>
      <w:r>
        <w:t xml:space="preserve">field calculates automatically.</w:t>
      </w:r>
    </w:p>
    <w:p>
      <w:pPr>
        <w:pStyle w:val="Compact"/>
        <w:numPr>
          <w:ilvl w:val="0"/>
          <w:numId w:val="1007"/>
        </w:numPr>
      </w:pPr>
      <w:r>
        <w:t xml:space="preserve">Click</w:t>
      </w:r>
      <w:r>
        <w:t xml:space="preserve"> </w:t>
      </w:r>
      <w:r>
        <w:rPr>
          <w:b/>
          <w:bCs/>
        </w:rPr>
        <w:t xml:space="preserve">Aceptar</w:t>
      </w:r>
      <w:r>
        <w:t xml:space="preserve"> </w:t>
      </w:r>
      <w:r>
        <w:t xml:space="preserve">(or press</w:t>
      </w:r>
      <w:r>
        <w:t xml:space="preserve"> </w:t>
      </w:r>
      <w:r>
        <w:rPr>
          <w:b/>
          <w:bCs/>
        </w:rPr>
        <w:t xml:space="preserve">Enter</w:t>
      </w:r>
      <w:r>
        <w:t xml:space="preserve">) to confirm payment. The receipt is printed and the call records are marked as paid in the database.</w:t>
      </w:r>
    </w:p>
    <w:p>
      <w:pPr>
        <w:pStyle w:val="Compact"/>
        <w:numPr>
          <w:ilvl w:val="0"/>
          <w:numId w:val="1007"/>
        </w:numPr>
      </w:pPr>
      <w:r>
        <w:t xml:space="preserve">If a cash drawer is connected and ACTIVATE_RELAY is set, the drawer opens automatically.</w:t>
      </w:r>
    </w:p>
    <w:bookmarkEnd w:id="28"/>
    <w:bookmarkStart w:id="29" w:name="reprinting-a-receipt"/>
    <w:p>
      <w:pPr>
        <w:pStyle w:val="Heading2"/>
      </w:pPr>
      <w:r>
        <w:t xml:space="preserve">Reprinting a Receipt</w:t>
      </w:r>
    </w:p>
    <w:p>
      <w:pPr>
        <w:pStyle w:val="FirstParagraph"/>
      </w:pPr>
      <w:r>
        <w:t xml:space="preserve">To reprint from the settlement window, click the</w:t>
      </w:r>
      <w:r>
        <w:t xml:space="preserve"> </w:t>
      </w:r>
      <w:r>
        <w:rPr>
          <w:b/>
          <w:bCs/>
        </w:rPr>
        <w:t xml:space="preserve">PR</w:t>
      </w:r>
      <w:r>
        <w:t xml:space="preserve"> </w:t>
      </w:r>
      <w:r>
        <w:t xml:space="preserve">button on the corresponding call row before clicking</w:t>
      </w:r>
      <w:r>
        <w:t xml:space="preserve"> </w:t>
      </w:r>
      <w:r>
        <w:rPr>
          <w:b/>
          <w:bCs/>
        </w:rPr>
        <w:t xml:space="preserve">Aceptar</w:t>
      </w:r>
      <w:r>
        <w:t xml:space="preserve">. The receipt will be queued for a second print.</w:t>
      </w:r>
    </w:p>
    <w:p>
      <w:pPr>
        <w:pStyle w:val="BodyText"/>
      </w:pPr>
      <w:r>
        <w:t xml:space="preserve">To reprint from the database view, use</w:t>
      </w:r>
      <w:r>
        <w:t xml:space="preserve"> </w:t>
      </w:r>
      <w:r>
        <w:rPr>
          <w:b/>
          <w:bCs/>
        </w:rPr>
        <w:t xml:space="preserve">Imprimir &gt; Historial de cabina</w:t>
      </w:r>
      <w:r>
        <w:t xml:space="preserve"> </w:t>
      </w:r>
      <w:r>
        <w:t xml:space="preserve">to locate the call and select the reprint option.</w:t>
      </w:r>
    </w:p>
    <w:p>
      <w:r>
        <w:pict>
          <v:rect style="width:0;height:1.5pt" o:hralign="center" o:hrstd="t" o:hr="t"/>
        </w:pict>
      </w:r>
    </w:p>
    <w:bookmarkEnd w:id="29"/>
    <w:bookmarkEnd w:id="30"/>
    <w:bookmarkStart w:id="39" w:name="configuration-menu"/>
    <w:p>
      <w:pPr>
        <w:pStyle w:val="Heading1"/>
      </w:pPr>
      <w:r>
        <w:t xml:space="preserve">Configuration Menu</w:t>
      </w:r>
    </w:p>
    <w:p>
      <w:pPr>
        <w:pStyle w:val="FirstParagraph"/>
      </w:pPr>
      <w:r>
        <w:t xml:space="preserve">The Configuration menu (</w:t>
      </w:r>
      <w:r>
        <w:rPr>
          <w:b/>
          <w:bCs/>
        </w:rPr>
        <w:t xml:space="preserve">Configuración</w:t>
      </w:r>
      <w:r>
        <w:t xml:space="preserve">) provides dialogs for adjusting system parameters. Most dialogs require Supervisor-level access.</w:t>
      </w:r>
    </w:p>
    <w:bookmarkStart w:id="31" w:name="fecha-y-hora-date-and-time"/>
    <w:p>
      <w:pPr>
        <w:pStyle w:val="Heading2"/>
      </w:pPr>
      <w:r>
        <w:t xml:space="preserve">Fecha y Hora (Date and Time)</w:t>
      </w:r>
    </w:p>
    <w:p>
      <w:pPr>
        <w:pStyle w:val="FirstParagraph"/>
      </w:pPr>
      <w:r>
        <w:t xml:space="preserve">Sets the system date and time. Changes take effect immediately and are reflected in the status bar. This dialog writes the new time to the DOS real-time clock.</w:t>
      </w:r>
    </w:p>
    <w:p>
      <w:pPr>
        <w:pStyle w:val="BodyText"/>
      </w:pPr>
      <w:r>
        <w:rPr>
          <w:b/>
          <w:bCs/>
        </w:rPr>
        <w:t xml:space="preserve">Path:</w:t>
      </w:r>
      <w:r>
        <w:t xml:space="preserve"> </w:t>
      </w:r>
      <w:r>
        <w:t xml:space="preserve">Configuración &gt; Fecha y Hora</w:t>
      </w:r>
    </w:p>
    <w:bookmarkEnd w:id="31"/>
    <w:bookmarkStart w:id="32" w:name="señal-de-contestación-answer-signal"/>
    <w:p>
      <w:pPr>
        <w:pStyle w:val="Heading2"/>
      </w:pPr>
      <w:r>
        <w:t xml:space="preserve">Señal de Contestación (Answer Signal)</w:t>
      </w:r>
    </w:p>
    <w:p>
      <w:pPr>
        <w:pStyle w:val="FirstParagraph"/>
      </w:pPr>
      <w:r>
        <w:t xml:space="preserve">Selects the method used to detect when a call is answered. Four methods are available: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Por inversión</w:t>
            </w:r>
          </w:p>
        </w:tc>
        <w:tc>
          <w:tcPr/>
          <w:p>
            <w:pPr>
              <w:pStyle w:val="Compact"/>
            </w:pPr>
            <w:r>
              <w:t xml:space="preserve">Answer detected by a reversal of line polarity. Select</w:t>
            </w:r>
            <w:r>
              <w:t xml:space="preserve"> </w:t>
            </w:r>
            <w:r>
              <w:rPr>
                <w:b/>
                <w:bCs/>
              </w:rPr>
              <w:t xml:space="preserve">Permanente</w:t>
            </w:r>
            <w:r>
              <w:t xml:space="preserve"> </w:t>
            </w:r>
            <w:r>
              <w:t xml:space="preserve">if sustained, or</w:t>
            </w:r>
            <w:r>
              <w:t xml:space="preserve"> </w:t>
            </w:r>
            <w:r>
              <w:rPr>
                <w:b/>
                <w:bCs/>
              </w:rPr>
              <w:t xml:space="preserve">Durante 150 ms</w:t>
            </w:r>
            <w:r>
              <w:t xml:space="preserve"> </w:t>
            </w:r>
            <w:r>
              <w:t xml:space="preserve">if a brief pulse.</w:t>
            </w:r>
          </w:p>
        </w:tc>
      </w:tr>
      <w:tr>
        <w:tc>
          <w:tcPr/>
          <w:p>
            <w:pPr>
              <w:pStyle w:val="Compact"/>
            </w:pPr>
            <w:r>
              <w:t xml:space="preserve">Por tiempo</w:t>
            </w:r>
          </w:p>
        </w:tc>
        <w:tc>
          <w:tcPr/>
          <w:p>
            <w:pPr>
              <w:pStyle w:val="Compact"/>
            </w:pPr>
            <w:r>
              <w:t xml:space="preserve">Answer assumed after a configurable number of seconds. Enter the timeout in the</w:t>
            </w:r>
            <w:r>
              <w:t xml:space="preserve"> </w:t>
            </w:r>
            <w:r>
              <w:rPr>
                <w:i/>
                <w:iCs/>
              </w:rPr>
              <w:t xml:space="preserve">Tiempo</w:t>
            </w:r>
            <w:r>
              <w:t xml:space="preserve"> </w:t>
            </w:r>
            <w:r>
              <w:t xml:space="preserve">field.</w:t>
            </w:r>
          </w:p>
        </w:tc>
      </w:tr>
      <w:tr>
        <w:tc>
          <w:tcPr/>
          <w:p>
            <w:pPr>
              <w:pStyle w:val="Compact"/>
            </w:pPr>
            <w:r>
              <w:t xml:space="preserve">Por hilo C</w:t>
            </w:r>
          </w:p>
        </w:tc>
        <w:tc>
          <w:tcPr/>
          <w:p>
            <w:pPr>
              <w:pStyle w:val="Compact"/>
            </w:pPr>
            <w:r>
              <w:t xml:space="preserve">Answer detected by a C-wire earth or −48 V signal.</w:t>
            </w:r>
          </w:p>
        </w:tc>
      </w:tr>
      <w:tr>
        <w:tc>
          <w:tcPr/>
          <w:p>
            <w:pPr>
              <w:pStyle w:val="Compact"/>
            </w:pPr>
            <w:r>
              <w:t xml:space="preserve">Por tono</w:t>
            </w:r>
          </w:p>
        </w:tc>
        <w:tc>
          <w:tcPr/>
          <w:p>
            <w:pPr>
              <w:pStyle w:val="Compact"/>
            </w:pPr>
            <w:r>
              <w:t xml:space="preserve">Answer detected by tone recognition.</w:t>
            </w:r>
          </w:p>
        </w:tc>
      </w:tr>
    </w:tbl>
    <w:p>
      <w:pPr>
        <w:pStyle w:val="BodyText"/>
      </w:pPr>
      <w:r>
        <w:rPr>
          <w:b/>
          <w:bCs/>
        </w:rPr>
        <w:t xml:space="preserve">Path:</w:t>
      </w:r>
      <w:r>
        <w:t xml:space="preserve"> </w:t>
      </w:r>
      <w:r>
        <w:t xml:space="preserve">Configuración &gt; Señal de Contestación</w:t>
      </w:r>
    </w:p>
    <w:p>
      <w:pPr>
        <w:pStyle w:val="BodyText"/>
      </w:pPr>
      <w:r>
        <w:rPr>
          <w:b/>
          <w:bCs/>
        </w:rPr>
        <w:t xml:space="preserve">Note:</w:t>
      </w:r>
      <w:r>
        <w:t xml:space="preserve"> </w:t>
      </w:r>
      <w:r>
        <w:t xml:space="preserve">Select the method that matches your telephone central office. An incorrect setting will cause premature or missed billing starts.</w:t>
      </w:r>
    </w:p>
    <w:bookmarkEnd w:id="32"/>
    <w:bookmarkStart w:id="33" w:name="tiempos-timing"/>
    <w:p>
      <w:pPr>
        <w:pStyle w:val="Heading2"/>
      </w:pPr>
      <w:r>
        <w:t xml:space="preserve">Tiempos (Timing)</w:t>
      </w:r>
    </w:p>
    <w:p>
      <w:pPr>
        <w:pStyle w:val="FirstParagraph"/>
      </w:pPr>
      <w:r>
        <w:t xml:space="preserve">Adjusts the telephony timing parameters. Fields correspond to T_TALK, T_DIAL, T_LOCK, T_ANSWER, and T_COM. All values are entered in seconds and stored internally in milliseconds.</w:t>
      </w:r>
    </w:p>
    <w:p>
      <w:pPr>
        <w:pStyle w:val="BodyText"/>
      </w:pPr>
      <w:r>
        <w:rPr>
          <w:b/>
          <w:bCs/>
        </w:rPr>
        <w:t xml:space="preserve">Path:</w:t>
      </w:r>
      <w:r>
        <w:t xml:space="preserve"> </w:t>
      </w:r>
      <w:r>
        <w:t xml:space="preserve">Configuración &gt; Tiempos</w:t>
      </w:r>
    </w:p>
    <w:p>
      <w:pPr>
        <w:pStyle w:val="BodyText"/>
      </w:pPr>
      <w:r>
        <w:rPr>
          <w:b/>
          <w:bCs/>
        </w:rPr>
        <w:t xml:space="preserve">Caution:</w:t>
      </w:r>
      <w:r>
        <w:t xml:space="preserve"> </w:t>
      </w:r>
      <w:r>
        <w:t xml:space="preserve">Changing timing parameters affects all booths immediately. Use default values unless directed by a service technician.</w:t>
      </w:r>
    </w:p>
    <w:bookmarkEnd w:id="33"/>
    <w:bookmarkStart w:id="34" w:name="nombres-de-cabinas-booth-names"/>
    <w:p>
      <w:pPr>
        <w:pStyle w:val="Heading2"/>
      </w:pPr>
      <w:r>
        <w:t xml:space="preserve">Nombres de Cabinas (Booth Names)</w:t>
      </w:r>
    </w:p>
    <w:p>
      <w:pPr>
        <w:pStyle w:val="FirstParagraph"/>
      </w:pPr>
      <w:r>
        <w:t xml:space="preserve">Assigns a display name (up to 12 characters) to each booth. These names appear in the main view, on receipts, and in reports. In SmartTar Pro, each booth can also be designated as an extension line.</w:t>
      </w:r>
    </w:p>
    <w:p>
      <w:pPr>
        <w:pStyle w:val="BodyText"/>
      </w:pPr>
      <w:r>
        <w:rPr>
          <w:b/>
          <w:bCs/>
        </w:rPr>
        <w:t xml:space="preserve">Path:</w:t>
      </w:r>
      <w:r>
        <w:t xml:space="preserve"> </w:t>
      </w:r>
      <w:r>
        <w:t xml:space="preserve">Configuración &gt; Nombres de Cabinas</w:t>
      </w:r>
    </w:p>
    <w:bookmarkEnd w:id="34"/>
    <w:bookmarkStart w:id="35" w:name="impresora-printer"/>
    <w:p>
      <w:pPr>
        <w:pStyle w:val="Heading2"/>
      </w:pPr>
      <w:r>
        <w:t xml:space="preserve">Impresora (Printer)</w:t>
      </w:r>
    </w:p>
    <w:p>
      <w:pPr>
        <w:pStyle w:val="FirstParagraph"/>
      </w:pPr>
      <w:r>
        <w:t xml:space="preserve">Configures the printer connection and form type. Select the appropriate form from the drop-down list. Set the port to LPT1, LPT2, or a COM port as appropriate for your hardware.</w:t>
      </w:r>
    </w:p>
    <w:p>
      <w:pPr>
        <w:pStyle w:val="BodyText"/>
      </w:pPr>
      <w:r>
        <w:rPr>
          <w:b/>
          <w:bCs/>
        </w:rPr>
        <w:t xml:space="preserve">Path:</w:t>
      </w:r>
      <w:r>
        <w:t xml:space="preserve"> </w:t>
      </w:r>
      <w:r>
        <w:t xml:space="preserve">Configuración &gt; Impresora</w:t>
      </w:r>
    </w:p>
    <w:bookmarkEnd w:id="35"/>
    <w:bookmarkStart w:id="36" w:name="tarifa-tariff"/>
    <w:p>
      <w:pPr>
        <w:pStyle w:val="Heading2"/>
      </w:pPr>
      <w:r>
        <w:t xml:space="preserve">Tarifa (Tariff)</w:t>
      </w:r>
    </w:p>
    <w:p>
      <w:pPr>
        <w:pStyle w:val="FirstParagraph"/>
      </w:pPr>
      <w:r>
        <w:t xml:space="preserve">Opens the tariff configuration editor. From here, supervisors can view and edit:</w:t>
      </w:r>
    </w:p>
    <w:p>
      <w:pPr>
        <w:pStyle w:val="Compact"/>
        <w:numPr>
          <w:ilvl w:val="0"/>
          <w:numId w:val="1008"/>
        </w:numPr>
      </w:pPr>
      <w:r>
        <w:t xml:space="preserve">DDN tariff bands and rates.</w:t>
      </w:r>
    </w:p>
    <w:p>
      <w:pPr>
        <w:pStyle w:val="Compact"/>
        <w:numPr>
          <w:ilvl w:val="0"/>
          <w:numId w:val="1008"/>
        </w:numPr>
      </w:pPr>
      <w:r>
        <w:t xml:space="preserve">DDI tariff bands and rates.</w:t>
      </w:r>
    </w:p>
    <w:p>
      <w:pPr>
        <w:pStyle w:val="Compact"/>
        <w:numPr>
          <w:ilvl w:val="0"/>
          <w:numId w:val="1008"/>
        </w:numPr>
      </w:pPr>
      <w:r>
        <w:t xml:space="preserve">Time-of-day schedules (normal, reduced, super-reduced) for DDN and DDI.</w:t>
      </w:r>
    </w:p>
    <w:p>
      <w:pPr>
        <w:pStyle w:val="Compact"/>
        <w:numPr>
          <w:ilvl w:val="0"/>
          <w:numId w:val="1008"/>
        </w:numPr>
      </w:pPr>
      <w:r>
        <w:t xml:space="preserve">Local tariff levels (A1–A9).</w:t>
      </w:r>
    </w:p>
    <w:p>
      <w:pPr>
        <w:pStyle w:val="Compact"/>
        <w:numPr>
          <w:ilvl w:val="0"/>
          <w:numId w:val="1008"/>
        </w:numPr>
      </w:pPr>
      <w:r>
        <w:t xml:space="preserve">Locked numbers list.</w:t>
      </w:r>
    </w:p>
    <w:p>
      <w:pPr>
        <w:pStyle w:val="FirstParagraph"/>
      </w:pPr>
      <w:r>
        <w:rPr>
          <w:b/>
          <w:bCs/>
        </w:rPr>
        <w:t xml:space="preserve">Path:</w:t>
      </w:r>
      <w:r>
        <w:t xml:space="preserve"> </w:t>
      </w:r>
      <w:r>
        <w:t xml:space="preserve">Configuración &gt; Tarifa</w:t>
      </w:r>
    </w:p>
    <w:p>
      <w:pPr>
        <w:pStyle w:val="BodyText"/>
      </w:pPr>
      <w:r>
        <w:t xml:space="preserve">After editing, use</w:t>
      </w:r>
      <w:r>
        <w:t xml:space="preserve"> </w:t>
      </w:r>
      <w:r>
        <w:rPr>
          <w:b/>
          <w:bCs/>
        </w:rPr>
        <w:t xml:space="preserve">Base de datos telefónica &gt; Compilar</w:t>
      </w:r>
      <w:r>
        <w:t xml:space="preserve"> </w:t>
      </w:r>
      <w:r>
        <w:t xml:space="preserve">to recompile PH_INFO.DAT and make the new tariffs active.</w:t>
      </w:r>
    </w:p>
    <w:bookmarkEnd w:id="36"/>
    <w:bookmarkStart w:id="37" w:name="días-festivos-holidays"/>
    <w:p>
      <w:pPr>
        <w:pStyle w:val="Heading2"/>
      </w:pPr>
      <w:r>
        <w:t xml:space="preserve">Días Festivos (Holidays)</w:t>
      </w:r>
    </w:p>
    <w:p>
      <w:pPr>
        <w:pStyle w:val="FirstParagraph"/>
      </w:pPr>
      <w:r>
        <w:t xml:space="preserve">Defines the holiday calendar for the current and upcoming years. Holiday dates are used by the tariff scheduler to switch to holiday tariff rates. Enter dates as day/month pairs.</w:t>
      </w:r>
    </w:p>
    <w:p>
      <w:pPr>
        <w:pStyle w:val="BodyText"/>
      </w:pPr>
      <w:r>
        <w:rPr>
          <w:b/>
          <w:bCs/>
        </w:rPr>
        <w:t xml:space="preserve">Path:</w:t>
      </w:r>
      <w:r>
        <w:t xml:space="preserve"> </w:t>
      </w:r>
      <w:r>
        <w:t xml:space="preserve">Configuración &gt; Días Festivos</w:t>
      </w:r>
    </w:p>
    <w:bookmarkEnd w:id="37"/>
    <w:bookmarkStart w:id="38" w:name="claves-passwords"/>
    <w:p>
      <w:pPr>
        <w:pStyle w:val="Heading2"/>
      </w:pPr>
      <w:r>
        <w:t xml:space="preserve">Claves (Passwords)</w:t>
      </w:r>
    </w:p>
    <w:p>
      <w:pPr>
        <w:pStyle w:val="FirstParagraph"/>
      </w:pPr>
      <w:r>
        <w:t xml:space="preserve">Allows the supervisor to change access passwords. Enter the current password, then enter and confirm the new password. Passwords are 1–8 characters.</w:t>
      </w:r>
    </w:p>
    <w:p>
      <w:pPr>
        <w:pStyle w:val="BodyText"/>
      </w:pPr>
      <w:r>
        <w:rPr>
          <w:b/>
          <w:bCs/>
        </w:rPr>
        <w:t xml:space="preserve">Path:</w:t>
      </w:r>
      <w:r>
        <w:t xml:space="preserve"> </w:t>
      </w:r>
      <w:r>
        <w:t xml:space="preserve">Configuración &gt; Claves</w:t>
      </w:r>
    </w:p>
    <w:p>
      <w:pPr>
        <w:pStyle w:val="BodyText"/>
      </w:pPr>
      <w:r>
        <w:rPr>
          <w:b/>
          <w:bCs/>
        </w:rPr>
        <w:t xml:space="preserve">Important:</w:t>
      </w:r>
      <w:r>
        <w:t xml:space="preserve"> </w:t>
      </w:r>
      <w:r>
        <w:t xml:space="preserve">Keep a record of the supervisor password in a secure location. If it is lost, a service technician with backdoor access is required to reset it.</w:t>
      </w:r>
    </w:p>
    <w:p>
      <w:r>
        <w:pict>
          <v:rect style="width:0;height:1.5pt" o:hralign="center" o:hrstd="t" o:hr="t"/>
        </w:pict>
      </w:r>
    </w:p>
    <w:bookmarkEnd w:id="38"/>
    <w:bookmarkEnd w:id="39"/>
    <w:bookmarkStart w:id="44" w:name="reports-and-printing"/>
    <w:p>
      <w:pPr>
        <w:pStyle w:val="Heading1"/>
      </w:pPr>
      <w:r>
        <w:t xml:space="preserve">Reports and Printing</w:t>
      </w:r>
    </w:p>
    <w:p>
      <w:pPr>
        <w:pStyle w:val="FirstParagraph"/>
      </w:pPr>
      <w:r>
        <w:t xml:space="preserve">The Print menu (</w:t>
      </w:r>
      <w:r>
        <w:rPr>
          <w:b/>
          <w:bCs/>
        </w:rPr>
        <w:t xml:space="preserve">Imprimir</w:t>
      </w:r>
      <w:r>
        <w:t xml:space="preserve">) provides access to the main reports. Reports are sent to the configured printer.</w:t>
      </w:r>
    </w:p>
    <w:bookmarkStart w:id="40" w:name="acumulador-de-ventas-sales-accumulator"/>
    <w:p>
      <w:pPr>
        <w:pStyle w:val="Heading2"/>
      </w:pPr>
      <w:r>
        <w:t xml:space="preserve">Acumulador de Ventas (Sales Accumulator)</w:t>
      </w:r>
    </w:p>
    <w:p>
      <w:pPr>
        <w:pStyle w:val="FirstParagraph"/>
      </w:pPr>
      <w:r>
        <w:t xml:space="preserve">Prints a summary of sales totals for a selected period, including:</w:t>
      </w:r>
    </w:p>
    <w:p>
      <w:pPr>
        <w:pStyle w:val="Compact"/>
        <w:numPr>
          <w:ilvl w:val="0"/>
          <w:numId w:val="1009"/>
        </w:numPr>
      </w:pPr>
      <w:r>
        <w:t xml:space="preserve">Total calls by type (local, DDN, DDI, cellular, border, special).</w:t>
      </w:r>
    </w:p>
    <w:p>
      <w:pPr>
        <w:pStyle w:val="Compact"/>
        <w:numPr>
          <w:ilvl w:val="0"/>
          <w:numId w:val="1009"/>
        </w:numPr>
      </w:pPr>
      <w:r>
        <w:t xml:space="preserve">Subtotals, tax amounts, and grand total.</w:t>
      </w:r>
    </w:p>
    <w:p>
      <w:pPr>
        <w:pStyle w:val="Compact"/>
        <w:numPr>
          <w:ilvl w:val="0"/>
          <w:numId w:val="1009"/>
        </w:numPr>
      </w:pPr>
      <w:r>
        <w:t xml:space="preserve">Toll-free calls count and amount.</w:t>
      </w:r>
    </w:p>
    <w:p>
      <w:pPr>
        <w:pStyle w:val="Compact"/>
        <w:numPr>
          <w:ilvl w:val="0"/>
          <w:numId w:val="1009"/>
        </w:numPr>
      </w:pPr>
      <w:r>
        <w:t xml:space="preserve">Turn number and operator name.</w:t>
      </w:r>
    </w:p>
    <w:p>
      <w:pPr>
        <w:pStyle w:val="FirstParagraph"/>
      </w:pPr>
      <w:r>
        <w:t xml:space="preserve">Period options:</w:t>
      </w:r>
      <w:r>
        <w:t xml:space="preserve"> </w:t>
      </w:r>
      <w:r>
        <w:rPr>
          <w:b/>
          <w:bCs/>
        </w:rPr>
        <w:t xml:space="preserve">Day</w:t>
      </w:r>
      <w:r>
        <w:t xml:space="preserve">,</w:t>
      </w:r>
      <w:r>
        <w:t xml:space="preserve"> </w:t>
      </w:r>
      <w:r>
        <w:rPr>
          <w:b/>
          <w:bCs/>
        </w:rPr>
        <w:t xml:space="preserve">Week</w:t>
      </w:r>
      <w:r>
        <w:t xml:space="preserve">,</w:t>
      </w:r>
      <w:r>
        <w:t xml:space="preserve"> </w:t>
      </w:r>
      <w:r>
        <w:rPr>
          <w:b/>
          <w:bCs/>
        </w:rPr>
        <w:t xml:space="preserve">Month</w:t>
      </w:r>
      <w:r>
        <w:t xml:space="preserve">,</w:t>
      </w:r>
      <w:r>
        <w:t xml:space="preserve"> </w:t>
      </w:r>
      <w:r>
        <w:rPr>
          <w:b/>
          <w:bCs/>
        </w:rPr>
        <w:t xml:space="preserve">Year</w:t>
      </w:r>
      <w:r>
        <w:t xml:space="preserve">.</w:t>
      </w:r>
    </w:p>
    <w:p>
      <w:pPr>
        <w:pStyle w:val="BodyText"/>
      </w:pPr>
      <w:r>
        <w:rPr>
          <w:b/>
          <w:bCs/>
        </w:rPr>
        <w:t xml:space="preserve">Path:</w:t>
      </w:r>
      <w:r>
        <w:t xml:space="preserve"> </w:t>
      </w:r>
      <w:r>
        <w:t xml:space="preserve">Imprimir &gt; Acumulador de Ventas</w:t>
      </w:r>
    </w:p>
    <w:bookmarkEnd w:id="40"/>
    <w:bookmarkStart w:id="41" w:name="historial-de-cabina-booth-history"/>
    <w:p>
      <w:pPr>
        <w:pStyle w:val="Heading2"/>
      </w:pPr>
      <w:r>
        <w:t xml:space="preserve">Historial de Cabina (Booth History)</w:t>
      </w:r>
    </w:p>
    <w:p>
      <w:pPr>
        <w:pStyle w:val="FirstParagraph"/>
      </w:pPr>
      <w:r>
        <w:t xml:space="preserve">Shows the transaction history for a selected booth. Calls are listed with date, time, duration, destination, and cost. Individual receipts can be reprinted from this view.</w:t>
      </w:r>
    </w:p>
    <w:p>
      <w:pPr>
        <w:pStyle w:val="BodyText"/>
      </w:pPr>
      <w:r>
        <w:rPr>
          <w:b/>
          <w:bCs/>
        </w:rPr>
        <w:t xml:space="preserve">Path:</w:t>
      </w:r>
      <w:r>
        <w:t xml:space="preserve"> </w:t>
      </w:r>
      <w:r>
        <w:t xml:space="preserve">Imprimir &gt; Historial de Cabina</w:t>
      </w:r>
    </w:p>
    <w:bookmarkEnd w:id="41"/>
    <w:bookmarkStart w:id="42" w:name="recibo-de-turno-turn-receipt"/>
    <w:p>
      <w:pPr>
        <w:pStyle w:val="Heading2"/>
      </w:pPr>
      <w:r>
        <w:t xml:space="preserve">Recibo de Turno (Turn Receipt)</w:t>
      </w:r>
    </w:p>
    <w:p>
      <w:pPr>
        <w:pStyle w:val="FirstParagraph"/>
      </w:pPr>
      <w:r>
        <w:t xml:space="preserve">Prints a consolidated summary receipt for the current turn, listing all calls and totals. Typically printed at end-of-shift for supervisor verification and cash reconciliation.</w:t>
      </w:r>
    </w:p>
    <w:p>
      <w:pPr>
        <w:pStyle w:val="BodyText"/>
      </w:pPr>
      <w:r>
        <w:rPr>
          <w:b/>
          <w:bCs/>
        </w:rPr>
        <w:t xml:space="preserve">Path:</w:t>
      </w:r>
      <w:r>
        <w:t xml:space="preserve"> </w:t>
      </w:r>
      <w:r>
        <w:t xml:space="preserve">Imprimir &gt; Recibo de Turno</w:t>
      </w:r>
    </w:p>
    <w:bookmarkEnd w:id="42"/>
    <w:bookmarkStart w:id="43" w:name="reimprimir-recibo-reprint-receipt"/>
    <w:p>
      <w:pPr>
        <w:pStyle w:val="Heading2"/>
      </w:pPr>
      <w:r>
        <w:t xml:space="preserve">Reimprimir Recibo (Reprint Receipt)</w:t>
      </w:r>
    </w:p>
    <w:p>
      <w:pPr>
        <w:pStyle w:val="FirstParagraph"/>
      </w:pPr>
      <w:r>
        <w:t xml:space="preserve">Reprints any receipt stored in the current turn database by receipt number. Enter the receipt number in the dialog and click</w:t>
      </w:r>
      <w:r>
        <w:t xml:space="preserve"> </w:t>
      </w:r>
      <w:r>
        <w:rPr>
          <w:b/>
          <w:bCs/>
        </w:rPr>
        <w:t xml:space="preserve">Aceptar</w:t>
      </w:r>
      <w:r>
        <w:t xml:space="preserve">.</w:t>
      </w:r>
    </w:p>
    <w:p>
      <w:pPr>
        <w:pStyle w:val="BodyText"/>
      </w:pPr>
      <w:r>
        <w:rPr>
          <w:b/>
          <w:bCs/>
        </w:rPr>
        <w:t xml:space="preserve">Path:</w:t>
      </w:r>
      <w:r>
        <w:t xml:space="preserve"> </w:t>
      </w:r>
      <w:r>
        <w:t xml:space="preserve">Imprimir &gt; Reimprimir Recibo</w:t>
      </w:r>
    </w:p>
    <w:p>
      <w:r>
        <w:pict>
          <v:rect style="width:0;height:1.5pt" o:hralign="center" o:hrstd="t" o:hr="t"/>
        </w:pict>
      </w:r>
    </w:p>
    <w:bookmarkEnd w:id="43"/>
    <w:bookmarkEnd w:id="44"/>
    <w:bookmarkStart w:id="45" w:name="statistics"/>
    <w:p>
      <w:pPr>
        <w:pStyle w:val="Heading1"/>
      </w:pPr>
      <w:r>
        <w:t xml:space="preserve">Statistics</w:t>
      </w:r>
    </w:p>
    <w:p>
      <w:pPr>
        <w:pStyle w:val="FirstParagraph"/>
      </w:pPr>
      <w:r>
        <w:t xml:space="preserve">SmartTar maintains running statistics across multiple time horizons, accessible from the Print menu via the Sales Accumulator dialog.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Data available</w:t>
            </w:r>
          </w:p>
        </w:tc>
      </w:tr>
      <w:tr>
        <w:tc>
          <w:tcPr/>
          <w:p>
            <w:pPr>
              <w:pStyle w:val="Compact"/>
            </w:pPr>
            <w:r>
              <w:t xml:space="preserve">Day</w:t>
            </w:r>
          </w:p>
        </w:tc>
        <w:tc>
          <w:tcPr/>
          <w:p>
            <w:pPr>
              <w:pStyle w:val="Compact"/>
            </w:pPr>
            <w:r>
              <w:t xml:space="preserve">Calls, revenue, and tax totals for the current calendar day.</w:t>
            </w:r>
          </w:p>
        </w:tc>
      </w:tr>
      <w:tr>
        <w:tc>
          <w:tcPr/>
          <w:p>
            <w:pPr>
              <w:pStyle w:val="Compact"/>
            </w:pPr>
            <w:r>
              <w:t xml:space="preserve">Week</w:t>
            </w:r>
          </w:p>
        </w:tc>
        <w:tc>
          <w:tcPr/>
          <w:p>
            <w:pPr>
              <w:pStyle w:val="Compact"/>
            </w:pPr>
            <w:r>
              <w:t xml:space="preserve">Rolling 7-day totals.</w:t>
            </w:r>
          </w:p>
        </w:tc>
      </w:tr>
      <w:tr>
        <w:tc>
          <w:tcPr/>
          <w:p>
            <w:pPr>
              <w:pStyle w:val="Compact"/>
            </w:pPr>
            <w:r>
              <w:t xml:space="preserve">Month</w:t>
            </w:r>
          </w:p>
        </w:tc>
        <w:tc>
          <w:tcPr/>
          <w:p>
            <w:pPr>
              <w:pStyle w:val="Compact"/>
            </w:pPr>
            <w:r>
              <w:t xml:space="preserve">Current calendar month totals.</w:t>
            </w:r>
          </w:p>
        </w:tc>
      </w:tr>
      <w:tr>
        <w:tc>
          <w:tcPr/>
          <w:p>
            <w:pPr>
              <w:pStyle w:val="Compact"/>
            </w:pPr>
            <w:r>
              <w:t xml:space="preserve">Year</w:t>
            </w:r>
          </w:p>
        </w:tc>
        <w:tc>
          <w:tcPr/>
          <w:p>
            <w:pPr>
              <w:pStyle w:val="Compact"/>
            </w:pPr>
            <w:r>
              <w:t xml:space="preserve">Current calendar year totals.</w:t>
            </w:r>
          </w:p>
        </w:tc>
      </w:tr>
    </w:tbl>
    <w:p>
      <w:pPr>
        <w:pStyle w:val="BodyText"/>
      </w:pPr>
      <w:r>
        <w:t xml:space="preserve">Statistics are automatically managed by the system. Daily statistics reset when the date changes. The statistics snapshot file (RX.STA) is updated whenever the database is flushed. No manual reset is needed for normal operation.</w:t>
      </w:r>
    </w:p>
    <w:p>
      <w:r>
        <w:pict>
          <v:rect style="width:0;height:1.5pt" o:hralign="center" o:hrstd="t" o:hr="t"/>
        </w:pict>
      </w:r>
    </w:p>
    <w:bookmarkEnd w:id="45"/>
    <w:bookmarkStart w:id="49" w:name="telephony-database-management"/>
    <w:p>
      <w:pPr>
        <w:pStyle w:val="Heading1"/>
      </w:pPr>
      <w:r>
        <w:t xml:space="preserve">Telephony Database Management</w:t>
      </w:r>
    </w:p>
    <w:p>
      <w:pPr>
        <w:pStyle w:val="FirstParagraph"/>
      </w:pPr>
      <w:r>
        <w:t xml:space="preserve">The telephony database defines how calls are classified and priced. It consists of the numbering plan (LOCAL.INF, DDN.INF, DDI.INF) compiled into PH_INFO.DAT.</w:t>
      </w:r>
    </w:p>
    <w:bookmarkStart w:id="46" w:name="when-to-update-the-database"/>
    <w:p>
      <w:pPr>
        <w:pStyle w:val="Heading2"/>
      </w:pPr>
      <w:r>
        <w:t xml:space="preserve">When to Update the Database</w:t>
      </w:r>
    </w:p>
    <w:p>
      <w:pPr>
        <w:pStyle w:val="FirstParagraph"/>
      </w:pPr>
      <w:r>
        <w:t xml:space="preserve">Update the telephony database when:</w:t>
      </w:r>
    </w:p>
    <w:p>
      <w:pPr>
        <w:pStyle w:val="Compact"/>
        <w:numPr>
          <w:ilvl w:val="0"/>
          <w:numId w:val="1010"/>
        </w:numPr>
      </w:pPr>
      <w:r>
        <w:t xml:space="preserve">The telephone carrier changes tariff rates or schedules.</w:t>
      </w:r>
    </w:p>
    <w:p>
      <w:pPr>
        <w:pStyle w:val="Compact"/>
        <w:numPr>
          <w:ilvl w:val="0"/>
          <w:numId w:val="1010"/>
        </w:numPr>
      </w:pPr>
      <w:r>
        <w:t xml:space="preserve">New area codes or country codes are added.</w:t>
      </w:r>
    </w:p>
    <w:p>
      <w:pPr>
        <w:pStyle w:val="Compact"/>
        <w:numPr>
          <w:ilvl w:val="0"/>
          <w:numId w:val="1010"/>
        </w:numPr>
      </w:pPr>
      <w:r>
        <w:t xml:space="preserve">New destinations need to be blocked (added to the locked numbers list).</w:t>
      </w:r>
    </w:p>
    <w:p>
      <w:pPr>
        <w:pStyle w:val="Compact"/>
        <w:numPr>
          <w:ilvl w:val="0"/>
          <w:numId w:val="1010"/>
        </w:numPr>
      </w:pPr>
      <w:r>
        <w:t xml:space="preserve">Local numbering plan prefixes change.</w:t>
      </w:r>
    </w:p>
    <w:bookmarkEnd w:id="46"/>
    <w:bookmarkStart w:id="47" w:name="update-procedure"/>
    <w:p>
      <w:pPr>
        <w:pStyle w:val="Heading2"/>
      </w:pPr>
      <w:r>
        <w:t xml:space="preserve">Update Procedure</w:t>
      </w:r>
    </w:p>
    <w:p>
      <w:pPr>
        <w:pStyle w:val="Compact"/>
        <w:numPr>
          <w:ilvl w:val="0"/>
          <w:numId w:val="1011"/>
        </w:numPr>
      </w:pPr>
      <w:r>
        <w:t xml:space="preserve">Edit the source files (LOCAL.INF, DDN.INF, DDI.INF) using a plain-text editor, or use the tariff editor in</w:t>
      </w:r>
      <w:r>
        <w:t xml:space="preserve"> </w:t>
      </w:r>
      <w:r>
        <w:rPr>
          <w:b/>
          <w:bCs/>
        </w:rPr>
        <w:t xml:space="preserve">Configuración &gt; Tarifa</w:t>
      </w:r>
      <w:r>
        <w:t xml:space="preserve">.</w:t>
      </w:r>
    </w:p>
    <w:p>
      <w:pPr>
        <w:pStyle w:val="Compact"/>
        <w:numPr>
          <w:ilvl w:val="0"/>
          <w:numId w:val="1011"/>
        </w:numPr>
      </w:pPr>
      <w:r>
        <w:t xml:space="preserve">Run the SETUP utility to recompile the source files into PH_INFO.DAT.</w:t>
      </w:r>
    </w:p>
    <w:p>
      <w:pPr>
        <w:pStyle w:val="Compact"/>
        <w:numPr>
          <w:ilvl w:val="0"/>
          <w:numId w:val="1011"/>
        </w:numPr>
      </w:pPr>
      <w:r>
        <w:t xml:space="preserve">Restart SmartTar. The new database is loaded at startup.</w:t>
      </w:r>
    </w:p>
    <w:p>
      <w:pPr>
        <w:pStyle w:val="FirstParagraph"/>
      </w:pPr>
      <w:r>
        <w:rPr>
          <w:b/>
          <w:bCs/>
        </w:rPr>
        <w:t xml:space="preserve">Note:</w:t>
      </w:r>
      <w:r>
        <w:t xml:space="preserve"> </w:t>
      </w:r>
      <w:r>
        <w:t xml:space="preserve">Do not edit PH_INFO.DAT directly. It is a compiled binary file and will be overwritten the next time SETUP runs.</w:t>
      </w:r>
    </w:p>
    <w:bookmarkEnd w:id="47"/>
    <w:bookmarkStart w:id="48" w:name="locked-numbers"/>
    <w:p>
      <w:pPr>
        <w:pStyle w:val="Heading2"/>
      </w:pPr>
      <w:r>
        <w:t xml:space="preserve">Locked Numbers</w:t>
      </w:r>
    </w:p>
    <w:p>
      <w:pPr>
        <w:pStyle w:val="FirstParagraph"/>
      </w:pPr>
      <w:r>
        <w:t xml:space="preserve">Locked numbers are telephone numbers or prefixes that are blocked from use. When a customer dials a locked number, the call is intercepted before it connects and no charge is incurred. To add or remove locked numbers, use</w:t>
      </w:r>
      <w:r>
        <w:t xml:space="preserve"> </w:t>
      </w:r>
      <w:r>
        <w:rPr>
          <w:b/>
          <w:bCs/>
        </w:rPr>
        <w:t xml:space="preserve">Configuración &gt; Tarifa &gt; Números Bloqueados</w:t>
      </w:r>
      <w:r>
        <w:t xml:space="preserve"> </w:t>
      </w:r>
      <w:r>
        <w:t xml:space="preserve">and recompile the database.</w:t>
      </w:r>
    </w:p>
    <w:p>
      <w:r>
        <w:pict>
          <v:rect style="width:0;height:1.5pt" o:hralign="center" o:hrstd="t" o:hr="t"/>
        </w:pict>
      </w:r>
    </w:p>
    <w:bookmarkEnd w:id="48"/>
    <w:bookmarkEnd w:id="49"/>
    <w:bookmarkStart w:id="53" w:name="turn-management"/>
    <w:p>
      <w:pPr>
        <w:pStyle w:val="Heading1"/>
      </w:pPr>
      <w:r>
        <w:t xml:space="preserve">Turn Management</w:t>
      </w:r>
    </w:p>
    <w:p>
      <w:pPr>
        <w:pStyle w:val="FirstParagraph"/>
      </w:pPr>
      <w:r>
        <w:t xml:space="preserve">A</w:t>
      </w:r>
      <w:r>
        <w:t xml:space="preserve"> </w:t>
      </w:r>
      <w:r>
        <w:rPr>
          <w:i/>
          <w:iCs/>
        </w:rPr>
        <w:t xml:space="preserve">turn</w:t>
      </w:r>
      <w:r>
        <w:t xml:space="preserve"> </w:t>
      </w:r>
      <w:r>
        <w:t xml:space="preserve">(turno) represents a work shift or accounting period. SmartTar supports multiple turns per day, each with its own receipt counter and statistics snapshot.</w:t>
      </w:r>
    </w:p>
    <w:bookmarkStart w:id="50" w:name="starting-a-new-turn"/>
    <w:p>
      <w:pPr>
        <w:pStyle w:val="Heading2"/>
      </w:pPr>
      <w:r>
        <w:t xml:space="preserve">Starting a New Turn</w:t>
      </w:r>
    </w:p>
    <w:p>
      <w:pPr>
        <w:pStyle w:val="FirstParagraph"/>
      </w:pPr>
      <w:r>
        <w:t xml:space="preserve">At the beginning of each shift:</w:t>
      </w:r>
    </w:p>
    <w:p>
      <w:pPr>
        <w:pStyle w:val="Compact"/>
        <w:numPr>
          <w:ilvl w:val="0"/>
          <w:numId w:val="1012"/>
        </w:numPr>
      </w:pPr>
      <w:r>
        <w:t xml:space="preserve">Go to</w:t>
      </w:r>
      <w:r>
        <w:t xml:space="preserve"> </w:t>
      </w:r>
      <w:r>
        <w:rPr>
          <w:b/>
          <w:bCs/>
        </w:rPr>
        <w:t xml:space="preserve">Archivo &gt; Nuevo Turno</w:t>
      </w:r>
      <w:r>
        <w:t xml:space="preserve">.</w:t>
      </w:r>
    </w:p>
    <w:p>
      <w:pPr>
        <w:pStyle w:val="Compact"/>
        <w:numPr>
          <w:ilvl w:val="0"/>
          <w:numId w:val="1012"/>
        </w:numPr>
      </w:pPr>
      <w:r>
        <w:t xml:space="preserve">Confirm the action in the dialog that appears.</w:t>
      </w:r>
    </w:p>
    <w:p>
      <w:pPr>
        <w:pStyle w:val="Compact"/>
        <w:numPr>
          <w:ilvl w:val="0"/>
          <w:numId w:val="1012"/>
        </w:numPr>
      </w:pPr>
      <w:r>
        <w:t xml:space="preserve">The turn number increments, statistics are reset for the new period, and the receipt counter continues from where it left off.</w:t>
      </w:r>
    </w:p>
    <w:bookmarkEnd w:id="50"/>
    <w:bookmarkStart w:id="51" w:name="closing-a-turn"/>
    <w:p>
      <w:pPr>
        <w:pStyle w:val="Heading2"/>
      </w:pPr>
      <w:r>
        <w:t xml:space="preserve">Closing a Turn</w:t>
      </w:r>
    </w:p>
    <w:p>
      <w:pPr>
        <w:pStyle w:val="FirstParagraph"/>
      </w:pPr>
      <w:r>
        <w:t xml:space="preserve">At the end of each shift:</w:t>
      </w:r>
    </w:p>
    <w:p>
      <w:pPr>
        <w:pStyle w:val="Compact"/>
        <w:numPr>
          <w:ilvl w:val="0"/>
          <w:numId w:val="1013"/>
        </w:numPr>
      </w:pPr>
      <w:r>
        <w:t xml:space="preserve">Ensure all active calls have completed (all booths idle in the view).</w:t>
      </w:r>
    </w:p>
    <w:p>
      <w:pPr>
        <w:pStyle w:val="Compact"/>
        <w:numPr>
          <w:ilvl w:val="0"/>
          <w:numId w:val="1013"/>
        </w:numPr>
      </w:pPr>
      <w:r>
        <w:t xml:space="preserve">Go to</w:t>
      </w:r>
      <w:r>
        <w:t xml:space="preserve"> </w:t>
      </w:r>
      <w:r>
        <w:rPr>
          <w:b/>
          <w:bCs/>
        </w:rPr>
        <w:t xml:space="preserve">Archivo &gt; Cerrar Turno</w:t>
      </w:r>
      <w:r>
        <w:t xml:space="preserve">.</w:t>
      </w:r>
    </w:p>
    <w:p>
      <w:pPr>
        <w:pStyle w:val="Compact"/>
        <w:numPr>
          <w:ilvl w:val="0"/>
          <w:numId w:val="1013"/>
        </w:numPr>
      </w:pPr>
      <w:r>
        <w:t xml:space="preserve">Print the turn receipt if required (</w:t>
      </w:r>
      <w:r>
        <w:rPr>
          <w:b/>
          <w:bCs/>
        </w:rPr>
        <w:t xml:space="preserve">Imprimir &gt; Recibo de Turno</w:t>
      </w:r>
      <w:r>
        <w:t xml:space="preserve">).</w:t>
      </w:r>
    </w:p>
    <w:p>
      <w:pPr>
        <w:pStyle w:val="Compact"/>
        <w:numPr>
          <w:ilvl w:val="0"/>
          <w:numId w:val="1013"/>
        </w:numPr>
      </w:pPr>
      <w:r>
        <w:t xml:space="preserve">The current database is archived and a new empty database is prepared for the next turn.</w:t>
      </w:r>
    </w:p>
    <w:p>
      <w:pPr>
        <w:pStyle w:val="FirstParagraph"/>
      </w:pPr>
      <w:r>
        <w:rPr>
          <w:b/>
          <w:bCs/>
        </w:rPr>
        <w:t xml:space="preserve">Note:</w:t>
      </w:r>
      <w:r>
        <w:t xml:space="preserve"> </w:t>
      </w:r>
      <w:r>
        <w:t xml:space="preserve">Do not close a turn while calls are active.</w:t>
      </w:r>
    </w:p>
    <w:bookmarkEnd w:id="51"/>
    <w:bookmarkStart w:id="52" w:name="viewing-archived-turns"/>
    <w:p>
      <w:pPr>
        <w:pStyle w:val="Heading2"/>
      </w:pPr>
      <w:r>
        <w:t xml:space="preserve">Viewing Archived Turns</w:t>
      </w:r>
    </w:p>
    <w:p>
      <w:pPr>
        <w:pStyle w:val="FirstParagraph"/>
      </w:pPr>
      <w:r>
        <w:t xml:space="preserve">Past turns are stored in archive files. Use the database viewer (</w:t>
      </w:r>
      <w:r>
        <w:rPr>
          <w:b/>
          <w:bCs/>
        </w:rPr>
        <w:t xml:space="preserve">Archivo &gt; Ver Archivo</w:t>
      </w:r>
      <w:r>
        <w:t xml:space="preserve">) to browse and reprint receipts from archived turns.</w:t>
      </w:r>
    </w:p>
    <w:p>
      <w:r>
        <w:pict>
          <v:rect style="width:0;height:1.5pt" o:hralign="center" o:hrstd="t" o:hr="t"/>
        </w:pict>
      </w:r>
    </w:p>
    <w:bookmarkEnd w:id="52"/>
    <w:bookmarkEnd w:id="53"/>
    <w:bookmarkStart w:id="57" w:name="passwords"/>
    <w:p>
      <w:pPr>
        <w:pStyle w:val="Heading1"/>
      </w:pPr>
      <w:r>
        <w:t xml:space="preserve">Passwords</w:t>
      </w:r>
    </w:p>
    <w:p>
      <w:pPr>
        <w:pStyle w:val="FirstParagraph"/>
      </w:pPr>
      <w:r>
        <w:t xml:space="preserve">SmartTar enforces access control through passwords. The system requires login before access-controlled operations can be performed.</w:t>
      </w:r>
    </w:p>
    <w:bookmarkStart w:id="54" w:name="access-levels-summary"/>
    <w:p>
      <w:pPr>
        <w:pStyle w:val="Heading2"/>
      </w:pPr>
      <w:r>
        <w:t xml:space="preserve">Access Levels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operators at this level can do</w:t>
            </w:r>
          </w:p>
        </w:tc>
      </w:tr>
      <w:tr>
        <w:tc>
          <w:tcPr/>
          <w:p>
            <w:pPr>
              <w:pStyle w:val="Compact"/>
            </w:pPr>
            <w:r>
              <w:t xml:space="preserve">User 1 / User 2</w:t>
            </w:r>
          </w:p>
        </w:tc>
        <w:tc>
          <w:tcPr/>
          <w:p>
            <w:pPr>
              <w:pStyle w:val="Compact"/>
            </w:pPr>
            <w:r>
              <w:t xml:space="preserve">Monitor booths, settle calls, print receipts, view statistics.</w:t>
            </w:r>
          </w:p>
        </w:tc>
      </w:tr>
      <w:tr>
        <w:tc>
          <w:tcPr/>
          <w:p>
            <w:pPr>
              <w:pStyle w:val="Compact"/>
            </w:pPr>
            <w:r>
              <w:t xml:space="preserve">Operator</w:t>
            </w:r>
          </w:p>
        </w:tc>
        <w:tc>
          <w:tcPr/>
          <w:p>
            <w:pPr>
              <w:pStyle w:val="Compact"/>
            </w:pPr>
            <w:r>
              <w:t xml:space="preserve">View-only access to extension account information. Cannot change settings.</w:t>
            </w:r>
          </w:p>
        </w:tc>
      </w:tr>
      <w:tr>
        <w:tc>
          <w:tcPr/>
          <w:p>
            <w:pPr>
              <w:pStyle w:val="Compact"/>
            </w:pPr>
            <w:r>
              <w:t xml:space="preserve">Supervisor</w:t>
            </w:r>
          </w:p>
        </w:tc>
        <w:tc>
          <w:tcPr/>
          <w:p>
            <w:pPr>
              <w:pStyle w:val="Compact"/>
            </w:pPr>
            <w:r>
              <w:t xml:space="preserve">All of the above, plus: change configuration, manage turns, edit tariffs, manage passwords.</w:t>
            </w:r>
          </w:p>
        </w:tc>
      </w:tr>
      <w:tr>
        <w:tc>
          <w:tcPr/>
          <w:p>
            <w:pPr>
              <w:pStyle w:val="Compact"/>
            </w:pPr>
            <w:r>
              <w:t xml:space="preserve">Backdoor</w:t>
            </w:r>
          </w:p>
        </w:tc>
        <w:tc>
          <w:tcPr/>
          <w:p>
            <w:pPr>
              <w:pStyle w:val="Compact"/>
            </w:pPr>
            <w:r>
              <w:t xml:space="preserve">Full access for service technicians. Bypasses version checks.</w:t>
            </w:r>
          </w:p>
        </w:tc>
      </w:tr>
    </w:tbl>
    <w:bookmarkEnd w:id="54"/>
    <w:bookmarkStart w:id="55" w:name="logging-in"/>
    <w:p>
      <w:pPr>
        <w:pStyle w:val="Heading2"/>
      </w:pPr>
      <w:r>
        <w:t xml:space="preserve">Logging In</w:t>
      </w:r>
    </w:p>
    <w:p>
      <w:pPr>
        <w:pStyle w:val="FirstParagraph"/>
      </w:pPr>
      <w:r>
        <w:t xml:space="preserve">When an access-controlled function is invoked, SmartTar prompts for a password. Enter the password for the appropriate level and press</w:t>
      </w:r>
      <w:r>
        <w:t xml:space="preserve"> </w:t>
      </w:r>
      <w:r>
        <w:rPr>
          <w:b/>
          <w:bCs/>
        </w:rPr>
        <w:t xml:space="preserve">Enter</w:t>
      </w:r>
      <w:r>
        <w:t xml:space="preserve">. The system grants access if the password matches any level with sufficient privileges.</w:t>
      </w:r>
    </w:p>
    <w:bookmarkEnd w:id="55"/>
    <w:bookmarkStart w:id="56" w:name="changing-passwords"/>
    <w:p>
      <w:pPr>
        <w:pStyle w:val="Heading2"/>
      </w:pPr>
      <w:r>
        <w:t xml:space="preserve">Changing Passwords</w:t>
      </w:r>
    </w:p>
    <w:p>
      <w:pPr>
        <w:pStyle w:val="FirstParagraph"/>
      </w:pPr>
      <w:r>
        <w:t xml:space="preserve">Go to</w:t>
      </w:r>
      <w:r>
        <w:t xml:space="preserve"> </w:t>
      </w:r>
      <w:r>
        <w:rPr>
          <w:b/>
          <w:bCs/>
        </w:rPr>
        <w:t xml:space="preserve">Configuración &gt; Claves</w:t>
      </w:r>
      <w:r>
        <w:t xml:space="preserve">. Enter the old password, the new password, and confirm the new password. The new password takes effect immediately.</w:t>
      </w:r>
    </w:p>
    <w:p>
      <w:pPr>
        <w:pStyle w:val="BodyText"/>
      </w:pPr>
      <w:r>
        <w:rPr>
          <w:b/>
          <w:bCs/>
        </w:rPr>
        <w:t xml:space="preserve">Password rules:</w:t>
      </w:r>
    </w:p>
    <w:p>
      <w:pPr>
        <w:pStyle w:val="Compact"/>
        <w:numPr>
          <w:ilvl w:val="0"/>
          <w:numId w:val="1014"/>
        </w:numPr>
      </w:pPr>
      <w:r>
        <w:t xml:space="preserve">Maximum 8 characters.</w:t>
      </w:r>
    </w:p>
    <w:p>
      <w:pPr>
        <w:pStyle w:val="Compact"/>
        <w:numPr>
          <w:ilvl w:val="0"/>
          <w:numId w:val="1014"/>
        </w:numPr>
      </w:pPr>
      <w:r>
        <w:t xml:space="preserve">Case-sensitive.</w:t>
      </w:r>
    </w:p>
    <w:p>
      <w:pPr>
        <w:pStyle w:val="Compact"/>
        <w:numPr>
          <w:ilvl w:val="0"/>
          <w:numId w:val="1014"/>
        </w:numPr>
      </w:pPr>
      <w:r>
        <w:t xml:space="preserve">Stored encrypted in ST.CFG.</w:t>
      </w:r>
    </w:p>
    <w:p>
      <w:pPr>
        <w:pStyle w:val="FirstParagraph"/>
      </w:pPr>
      <w:r>
        <w:rPr>
          <w:b/>
          <w:bCs/>
        </w:rPr>
        <w:t xml:space="preserve">Note:</w:t>
      </w:r>
      <w:r>
        <w:t xml:space="preserve"> </w:t>
      </w:r>
      <w:r>
        <w:t xml:space="preserve">If you lock yourself out, contact your service technician. The backdoor password is used only by MicroDiseño service personnel.</w:t>
      </w:r>
    </w:p>
    <w:p>
      <w:r>
        <w:pict>
          <v:rect style="width:0;height:1.5pt" o:hralign="center" o:hrstd="t" o:hr="t"/>
        </w:pict>
      </w:r>
    </w:p>
    <w:bookmarkEnd w:id="56"/>
    <w:bookmarkEnd w:id="57"/>
    <w:bookmarkStart w:id="60" w:name="system-information"/>
    <w:p>
      <w:pPr>
        <w:pStyle w:val="Heading1"/>
      </w:pPr>
      <w:r>
        <w:t xml:space="preserve">System Information</w:t>
      </w:r>
    </w:p>
    <w:p>
      <w:pPr>
        <w:pStyle w:val="FirstParagraph"/>
      </w:pPr>
      <w:r>
        <w:t xml:space="preserve">The Information menu (</w:t>
      </w:r>
      <w:r>
        <w:rPr>
          <w:b/>
          <w:bCs/>
        </w:rPr>
        <w:t xml:space="preserve">Información</w:t>
      </w:r>
      <w:r>
        <w:t xml:space="preserve">) provides read-only views of the current system configuration, active cluster count, and version details.</w:t>
      </w:r>
    </w:p>
    <w:bookmarkStart w:id="58" w:name="información-del-sistema"/>
    <w:p>
      <w:pPr>
        <w:pStyle w:val="Heading2"/>
      </w:pPr>
      <w:r>
        <w:t xml:space="preserve">Información del Sistema</w:t>
      </w:r>
    </w:p>
    <w:p>
      <w:pPr>
        <w:pStyle w:val="FirstParagraph"/>
      </w:pPr>
      <w:r>
        <w:t xml:space="preserve">Opens a dialog showing:</w:t>
      </w:r>
    </w:p>
    <w:p>
      <w:pPr>
        <w:pStyle w:val="Compact"/>
        <w:numPr>
          <w:ilvl w:val="0"/>
          <w:numId w:val="1015"/>
        </w:numPr>
      </w:pPr>
      <w:r>
        <w:t xml:space="preserve">Number of active/configured booths (detected vs. configured clusters).</w:t>
      </w:r>
    </w:p>
    <w:p>
      <w:pPr>
        <w:pStyle w:val="Compact"/>
        <w:numPr>
          <w:ilvl w:val="0"/>
          <w:numId w:val="1015"/>
        </w:numPr>
      </w:pPr>
      <w:r>
        <w:t xml:space="preserve">Answer signal method in use.</w:t>
      </w:r>
    </w:p>
    <w:p>
      <w:pPr>
        <w:pStyle w:val="Compact"/>
        <w:numPr>
          <w:ilvl w:val="0"/>
          <w:numId w:val="1015"/>
        </w:numPr>
      </w:pPr>
      <w:r>
        <w:t xml:space="preserve">Printer form type and port.</w:t>
      </w:r>
    </w:p>
    <w:p>
      <w:pPr>
        <w:pStyle w:val="Compact"/>
        <w:numPr>
          <w:ilvl w:val="0"/>
          <w:numId w:val="1015"/>
        </w:numPr>
      </w:pPr>
      <w:r>
        <w:t xml:space="preserve">Current timing parameters (T_TALK, T_DIAL, T_LOCK, T_ANSWER).</w:t>
      </w:r>
    </w:p>
    <w:p>
      <w:pPr>
        <w:pStyle w:val="Compact"/>
        <w:numPr>
          <w:ilvl w:val="0"/>
          <w:numId w:val="1015"/>
        </w:numPr>
      </w:pPr>
      <w:r>
        <w:t xml:space="preserve">Rounding value (M_ROUND).</w:t>
      </w:r>
    </w:p>
    <w:p>
      <w:pPr>
        <w:pStyle w:val="Compact"/>
        <w:numPr>
          <w:ilvl w:val="0"/>
          <w:numId w:val="1015"/>
        </w:numPr>
      </w:pPr>
      <w:r>
        <w:t xml:space="preserve">Digit counts per call type.</w:t>
      </w:r>
    </w:p>
    <w:p>
      <w:pPr>
        <w:pStyle w:val="FirstParagraph"/>
      </w:pPr>
      <w:r>
        <w:rPr>
          <w:b/>
          <w:bCs/>
        </w:rPr>
        <w:t xml:space="preserve">Path:</w:t>
      </w:r>
      <w:r>
        <w:t xml:space="preserve"> </w:t>
      </w:r>
      <w:r>
        <w:t xml:space="preserve">Información &gt; Información del Sistema</w:t>
      </w:r>
    </w:p>
    <w:bookmarkEnd w:id="58"/>
    <w:bookmarkStart w:id="59" w:name="acerca-de-about"/>
    <w:p>
      <w:pPr>
        <w:pStyle w:val="Heading2"/>
      </w:pPr>
      <w:r>
        <w:t xml:space="preserve">Acerca de (About)</w:t>
      </w:r>
    </w:p>
    <w:p>
      <w:pPr>
        <w:pStyle w:val="FirstParagraph"/>
      </w:pPr>
      <w:r>
        <w:t xml:space="preserve">Displays the application version, serial number, and copyright notice. Also accessible via</w:t>
      </w:r>
      <w:r>
        <w:t xml:space="preserve"> </w:t>
      </w:r>
      <w:r>
        <w:rPr>
          <w:b/>
          <w:bCs/>
        </w:rPr>
        <w:t xml:space="preserve">Ayuda &gt; Acerca de</w:t>
      </w:r>
      <w:r>
        <w:t xml:space="preserve">.</w:t>
      </w:r>
    </w:p>
    <w:p>
      <w:r>
        <w:pict>
          <v:rect style="width:0;height:1.5pt" o:hralign="center" o:hrstd="t" o:hr="t"/>
        </w:pict>
      </w:r>
    </w:p>
    <w:bookmarkEnd w:id="59"/>
    <w:bookmarkEnd w:id="60"/>
    <w:bookmarkStart w:id="61" w:name="shutting-down-the-system"/>
    <w:p>
      <w:pPr>
        <w:pStyle w:val="Heading1"/>
      </w:pPr>
      <w:r>
        <w:t xml:space="preserve">Shutting Down the System</w:t>
      </w:r>
    </w:p>
    <w:p>
      <w:pPr>
        <w:pStyle w:val="FirstParagraph"/>
      </w:pPr>
      <w:r>
        <w:t xml:space="preserve">Follow this procedure to shut down SmartTar safely:</w:t>
      </w:r>
    </w:p>
    <w:p>
      <w:pPr>
        <w:pStyle w:val="Compact"/>
        <w:numPr>
          <w:ilvl w:val="0"/>
          <w:numId w:val="1016"/>
        </w:numPr>
      </w:pPr>
      <w:r>
        <w:rPr>
          <w:b/>
          <w:bCs/>
        </w:rPr>
        <w:t xml:space="preserve">Verify all booths are idle.</w:t>
      </w:r>
      <w:r>
        <w:t xml:space="preserve"> </w:t>
      </w:r>
      <w:r>
        <w:t xml:space="preserve">The booth view should show every booth as</w:t>
      </w:r>
      <w:r>
        <w:t xml:space="preserve"> </w:t>
      </w:r>
      <w:r>
        <w:rPr>
          <w:i/>
          <w:iCs/>
        </w:rPr>
        <w:t xml:space="preserve">Libre</w:t>
      </w:r>
      <w:r>
        <w:t xml:space="preserve">. If any calls are still active, wait for them to complete.</w:t>
      </w:r>
    </w:p>
    <w:p>
      <w:pPr>
        <w:pStyle w:val="Compact"/>
        <w:numPr>
          <w:ilvl w:val="0"/>
          <w:numId w:val="1016"/>
        </w:numPr>
      </w:pPr>
      <w:r>
        <w:rPr>
          <w:b/>
          <w:bCs/>
        </w:rPr>
        <w:t xml:space="preserve">Close the current turn</w:t>
      </w:r>
      <w:r>
        <w:t xml:space="preserve"> </w:t>
      </w:r>
      <w:r>
        <w:t xml:space="preserve">if a shift change is occurring (see Section 10).</w:t>
      </w:r>
    </w:p>
    <w:p>
      <w:pPr>
        <w:pStyle w:val="Compact"/>
        <w:numPr>
          <w:ilvl w:val="0"/>
          <w:numId w:val="1016"/>
        </w:numPr>
      </w:pPr>
      <w:r>
        <w:rPr>
          <w:b/>
          <w:bCs/>
        </w:rPr>
        <w:t xml:space="preserve">Print the turn receipt</w:t>
      </w:r>
      <w:r>
        <w:t xml:space="preserve"> </w:t>
      </w:r>
      <w:r>
        <w:t xml:space="preserve">for supervisor verification if required.</w:t>
      </w:r>
    </w:p>
    <w:p>
      <w:pPr>
        <w:pStyle w:val="Compact"/>
        <w:numPr>
          <w:ilvl w:val="0"/>
          <w:numId w:val="1016"/>
        </w:numPr>
      </w:pPr>
      <w:r>
        <w:t xml:space="preserve">Press</w:t>
      </w:r>
      <w:r>
        <w:t xml:space="preserve"> </w:t>
      </w:r>
      <w:r>
        <w:rPr>
          <w:b/>
          <w:bCs/>
        </w:rPr>
        <w:t xml:space="preserve">Alt+F4</w:t>
      </w:r>
      <w:r>
        <w:t xml:space="preserve"> </w:t>
      </w:r>
      <w:r>
        <w:t xml:space="preserve">or close the main window. A confirmation dialog asks:</w:t>
      </w:r>
      <w:r>
        <w:t xml:space="preserve"> </w:t>
      </w:r>
      <w:r>
        <w:rPr>
          <w:i/>
          <w:iCs/>
        </w:rPr>
        <w:t xml:space="preserve">“Terminar la sesión de trabajo?”</w:t>
      </w:r>
      <w:r>
        <w:t xml:space="preserve"> </w:t>
      </w:r>
      <w:r>
        <w:t xml:space="preserve">(End the work session?).</w:t>
      </w:r>
    </w:p>
    <w:p>
      <w:pPr>
        <w:pStyle w:val="Compact"/>
        <w:numPr>
          <w:ilvl w:val="0"/>
          <w:numId w:val="1016"/>
        </w:numPr>
      </w:pPr>
      <w:r>
        <w:t xml:space="preserve">Click</w:t>
      </w:r>
      <w:r>
        <w:t xml:space="preserve"> </w:t>
      </w:r>
      <w:r>
        <w:rPr>
          <w:b/>
          <w:bCs/>
        </w:rPr>
        <w:t xml:space="preserve">Sí</w:t>
      </w:r>
      <w:r>
        <w:t xml:space="preserve"> </w:t>
      </w:r>
      <w:r>
        <w:t xml:space="preserve">(Yes) to confirm. The application flushes all databases, records the logout event in the EEPROM, and exits to DOS.</w:t>
      </w:r>
    </w:p>
    <w:p>
      <w:pPr>
        <w:pStyle w:val="FirstParagraph"/>
      </w:pPr>
      <w:r>
        <w:rPr>
          <w:b/>
          <w:bCs/>
        </w:rPr>
        <w:t xml:space="preserve">Warning:</w:t>
      </w:r>
      <w:r>
        <w:t xml:space="preserve"> </w:t>
      </w:r>
      <w:r>
        <w:t xml:space="preserve">Do not power off the PC or reboot while SmartTar is running, especially not while calls are active. Doing so will cause a bad shutdown event, which must be recovered on the next startup. Always exit SmartTar cleanly before powering off.</w:t>
      </w:r>
    </w:p>
    <w:p>
      <w:r>
        <w:pict>
          <v:rect style="width:0;height:1.5pt" o:hralign="center" o:hrstd="t" o:hr="t"/>
        </w:pict>
      </w:r>
    </w:p>
    <w:bookmarkEnd w:id="61"/>
    <w:bookmarkStart w:id="69" w:name="troubleshooting"/>
    <w:p>
      <w:pPr>
        <w:pStyle w:val="Heading1"/>
      </w:pPr>
      <w:r>
        <w:t xml:space="preserve">Troubleshooting</w:t>
      </w:r>
    </w:p>
    <w:bookmarkStart w:id="62" w:name="application-will-not-start"/>
    <w:p>
      <w:pPr>
        <w:pStyle w:val="Heading2"/>
      </w:pPr>
      <w:r>
        <w:t xml:space="preserve">Application Will Not Start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Action</w:t>
            </w:r>
          </w:p>
        </w:tc>
      </w:tr>
      <w:tr>
        <w:tc>
          <w:tcPr/>
          <w:p>
            <w:pPr>
              <w:pStyle w:val="Compact"/>
            </w:pPr>
            <w:r>
              <w:t xml:space="preserve">“Acceso Negado”</w:t>
            </w:r>
            <w:r>
              <w:t xml:space="preserve"> </w:t>
            </w:r>
            <w:r>
              <w:t xml:space="preserve">message</w:t>
            </w:r>
          </w:p>
        </w:tc>
        <w:tc>
          <w:tcPr/>
          <w:p>
            <w:pPr>
              <w:pStyle w:val="Compact"/>
            </w:pPr>
            <w:r>
              <w:t xml:space="preserve">Check that the dongle is connected to LPT1. Verify the dongle version matches this release.</w:t>
            </w:r>
          </w:p>
        </w:tc>
      </w:tr>
      <w:tr>
        <w:tc>
          <w:tcPr/>
          <w:p>
            <w:pPr>
              <w:pStyle w:val="Compact"/>
            </w:pPr>
            <w:r>
              <w:t xml:space="preserve">“RES.DAT”</w:t>
            </w:r>
            <w:r>
              <w:t xml:space="preserve"> </w:t>
            </w:r>
            <w:r>
              <w:t xml:space="preserve">error</w:t>
            </w:r>
          </w:p>
        </w:tc>
        <w:tc>
          <w:tcPr/>
          <w:p>
            <w:pPr>
              <w:pStyle w:val="Compact"/>
            </w:pPr>
            <w:r>
              <w:t xml:space="preserve">Verify that RES.DAT exists in the application directory. Reinstall from the distribution media.</w:t>
            </w:r>
          </w:p>
        </w:tc>
      </w:tr>
      <w:tr>
        <w:tc>
          <w:tcPr/>
          <w:p>
            <w:pPr>
              <w:pStyle w:val="Compact"/>
            </w:pPr>
            <w:r>
              <w:t xml:space="preserve">“Configuración no disponible”</w:t>
            </w:r>
          </w:p>
        </w:tc>
        <w:tc>
          <w:tcPr/>
          <w:p>
            <w:pPr>
              <w:pStyle w:val="Compact"/>
            </w:pPr>
            <w:r>
              <w:t xml:space="preserve">ST.CFG is missing or corrupt. Run the SETUP utility to reinstall configuration.</w:t>
            </w:r>
          </w:p>
        </w:tc>
      </w:tr>
      <w:tr>
        <w:tc>
          <w:tcPr/>
          <w:p>
            <w:pPr>
              <w:pStyle w:val="Compact"/>
            </w:pPr>
            <w:r>
              <w:t xml:space="preserve">“Versión no válida”</w:t>
            </w:r>
          </w:p>
        </w:tc>
        <w:tc>
          <w:tcPr/>
          <w:p>
            <w:pPr>
              <w:pStyle w:val="Compact"/>
            </w:pPr>
            <w:r>
              <w:t xml:space="preserve">EEPROM version mismatch. Contact your distributor for a firmware update.</w:t>
            </w:r>
          </w:p>
        </w:tc>
      </w:tr>
      <w:tr>
        <w:tc>
          <w:tcPr/>
          <w:p>
            <w:pPr>
              <w:pStyle w:val="Compact"/>
            </w:pPr>
            <w:r>
              <w:t xml:space="preserve">DOS error or program abort</w:t>
            </w:r>
          </w:p>
        </w:tc>
        <w:tc>
          <w:tcPr/>
          <w:p>
            <w:pPr>
              <w:pStyle w:val="Compact"/>
            </w:pPr>
            <w:r>
              <w:t xml:space="preserve">Insufficient extended memory. Ensure no memory-resident programs are consuming extended memory.</w:t>
            </w:r>
          </w:p>
        </w:tc>
      </w:tr>
    </w:tbl>
    <w:bookmarkEnd w:id="62"/>
    <w:bookmarkStart w:id="63" w:name="booths-not-detected"/>
    <w:p>
      <w:pPr>
        <w:pStyle w:val="Heading2"/>
      </w:pPr>
      <w:r>
        <w:t xml:space="preserve">Booths Not Detected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Action</w:t>
            </w:r>
          </w:p>
        </w:tc>
      </w:tr>
      <w:tr>
        <w:tc>
          <w:tcPr/>
          <w:p>
            <w:pPr>
              <w:pStyle w:val="Compact"/>
            </w:pPr>
            <w:r>
              <w:t xml:space="preserve">ACTIVE_CLUSTERS shows 0</w:t>
            </w:r>
          </w:p>
        </w:tc>
        <w:tc>
          <w:tcPr/>
          <w:p>
            <w:pPr>
              <w:pStyle w:val="Compact"/>
            </w:pPr>
            <w:r>
              <w:t xml:space="preserve">Check that the STB-x boards are seated correctly in the ISA bus and that power is connected.</w:t>
            </w:r>
          </w:p>
        </w:tc>
      </w:tr>
      <w:tr>
        <w:tc>
          <w:tcPr/>
          <w:p>
            <w:pPr>
              <w:pStyle w:val="Compact"/>
            </w:pPr>
            <w:r>
              <w:t xml:space="preserve">Fewer clusters than expected</w:t>
            </w:r>
          </w:p>
        </w:tc>
        <w:tc>
          <w:tcPr/>
          <w:p>
            <w:pPr>
              <w:pStyle w:val="Compact"/>
            </w:pPr>
            <w:r>
              <w:t xml:space="preserve">One or more STB-x boards may have failed. DTMF flag port returns 0xFF for missing boards.</w:t>
            </w:r>
          </w:p>
        </w:tc>
      </w:tr>
      <w:tr>
        <w:tc>
          <w:tcPr/>
          <w:p>
            <w:pPr>
              <w:pStyle w:val="Compact"/>
            </w:pPr>
            <w:r>
              <w:t xml:space="preserve">No calls detected on a booth</w:t>
            </w:r>
          </w:p>
        </w:tc>
        <w:tc>
          <w:tcPr/>
          <w:p>
            <w:pPr>
              <w:pStyle w:val="Compact"/>
            </w:pPr>
            <w:r>
              <w:t xml:space="preserve">Verify the telephone line is connected to the correct port on the STB-x board. Check CLUSTERS in ST.INI.</w:t>
            </w:r>
          </w:p>
        </w:tc>
      </w:tr>
    </w:tbl>
    <w:bookmarkEnd w:id="63"/>
    <w:bookmarkStart w:id="64" w:name="billing-problems"/>
    <w:p>
      <w:pPr>
        <w:pStyle w:val="Heading2"/>
      </w:pPr>
      <w:r>
        <w:t xml:space="preserve">Billing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Action</w:t>
            </w:r>
          </w:p>
        </w:tc>
      </w:tr>
      <w:tr>
        <w:tc>
          <w:tcPr/>
          <w:p>
            <w:pPr>
              <w:pStyle w:val="Compact"/>
            </w:pPr>
            <w:r>
              <w:t xml:space="preserve">Billing starts too early or too late</w:t>
            </w:r>
          </w:p>
        </w:tc>
        <w:tc>
          <w:tcPr/>
          <w:p>
            <w:pPr>
              <w:pStyle w:val="Compact"/>
            </w:pPr>
            <w:r>
              <w:t xml:space="preserve">Adjust T_TALK (grace period) and the answer signal method in Configuración &gt; Señal de Contestación.</w:t>
            </w:r>
          </w:p>
        </w:tc>
      </w:tr>
      <w:tr>
        <w:tc>
          <w:tcPr/>
          <w:p>
            <w:pPr>
              <w:pStyle w:val="Compact"/>
            </w:pPr>
            <w:r>
              <w:t xml:space="preserve">Calls classified incorrectly</w:t>
            </w:r>
          </w:p>
        </w:tc>
        <w:tc>
          <w:tcPr/>
          <w:p>
            <w:pPr>
              <w:pStyle w:val="Compact"/>
            </w:pPr>
            <w:r>
              <w:t xml:space="preserve">Check the numbering plan in LOCAL.INF / DDN.INF. Verify ACCESS, INTER_ACCESS, CELLULAR_ACCESS, and digit count parameters.</w:t>
            </w:r>
          </w:p>
        </w:tc>
      </w:tr>
      <w:tr>
        <w:tc>
          <w:tcPr/>
          <w:p>
            <w:pPr>
              <w:pStyle w:val="Compact"/>
            </w:pPr>
            <w:r>
              <w:t xml:space="preserve">Wrong tariff rate applied</w:t>
            </w:r>
          </w:p>
        </w:tc>
        <w:tc>
          <w:tcPr/>
          <w:p>
            <w:pPr>
              <w:pStyle w:val="Compact"/>
            </w:pPr>
            <w:r>
              <w:t xml:space="preserve">Verify tariff bands and schedules in Configuración &gt; Tarifa. Check APPLY_DDN_SCHEDULE / APPLY_DDI_SCHEDULE settings.</w:t>
            </w:r>
          </w:p>
        </w:tc>
      </w:tr>
      <w:tr>
        <w:tc>
          <w:tcPr/>
          <w:p>
            <w:pPr>
              <w:pStyle w:val="Compact"/>
            </w:pPr>
            <w:r>
              <w:t xml:space="preserve">Receipt total rounds unexpectedly</w:t>
            </w:r>
          </w:p>
        </w:tc>
        <w:tc>
          <w:tcPr/>
          <w:p>
            <w:pPr>
              <w:pStyle w:val="Compact"/>
            </w:pPr>
            <w:r>
              <w:t xml:space="preserve">Check M_ROUND in application settings. Set to 0 to disable rounding.</w:t>
            </w:r>
          </w:p>
        </w:tc>
      </w:tr>
    </w:tbl>
    <w:bookmarkEnd w:id="64"/>
    <w:bookmarkStart w:id="65" w:name="printer-problems"/>
    <w:p>
      <w:pPr>
        <w:pStyle w:val="Heading2"/>
      </w:pPr>
      <w:r>
        <w:t xml:space="preserve">Printer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Action</w:t>
            </w:r>
          </w:p>
        </w:tc>
      </w:tr>
      <w:tr>
        <w:tc>
          <w:tcPr/>
          <w:p>
            <w:pPr>
              <w:pStyle w:val="Compact"/>
            </w:pPr>
            <w:r>
              <w:t xml:space="preserve">No receipts printed</w:t>
            </w:r>
          </w:p>
        </w:tc>
        <w:tc>
          <w:tcPr/>
          <w:p>
            <w:pPr>
              <w:pStyle w:val="Compact"/>
            </w:pPr>
            <w:r>
              <w:t xml:space="preserve">Verify the printer is online and connected to the configured port. Check P_PORT and FORM in Configuración &gt; Impresora.</w:t>
            </w:r>
          </w:p>
        </w:tc>
      </w:tr>
      <w:tr>
        <w:tc>
          <w:tcPr/>
          <w:p>
            <w:pPr>
              <w:pStyle w:val="Compact"/>
            </w:pPr>
            <w:r>
              <w:t xml:space="preserve">Garbled or misaligned output</w:t>
            </w:r>
          </w:p>
        </w:tc>
        <w:tc>
          <w:tcPr/>
          <w:p>
            <w:pPr>
              <w:pStyle w:val="Compact"/>
            </w:pPr>
            <w:r>
              <w:t xml:space="preserve">Verify the FORM selection matches the physical paper width and printer model.</w:t>
            </w:r>
          </w:p>
        </w:tc>
      </w:tr>
      <w:tr>
        <w:tc>
          <w:tcPr/>
          <w:p>
            <w:pPr>
              <w:pStyle w:val="Compact"/>
            </w:pPr>
            <w:r>
              <w:t xml:space="preserve">Print queue builds up</w:t>
            </w:r>
          </w:p>
        </w:tc>
        <w:tc>
          <w:tcPr/>
          <w:p>
            <w:pPr>
              <w:pStyle w:val="Compact"/>
            </w:pPr>
            <w:r>
              <w:t xml:space="preserve">Check for printer hardware faults (paper jam, offline). The spooler retries automatically when the printer is ready.</w:t>
            </w:r>
          </w:p>
        </w:tc>
      </w:tr>
    </w:tbl>
    <w:bookmarkEnd w:id="65"/>
    <w:bookmarkStart w:id="66" w:name="bad-shutdown-recovery-issues"/>
    <w:p>
      <w:pPr>
        <w:pStyle w:val="Heading2"/>
      </w:pPr>
      <w:r>
        <w:t xml:space="preserve">Bad Shutdown / Recovery Issues</w:t>
      </w:r>
    </w:p>
    <w:p>
      <w:pPr>
        <w:pStyle w:val="Compact"/>
        <w:numPr>
          <w:ilvl w:val="0"/>
          <w:numId w:val="1017"/>
        </w:numPr>
      </w:pPr>
      <w:r>
        <w:t xml:space="preserve">Always allow recovery to proceed (do not bypass) unless instructed by a service technician.</w:t>
      </w:r>
    </w:p>
    <w:p>
      <w:pPr>
        <w:pStyle w:val="Compact"/>
        <w:numPr>
          <w:ilvl w:val="0"/>
          <w:numId w:val="1017"/>
        </w:numPr>
      </w:pPr>
      <w:r>
        <w:t xml:space="preserve">After recovery, verify that the receipt counter is correct by checking the last receipt in the database view.</w:t>
      </w:r>
    </w:p>
    <w:p>
      <w:pPr>
        <w:pStyle w:val="Compact"/>
        <w:numPr>
          <w:ilvl w:val="0"/>
          <w:numId w:val="1017"/>
        </w:numPr>
      </w:pPr>
      <w:r>
        <w:t xml:space="preserve">Frequent bad shutdowns indicate a power supply problem. Install an uninterruptible power supply (UPS).</w:t>
      </w:r>
    </w:p>
    <w:bookmarkEnd w:id="66"/>
    <w:bookmarkStart w:id="67" w:name="database-issues"/>
    <w:p>
      <w:pPr>
        <w:pStyle w:val="Heading2"/>
      </w:pPr>
      <w:r>
        <w:t xml:space="preserve">Database Issues</w:t>
      </w:r>
    </w:p>
    <w:p>
      <w:pPr>
        <w:pStyle w:val="Compact"/>
        <w:numPr>
          <w:ilvl w:val="0"/>
          <w:numId w:val="1018"/>
        </w:numPr>
      </w:pPr>
      <w:r>
        <w:t xml:space="preserve">If RX.DAT becomes corrupted, use the SETUP or UTIL utility to run a database recovery. Back up RX.DAT and RX.IDX before running any repair tool.</w:t>
      </w:r>
    </w:p>
    <w:p>
      <w:pPr>
        <w:pStyle w:val="Compact"/>
        <w:numPr>
          <w:ilvl w:val="0"/>
          <w:numId w:val="1018"/>
        </w:numPr>
      </w:pPr>
      <w:r>
        <w:t xml:space="preserve">Do not delete RX.DAT or RX.IDX while SmartTar is running.</w:t>
      </w:r>
    </w:p>
    <w:p>
      <w:pPr>
        <w:pStyle w:val="Compact"/>
        <w:numPr>
          <w:ilvl w:val="0"/>
          <w:numId w:val="1018"/>
        </w:numPr>
      </w:pPr>
      <w:r>
        <w:t xml:space="preserve">If the database exceeds its maximum record count, start a new turn to archive the current data.</w:t>
      </w:r>
    </w:p>
    <w:bookmarkEnd w:id="67"/>
    <w:bookmarkStart w:id="68" w:name="obtaining-support"/>
    <w:p>
      <w:pPr>
        <w:pStyle w:val="Heading2"/>
      </w:pPr>
      <w:r>
        <w:t xml:space="preserve">Obtaining Support</w:t>
      </w:r>
    </w:p>
    <w:p>
      <w:pPr>
        <w:pStyle w:val="FirstParagraph"/>
      </w:pPr>
      <w:r>
        <w:t xml:space="preserve">When reporting a problem, provide the following information:</w:t>
      </w:r>
    </w:p>
    <w:p>
      <w:pPr>
        <w:pStyle w:val="Compact"/>
        <w:numPr>
          <w:ilvl w:val="0"/>
          <w:numId w:val="1019"/>
        </w:numPr>
      </w:pPr>
      <w:r>
        <w:t xml:space="preserve">SmartTar version and serial number (from</w:t>
      </w:r>
      <w:r>
        <w:t xml:space="preserve"> </w:t>
      </w:r>
      <w:r>
        <w:rPr>
          <w:b/>
          <w:bCs/>
        </w:rPr>
        <w:t xml:space="preserve">Información &gt; Acerca de</w:t>
      </w:r>
      <w:r>
        <w:t xml:space="preserve">).</w:t>
      </w:r>
    </w:p>
    <w:p>
      <w:pPr>
        <w:pStyle w:val="Compact"/>
        <w:numPr>
          <w:ilvl w:val="0"/>
          <w:numId w:val="1019"/>
        </w:numPr>
      </w:pPr>
      <w:r>
        <w:t xml:space="preserve">The contents of the ST.LOG file from the application directory.</w:t>
      </w:r>
    </w:p>
    <w:p>
      <w:pPr>
        <w:pStyle w:val="Compact"/>
        <w:numPr>
          <w:ilvl w:val="0"/>
          <w:numId w:val="1019"/>
        </w:numPr>
      </w:pPr>
      <w:r>
        <w:t xml:space="preserve">A description of the steps leading to the problem.</w:t>
      </w:r>
    </w:p>
    <w:p>
      <w:pPr>
        <w:pStyle w:val="Compact"/>
        <w:numPr>
          <w:ilvl w:val="0"/>
          <w:numId w:val="1019"/>
        </w:numPr>
      </w:pPr>
      <w:r>
        <w:t xml:space="preserve">Whether a bad shutdown event was recorded.</w:t>
      </w:r>
    </w:p>
    <w:p>
      <w:r>
        <w:pict>
          <v:rect style="width:0;height:1.5pt" o:hralign="center" o:hrstd="t" o:hr="t"/>
        </w:pict>
      </w:r>
    </w:p>
    <w:p>
      <w:pPr>
        <w:pStyle w:val="FirstParagraph"/>
      </w:pPr>
      <w:r>
        <w:rPr>
          <w:i/>
          <w:iCs/>
        </w:rPr>
        <w:t xml:space="preserve">SmartTar User’s Guide — Version 2.34</w:t>
      </w:r>
      <w:r>
        <w:t xml:space="preserve"> </w:t>
      </w:r>
      <w:r>
        <w:rPr>
          <w:i/>
          <w:iCs/>
        </w:rPr>
        <w:t xml:space="preserve">MicroDiseño Ltda. — Copyright © 1993–2003. All rights reserved.</w:t>
      </w:r>
      <w:r>
        <w:t xml:space="preserve"> </w:t>
      </w:r>
      <w:r>
        <w:rPr>
          <w:i/>
          <w:iCs/>
        </w:rPr>
        <w:t xml:space="preserve">Gonzalo Contento Castañ</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SmartTar — User’s Guide</dc:title>
  <dc:creator>MicroDiseño Ltda.</dc:creator>
  <cp:keywords/>
  <dcterms:created xsi:type="dcterms:W3CDTF">2026-03-23T15:25:46Z</dcterms:created>
  <dcterms:modified xsi:type="dcterms:W3CDTF">2026-03-23T15:25:46Z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Copyright © 1993–2003. All rights reserved.</vt:lpwstr>
  </property>
  <property fmtid="{D5CDD505-2E9C-101B-9397-08002B2CF9AE}" pid="3" name="subtitle">
    <vt:lpwstr>Version 2.34</vt:lpwstr>
  </property>
</Properties>
</file>