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rFonts w:ascii="Calibri" w:cs="Calibri" w:eastAsia="Calibri" w:hAnsi="Calibri"/>
          <w:b w:val="1"/>
          <w:bCs w:val="1"/>
          <w:color w:val="1f6feb"/>
          <w:sz w:val="22"/>
          <w:szCs w:val="22"/>
        </w:rPr>
      </w:pPr>
      <w:r w:rsidDel="00000000" w:rsidR="00000000" w:rsidRPr="00000000">
        <w:rPr>
          <w:b w:val="1"/>
          <w:bCs w:val="1"/>
          <w:color w:val="1f6feb"/>
          <w:sz w:val="22"/>
          <w:szCs w:val="22"/>
          <w:rtl w:val="0"/>
        </w:rPr>
        <w:t xml:space="preserve">SHIFT</w:t>
      </w:r>
      <w:r w:rsidDel="00000000" w:rsidR="00000000" w:rsidRPr="00000000">
        <w:rPr>
          <w:rtl w:val="0"/>
        </w:rPr>
      </w:r>
    </w:p>
    <w:p w:rsidR="00000000" w:rsidDel="00000000" w:rsidP="00000000" w:rsidRDefault="00000000" w:rsidRPr="00000000" w14:paraId="00000002">
      <w:pPr>
        <w:spacing w:after="0" w:before="0" w:lineRule="auto"/>
        <w:rPr>
          <w:rFonts w:ascii="Calibri" w:cs="Calibri" w:eastAsia="Calibri" w:hAnsi="Calibri"/>
          <w:b w:val="1"/>
          <w:bCs w:val="1"/>
          <w:color w:val="0f172a"/>
          <w:sz w:val="52"/>
          <w:szCs w:val="52"/>
        </w:rPr>
      </w:pPr>
      <w:r w:rsidDel="00000000" w:rsidR="00000000" w:rsidRPr="00000000">
        <w:rPr>
          <w:b w:val="1"/>
          <w:bCs w:val="1"/>
          <w:color w:val="0f172a"/>
          <w:sz w:val="52"/>
          <w:szCs w:val="52"/>
          <w:rtl w:val="0"/>
        </w:rPr>
        <w:t xml:space="preserve">Badges Strategy</w:t>
      </w:r>
      <w:r w:rsidDel="00000000" w:rsidR="00000000" w:rsidRPr="00000000">
        <w:rPr>
          <w:rtl w:val="0"/>
        </w:rPr>
      </w:r>
    </w:p>
    <w:p w:rsidR="00000000" w:rsidDel="00000000" w:rsidP="00000000" w:rsidRDefault="00000000" w:rsidRPr="00000000" w14:paraId="00000003">
      <w:pPr>
        <w:pBdr>
          <w:bottom w:color="1f6feb" w:space="1" w:sz="12" w:val="single"/>
        </w:pBdr>
        <w:rPr/>
      </w:pPr>
      <w:r w:rsidDel="00000000" w:rsidR="00000000" w:rsidRPr="00000000">
        <w:rPr>
          <w:rtl w:val="0"/>
        </w:rPr>
      </w:r>
    </w:p>
    <w:p w:rsidR="00000000" w:rsidDel="00000000" w:rsidP="00000000" w:rsidRDefault="00000000" w:rsidRPr="00000000" w14:paraId="00000004">
      <w:pPr>
        <w:spacing w:after="120" w:before="0" w:lineRule="auto"/>
        <w:jc w:val="left"/>
        <w:rPr/>
      </w:pPr>
      <w:r w:rsidDel="00000000" w:rsidR="00000000" w:rsidRPr="00000000">
        <w:rPr>
          <w:b w:val="0"/>
          <w:bCs w:val="0"/>
          <w:i w:val="0"/>
          <w:iCs w:val="0"/>
          <w:color w:val="0f172a"/>
          <w:sz w:val="22"/>
          <w:szCs w:val="22"/>
          <w:rtl w:val="0"/>
        </w:rPr>
        <w:t xml:space="preserve">This brief proposes 31 badges for the SHIFT airdrop, organized around a single principle: every badge rewards a decision a trader can be proud of. No daily streaks, no quest farming, no referral grinding. Each badge is the receipt of a conviction trade such as buying a dip, holding through pain, shorting a top, adding into a thesis.</w:t>
      </w:r>
      <w:r w:rsidDel="00000000" w:rsidR="00000000" w:rsidRPr="00000000">
        <w:rPr>
          <w:rtl w:val="0"/>
        </w:rPr>
      </w:r>
    </w:p>
    <w:p w:rsidR="00000000" w:rsidDel="00000000" w:rsidP="00000000" w:rsidRDefault="00000000" w:rsidRPr="00000000" w14:paraId="00000005">
      <w:pPr>
        <w:spacing w:after="200" w:before="0" w:lineRule="auto"/>
        <w:jc w:val="left"/>
        <w:rPr/>
      </w:pPr>
      <w:r w:rsidDel="00000000" w:rsidR="00000000" w:rsidRPr="00000000">
        <w:rPr>
          <w:b w:val="0"/>
          <w:bCs w:val="0"/>
          <w:i w:val="0"/>
          <w:iCs w:val="0"/>
          <w:color w:val="0f172a"/>
          <w:sz w:val="22"/>
          <w:szCs w:val="22"/>
          <w:rtl w:val="0"/>
        </w:rPr>
        <w:t xml:space="preserve">Because conviction is identity, not engagement, the badge set is heavily weighted toward Permanent multipliers (28 of 31). The few Dynamic badges are reserved for time-of-event trades where the relevance window is genuinely short. All multiplier values sit in the +1.05x to +1.30x range which makes them meaningful but not economy-breaking.</w:t>
      </w:r>
      <w:r w:rsidDel="00000000" w:rsidR="00000000" w:rsidRPr="00000000">
        <w:rPr>
          <w:rtl w:val="0"/>
        </w:rPr>
      </w:r>
    </w:p>
    <w:tbl>
      <w:tblPr>
        <w:tblStyle w:val="Table1"/>
        <w:tblW w:w="9746.0" w:type="dxa"/>
        <w:jc w:val="center"/>
        <w:tblBorders>
          <w:top w:color="c7d7ee" w:space="0" w:sz="6" w:val="single"/>
          <w:left w:color="c7d7ee" w:space="0" w:sz="6" w:val="single"/>
          <w:bottom w:color="c7d7ee" w:space="0" w:sz="6" w:val="single"/>
          <w:right w:color="c7d7ee" w:space="0" w:sz="6" w:val="single"/>
          <w:insideH w:color="c7d7ee" w:space="0" w:sz="6" w:val="single"/>
          <w:insideV w:color="c7d7ee" w:space="0" w:sz="6" w:val="single"/>
        </w:tblBorders>
        <w:tblLayout w:type="fixed"/>
        <w:tblLook w:val="0000"/>
      </w:tblPr>
      <w:tblGrid>
        <w:gridCol w:w="9746"/>
        <w:tblGridChange w:id="0">
          <w:tblGrid>
            <w:gridCol w:w="9746"/>
          </w:tblGrid>
        </w:tblGridChange>
      </w:tblGrid>
      <w:tr>
        <w:trPr>
          <w:cantSplit w:val="0"/>
          <w:tblHeader w:val="0"/>
        </w:trPr>
        <w:tc>
          <w:tcPr>
            <w:tcBorders>
              <w:top w:color="c7d7ee" w:space="0" w:sz="6" w:val="single"/>
              <w:left w:color="c7d7ee" w:space="0" w:sz="6" w:val="single"/>
              <w:bottom w:color="c7d7ee" w:space="0" w:sz="6" w:val="single"/>
              <w:right w:color="c7d7ee" w:space="0" w:sz="6" w:val="single"/>
            </w:tcBorders>
            <w:shd w:fill="eaf2ff" w:val="clear"/>
          </w:tcPr>
          <w:p w:rsidR="00000000" w:rsidDel="00000000" w:rsidP="00000000" w:rsidRDefault="00000000" w:rsidRPr="00000000" w14:paraId="00000006">
            <w:pPr>
              <w:widowControl w:val="0"/>
              <w:spacing w:after="60" w:before="0" w:lineRule="auto"/>
              <w:rPr>
                <w:rFonts w:ascii="Calibri" w:cs="Calibri" w:eastAsia="Calibri" w:hAnsi="Calibri"/>
                <w:b w:val="1"/>
                <w:bCs w:val="1"/>
                <w:color w:val="1f6feb"/>
                <w:sz w:val="22"/>
                <w:szCs w:val="22"/>
              </w:rPr>
            </w:pPr>
            <w:r w:rsidDel="00000000" w:rsidR="00000000" w:rsidRPr="00000000">
              <w:rPr>
                <w:b w:val="1"/>
                <w:bCs w:val="1"/>
                <w:color w:val="1f6feb"/>
                <w:sz w:val="22"/>
                <w:szCs w:val="22"/>
                <w:rtl w:val="0"/>
              </w:rPr>
              <w:t xml:space="preserve">Design philosophy — why almost everything is Permanent</w:t>
            </w:r>
            <w:r w:rsidDel="00000000" w:rsidR="00000000" w:rsidRPr="00000000">
              <w:rPr>
                <w:rtl w:val="0"/>
              </w:rPr>
            </w:r>
          </w:p>
          <w:p w:rsidR="00000000" w:rsidDel="00000000" w:rsidP="00000000" w:rsidRDefault="00000000" w:rsidRPr="00000000" w14:paraId="00000007">
            <w:pPr>
              <w:widowControl w:val="0"/>
              <w:spacing w:after="0" w:before="0" w:lineRule="auto"/>
              <w:rPr>
                <w:rFonts w:ascii="Calibri" w:cs="Calibri" w:eastAsia="Calibri" w:hAnsi="Calibri"/>
                <w:color w:val="0f172a"/>
                <w:sz w:val="21"/>
                <w:szCs w:val="21"/>
              </w:rPr>
            </w:pPr>
            <w:r w:rsidDel="00000000" w:rsidR="00000000" w:rsidRPr="00000000">
              <w:rPr>
                <w:color w:val="0f172a"/>
                <w:sz w:val="21"/>
                <w:szCs w:val="21"/>
                <w:rtl w:val="0"/>
              </w:rPr>
              <w:t xml:space="preserve">Conviction trades are stories. "I bought NVDA the day SPX dropped 5%" is a fact about you as a trader forever. The badge that marks it should compound back permanently into your XP. Dynamic multipliers are reserved for trades where context-of-the-moment matters more than the trade itself (e.g. "active on Fed Day").</w:t>
            </w:r>
            <w:r w:rsidDel="00000000" w:rsidR="00000000" w:rsidRPr="00000000">
              <w:rPr>
                <w:rtl w:val="0"/>
              </w:rPr>
            </w:r>
          </w:p>
        </w:tc>
      </w:tr>
    </w:tbl>
    <w:p w:rsidR="00000000" w:rsidDel="00000000" w:rsidP="00000000" w:rsidRDefault="00000000" w:rsidRPr="00000000" w14:paraId="00000008">
      <w:pPr>
        <w:spacing w:after="40" w:before="0" w:lineRule="auto"/>
        <w:rPr/>
      </w:pPr>
      <w:r w:rsidDel="00000000" w:rsidR="00000000" w:rsidRPr="00000000">
        <w:rPr>
          <w:rtl w:val="0"/>
        </w:rPr>
      </w:r>
    </w:p>
    <w:p w:rsidR="00000000" w:rsidDel="00000000" w:rsidP="00000000" w:rsidRDefault="00000000" w:rsidRPr="00000000" w14:paraId="00000009">
      <w:pPr>
        <w:spacing w:after="120" w:before="280" w:lineRule="auto"/>
        <w:rPr>
          <w:rFonts w:ascii="Calibri" w:cs="Calibri" w:eastAsia="Calibri" w:hAnsi="Calibri"/>
          <w:b w:val="1"/>
          <w:bCs w:val="1"/>
          <w:color w:val="1f6feb"/>
          <w:sz w:val="32"/>
          <w:szCs w:val="32"/>
        </w:rPr>
      </w:pPr>
      <w:r w:rsidDel="00000000" w:rsidR="00000000" w:rsidRPr="00000000">
        <w:rPr>
          <w:b w:val="1"/>
          <w:bCs w:val="1"/>
          <w:color w:val="1f6feb"/>
          <w:sz w:val="32"/>
          <w:szCs w:val="32"/>
          <w:rtl w:val="0"/>
        </w:rPr>
        <w:t xml:space="preserve">1.  Conviction Adding — Permanent</w:t>
      </w:r>
      <w:r w:rsidDel="00000000" w:rsidR="00000000" w:rsidRPr="00000000">
        <w:rPr>
          <w:rtl w:val="0"/>
        </w:rPr>
      </w:r>
    </w:p>
    <w:p w:rsidR="00000000" w:rsidDel="00000000" w:rsidP="00000000" w:rsidRDefault="00000000" w:rsidRPr="00000000" w14:paraId="0000000A">
      <w:pPr>
        <w:spacing w:after="120" w:before="0" w:lineRule="auto"/>
        <w:jc w:val="left"/>
        <w:rPr>
          <w:rFonts w:ascii="Calibri" w:cs="Calibri" w:eastAsia="Calibri" w:hAnsi="Calibri"/>
          <w:b w:val="0"/>
          <w:bCs w:val="0"/>
          <w:i w:val="1"/>
          <w:iCs w:val="1"/>
          <w:color w:val="5b6677"/>
          <w:sz w:val="21"/>
          <w:szCs w:val="21"/>
        </w:rPr>
      </w:pPr>
      <w:r w:rsidDel="00000000" w:rsidR="00000000" w:rsidRPr="00000000">
        <w:rPr>
          <w:b w:val="0"/>
          <w:bCs w:val="0"/>
          <w:i w:val="1"/>
          <w:iCs w:val="1"/>
          <w:color w:val="5b6677"/>
          <w:sz w:val="21"/>
          <w:szCs w:val="21"/>
          <w:rtl w:val="0"/>
        </w:rPr>
        <w:t xml:space="preserve">Rewards averaging into a position with intent. Adding on weakness signals belief in a thesis; adding on strength signals trust in momentum. Both are conviction.</w:t>
      </w:r>
      <w:r w:rsidDel="00000000" w:rsidR="00000000" w:rsidRPr="00000000">
        <w:rPr>
          <w:rtl w:val="0"/>
        </w:rPr>
      </w:r>
    </w:p>
    <w:tbl>
      <w:tblPr>
        <w:tblStyle w:val="Table2"/>
        <w:tblW w:w="9744.0" w:type="dxa"/>
        <w:jc w:val="center"/>
        <w:tblBorders>
          <w:top w:color="0f172a" w:space="0" w:sz="4" w:val="single"/>
          <w:left w:color="0f172a" w:space="0" w:sz="4" w:val="single"/>
          <w:bottom w:color="0f172a" w:space="0" w:sz="4" w:val="single"/>
          <w:right w:color="0f172a" w:space="0" w:sz="4" w:val="single"/>
          <w:insideH w:color="0f172a" w:space="0" w:sz="4" w:val="single"/>
          <w:insideV w:color="0f172a" w:space="0" w:sz="4" w:val="single"/>
        </w:tblBorders>
        <w:tblLayout w:type="fixed"/>
        <w:tblLook w:val="0000"/>
      </w:tblPr>
      <w:tblGrid>
        <w:gridCol w:w="2436"/>
        <w:gridCol w:w="2436"/>
        <w:gridCol w:w="2436"/>
        <w:gridCol w:w="2436"/>
        <w:tblGridChange w:id="0">
          <w:tblGrid>
            <w:gridCol w:w="2436"/>
            <w:gridCol w:w="2436"/>
            <w:gridCol w:w="2436"/>
            <w:gridCol w:w="2436"/>
          </w:tblGrid>
        </w:tblGridChange>
      </w:tblGrid>
      <w:tr>
        <w:trPr>
          <w:cantSplit w:val="0"/>
          <w:tblHeader w:val="0"/>
        </w:trPr>
        <w:tc>
          <w:tcPr>
            <w:gridSpan w:val="4"/>
            <w:tcBorders>
              <w:top w:color="0f172a" w:space="0" w:sz="4" w:val="single"/>
              <w:left w:color="0f172a" w:space="0" w:sz="4" w:val="single"/>
              <w:bottom w:color="0f172a" w:space="0" w:sz="4" w:val="single"/>
              <w:right w:color="0f172a" w:space="0" w:sz="4" w:val="single"/>
            </w:tcBorders>
            <w:shd w:fill="0f172a" w:val="clear"/>
          </w:tcPr>
          <w:p w:rsidR="00000000" w:rsidDel="00000000" w:rsidP="00000000" w:rsidRDefault="00000000" w:rsidRPr="00000000" w14:paraId="0000000B">
            <w:pPr>
              <w:widowControl w:val="0"/>
              <w:spacing w:after="40" w:before="40" w:lineRule="auto"/>
              <w:ind w:left="113" w:right="0" w:firstLine="0"/>
              <w:rPr>
                <w:rFonts w:ascii="Calibri" w:cs="Calibri" w:eastAsia="Calibri" w:hAnsi="Calibri"/>
                <w:b w:val="1"/>
                <w:bCs w:val="1"/>
                <w:color w:val="ffffff"/>
                <w:sz w:val="22"/>
                <w:szCs w:val="22"/>
              </w:rPr>
            </w:pPr>
            <w:r w:rsidDel="00000000" w:rsidR="00000000" w:rsidRPr="00000000">
              <w:rPr>
                <w:b w:val="1"/>
                <w:bCs w:val="1"/>
                <w:color w:val="ffffff"/>
                <w:sz w:val="22"/>
                <w:szCs w:val="22"/>
                <w:rtl w:val="0"/>
              </w:rPr>
              <w:t xml:space="preserve">Conviction Adding  ·  Permanent</w:t>
            </w:r>
            <w:r w:rsidDel="00000000" w:rsidR="00000000" w:rsidRPr="00000000">
              <w:rPr>
                <w:rtl w:val="0"/>
              </w:rPr>
            </w:r>
          </w:p>
        </w:tc>
      </w:tr>
      <w:tr>
        <w:trPr>
          <w:cantSplit w:val="0"/>
          <w:tblHeader w:val="0"/>
        </w:trPr>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0F">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Badge name</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10">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11">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Multiplier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12">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Duration / scope</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13">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Doubled Down</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14">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Added to a position after it dropped -5% from entry.</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15">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16">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17">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Triple Down</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18">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Added 3+ times to the same position during a -10% drawdown.</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19">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1A">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1B">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Pyramid Up</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1C">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Added 3+ times to a position as it rose +10% or more from entry.</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1D">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+1.15x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1E">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1F">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Conviction Stack</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20">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5+ separate adds to the same position over 30+ days.</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21">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+1.25x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22">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bl>
    <w:p w:rsidR="00000000" w:rsidDel="00000000" w:rsidP="00000000" w:rsidRDefault="00000000" w:rsidRPr="00000000" w14:paraId="00000023">
      <w:pPr>
        <w:spacing w:after="80" w:before="0" w:lineRule="auto"/>
        <w:rPr/>
      </w:pPr>
      <w:r w:rsidDel="00000000" w:rsidR="00000000" w:rsidRPr="00000000">
        <w:rPr>
          <w:rtl w:val="0"/>
        </w:rPr>
      </w:r>
    </w:p>
    <w:p w:rsidR="00000000" w:rsidDel="00000000" w:rsidP="00000000" w:rsidRDefault="00000000" w:rsidRPr="00000000" w14:paraId="00000024">
      <w:pPr>
        <w:spacing w:after="120" w:before="280" w:lineRule="auto"/>
        <w:rPr>
          <w:rFonts w:ascii="Calibri" w:cs="Calibri" w:eastAsia="Calibri" w:hAnsi="Calibri"/>
          <w:b w:val="1"/>
          <w:bCs w:val="1"/>
          <w:color w:val="1f6feb"/>
          <w:sz w:val="32"/>
          <w:szCs w:val="32"/>
        </w:rPr>
      </w:pPr>
      <w:r w:rsidDel="00000000" w:rsidR="00000000" w:rsidRPr="00000000">
        <w:rPr>
          <w:b w:val="1"/>
          <w:bCs w:val="1"/>
          <w:color w:val="1f6feb"/>
          <w:sz w:val="32"/>
          <w:szCs w:val="32"/>
          <w:rtl w:val="0"/>
        </w:rPr>
        <w:t xml:space="preserve">2.  Buying the Dip — Permanent</w:t>
      </w:r>
      <w:r w:rsidDel="00000000" w:rsidR="00000000" w:rsidRPr="00000000">
        <w:rPr>
          <w:rtl w:val="0"/>
        </w:rPr>
      </w:r>
    </w:p>
    <w:p w:rsidR="00000000" w:rsidDel="00000000" w:rsidP="00000000" w:rsidRDefault="00000000" w:rsidRPr="00000000" w14:paraId="00000025">
      <w:pPr>
        <w:spacing w:after="120" w:before="0" w:lineRule="auto"/>
        <w:jc w:val="left"/>
        <w:rPr>
          <w:rFonts w:ascii="Calibri" w:cs="Calibri" w:eastAsia="Calibri" w:hAnsi="Calibri"/>
          <w:b w:val="0"/>
          <w:bCs w:val="0"/>
          <w:i w:val="1"/>
          <w:iCs w:val="1"/>
          <w:color w:val="5b6677"/>
          <w:sz w:val="21"/>
          <w:szCs w:val="21"/>
        </w:rPr>
      </w:pPr>
      <w:r w:rsidDel="00000000" w:rsidR="00000000" w:rsidRPr="00000000">
        <w:rPr>
          <w:b w:val="0"/>
          <w:bCs w:val="0"/>
          <w:i w:val="1"/>
          <w:iCs w:val="1"/>
          <w:color w:val="5b6677"/>
          <w:sz w:val="21"/>
          <w:szCs w:val="21"/>
          <w:rtl w:val="0"/>
        </w:rPr>
        <w:t xml:space="preserve">Long-side conviction on weakness. These are the trades where most people freeze and you don't. Sized by the depth of the drop — the harder it falls, the more the badge counts.</w:t>
      </w:r>
      <w:r w:rsidDel="00000000" w:rsidR="00000000" w:rsidRPr="00000000">
        <w:rPr>
          <w:rtl w:val="0"/>
        </w:rPr>
      </w:r>
    </w:p>
    <w:tbl>
      <w:tblPr>
        <w:tblStyle w:val="Table3"/>
        <w:tblW w:w="9744.0" w:type="dxa"/>
        <w:jc w:val="center"/>
        <w:tblBorders>
          <w:top w:color="0f172a" w:space="0" w:sz="4" w:val="single"/>
          <w:left w:color="0f172a" w:space="0" w:sz="4" w:val="single"/>
          <w:bottom w:color="0f172a" w:space="0" w:sz="4" w:val="single"/>
          <w:right w:color="0f172a" w:space="0" w:sz="4" w:val="single"/>
          <w:insideH w:color="0f172a" w:space="0" w:sz="4" w:val="single"/>
          <w:insideV w:color="0f172a" w:space="0" w:sz="4" w:val="single"/>
        </w:tblBorders>
        <w:tblLayout w:type="fixed"/>
        <w:tblLook w:val="0000"/>
      </w:tblPr>
      <w:tblGrid>
        <w:gridCol w:w="2436"/>
        <w:gridCol w:w="2436"/>
        <w:gridCol w:w="2436"/>
        <w:gridCol w:w="2436"/>
        <w:tblGridChange w:id="0">
          <w:tblGrid>
            <w:gridCol w:w="2436"/>
            <w:gridCol w:w="2436"/>
            <w:gridCol w:w="2436"/>
            <w:gridCol w:w="2436"/>
          </w:tblGrid>
        </w:tblGridChange>
      </w:tblGrid>
      <w:tr>
        <w:trPr>
          <w:cantSplit w:val="0"/>
          <w:tblHeader w:val="0"/>
        </w:trPr>
        <w:tc>
          <w:tcPr>
            <w:gridSpan w:val="4"/>
            <w:tcBorders>
              <w:top w:color="0f172a" w:space="0" w:sz="4" w:val="single"/>
              <w:left w:color="0f172a" w:space="0" w:sz="4" w:val="single"/>
              <w:bottom w:color="0f172a" w:space="0" w:sz="4" w:val="single"/>
              <w:right w:color="0f172a" w:space="0" w:sz="4" w:val="single"/>
            </w:tcBorders>
            <w:shd w:fill="0f172a" w:val="clear"/>
          </w:tcPr>
          <w:p w:rsidR="00000000" w:rsidDel="00000000" w:rsidP="00000000" w:rsidRDefault="00000000" w:rsidRPr="00000000" w14:paraId="00000026">
            <w:pPr>
              <w:widowControl w:val="0"/>
              <w:spacing w:after="40" w:before="40" w:lineRule="auto"/>
              <w:ind w:left="113" w:right="0" w:firstLine="0"/>
              <w:rPr>
                <w:rFonts w:ascii="Calibri" w:cs="Calibri" w:eastAsia="Calibri" w:hAnsi="Calibri"/>
                <w:b w:val="1"/>
                <w:bCs w:val="1"/>
                <w:color w:val="ffffff"/>
                <w:sz w:val="22"/>
                <w:szCs w:val="22"/>
              </w:rPr>
            </w:pPr>
            <w:r w:rsidDel="00000000" w:rsidR="00000000" w:rsidRPr="00000000">
              <w:rPr>
                <w:b w:val="1"/>
                <w:bCs w:val="1"/>
                <w:color w:val="ffffff"/>
                <w:sz w:val="22"/>
                <w:szCs w:val="22"/>
                <w:rtl w:val="0"/>
              </w:rPr>
              <w:t xml:space="preserve">Buying the Dip  ·  Permanent</w:t>
            </w:r>
            <w:r w:rsidDel="00000000" w:rsidR="00000000" w:rsidRPr="00000000">
              <w:rPr>
                <w:rtl w:val="0"/>
              </w:rPr>
            </w:r>
          </w:p>
        </w:tc>
      </w:tr>
      <w:tr>
        <w:trPr>
          <w:cantSplit w:val="0"/>
          <w:tblHeader w:val="0"/>
        </w:trPr>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2A">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Badge name</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2B">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2C">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Multiplier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2D">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Duration / scope</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2E">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Dip Buyer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2F">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Opened long on a day the underlying closed -3% or worse.</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30">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31">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32">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Crash Buyer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33">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Opened long on a day SPX closed -5% or worse.</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34">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35">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36">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Black Swan Buyer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37">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Opened long on a day SPX closed -10% or worse.</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38">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+1.30x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39">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bl>
    <w:p w:rsidR="00000000" w:rsidDel="00000000" w:rsidP="00000000" w:rsidRDefault="00000000" w:rsidRPr="00000000" w14:paraId="0000003A">
      <w:pPr>
        <w:spacing w:after="80" w:before="0" w:lineRule="auto"/>
        <w:rPr/>
      </w:pPr>
      <w:r w:rsidDel="00000000" w:rsidR="00000000" w:rsidRPr="00000000">
        <w:rPr>
          <w:rtl w:val="0"/>
        </w:rPr>
      </w:r>
    </w:p>
    <w:p w:rsidR="00000000" w:rsidDel="00000000" w:rsidP="00000000" w:rsidRDefault="00000000" w:rsidRPr="00000000" w14:paraId="0000003B">
      <w:pPr>
        <w:spacing w:after="120" w:before="280" w:lineRule="auto"/>
        <w:rPr>
          <w:rFonts w:ascii="Calibri" w:cs="Calibri" w:eastAsia="Calibri" w:hAnsi="Calibri"/>
          <w:b w:val="1"/>
          <w:bCs w:val="1"/>
          <w:color w:val="1f6feb"/>
          <w:sz w:val="32"/>
          <w:szCs w:val="32"/>
        </w:rPr>
      </w:pPr>
      <w:r w:rsidDel="00000000" w:rsidR="00000000" w:rsidRPr="00000000">
        <w:rPr>
          <w:b w:val="1"/>
          <w:bCs w:val="1"/>
          <w:color w:val="1f6feb"/>
          <w:sz w:val="32"/>
          <w:szCs w:val="32"/>
          <w:rtl w:val="0"/>
        </w:rPr>
        <w:t xml:space="preserve">3.  Buying the Breakout — Permanent</w:t>
      </w:r>
      <w:r w:rsidDel="00000000" w:rsidR="00000000" w:rsidRPr="00000000">
        <w:rPr>
          <w:rtl w:val="0"/>
        </w:rPr>
      </w:r>
    </w:p>
    <w:p w:rsidR="00000000" w:rsidDel="00000000" w:rsidP="00000000" w:rsidRDefault="00000000" w:rsidRPr="00000000" w14:paraId="0000003C">
      <w:pPr>
        <w:spacing w:after="120" w:before="0" w:lineRule="auto"/>
        <w:jc w:val="left"/>
        <w:rPr>
          <w:rFonts w:ascii="Calibri" w:cs="Calibri" w:eastAsia="Calibri" w:hAnsi="Calibri"/>
          <w:b w:val="0"/>
          <w:bCs w:val="0"/>
          <w:i w:val="1"/>
          <w:iCs w:val="1"/>
          <w:color w:val="5b6677"/>
          <w:sz w:val="21"/>
          <w:szCs w:val="21"/>
        </w:rPr>
      </w:pPr>
      <w:r w:rsidDel="00000000" w:rsidR="00000000" w:rsidRPr="00000000">
        <w:rPr>
          <w:b w:val="0"/>
          <w:bCs w:val="0"/>
          <w:i w:val="1"/>
          <w:iCs w:val="1"/>
          <w:color w:val="5b6677"/>
          <w:sz w:val="21"/>
          <w:szCs w:val="21"/>
          <w:rtl w:val="0"/>
        </w:rPr>
        <w:t xml:space="preserve">Long-side conviction on strength. The opposite trade to the Dip Buyer — these reward traders who buy into momentum rather than waiting for it to come back.</w:t>
      </w:r>
      <w:r w:rsidDel="00000000" w:rsidR="00000000" w:rsidRPr="00000000">
        <w:rPr>
          <w:rtl w:val="0"/>
        </w:rPr>
      </w:r>
    </w:p>
    <w:tbl>
      <w:tblPr>
        <w:tblStyle w:val="Table4"/>
        <w:tblW w:w="9744.0" w:type="dxa"/>
        <w:jc w:val="center"/>
        <w:tblBorders>
          <w:top w:color="0f172a" w:space="0" w:sz="4" w:val="single"/>
          <w:left w:color="0f172a" w:space="0" w:sz="4" w:val="single"/>
          <w:bottom w:color="0f172a" w:space="0" w:sz="4" w:val="single"/>
          <w:right w:color="0f172a" w:space="0" w:sz="4" w:val="single"/>
          <w:insideH w:color="0f172a" w:space="0" w:sz="4" w:val="single"/>
          <w:insideV w:color="0f172a" w:space="0" w:sz="4" w:val="single"/>
        </w:tblBorders>
        <w:tblLayout w:type="fixed"/>
        <w:tblLook w:val="0000"/>
      </w:tblPr>
      <w:tblGrid>
        <w:gridCol w:w="2436"/>
        <w:gridCol w:w="2436"/>
        <w:gridCol w:w="2436"/>
        <w:gridCol w:w="2436"/>
        <w:tblGridChange w:id="0">
          <w:tblGrid>
            <w:gridCol w:w="2436"/>
            <w:gridCol w:w="2436"/>
            <w:gridCol w:w="2436"/>
            <w:gridCol w:w="2436"/>
          </w:tblGrid>
        </w:tblGridChange>
      </w:tblGrid>
      <w:tr>
        <w:trPr>
          <w:cantSplit w:val="0"/>
          <w:tblHeader w:val="0"/>
        </w:trPr>
        <w:tc>
          <w:tcPr>
            <w:gridSpan w:val="4"/>
            <w:tcBorders>
              <w:top w:color="0f172a" w:space="0" w:sz="4" w:val="single"/>
              <w:left w:color="0f172a" w:space="0" w:sz="4" w:val="single"/>
              <w:bottom w:color="0f172a" w:space="0" w:sz="4" w:val="single"/>
              <w:right w:color="0f172a" w:space="0" w:sz="4" w:val="single"/>
            </w:tcBorders>
            <w:shd w:fill="0f172a" w:val="clear"/>
          </w:tcPr>
          <w:p w:rsidR="00000000" w:rsidDel="00000000" w:rsidP="00000000" w:rsidRDefault="00000000" w:rsidRPr="00000000" w14:paraId="0000003D">
            <w:pPr>
              <w:widowControl w:val="0"/>
              <w:spacing w:after="40" w:before="40" w:lineRule="auto"/>
              <w:ind w:left="113" w:right="0" w:firstLine="0"/>
              <w:rPr>
                <w:rFonts w:ascii="Calibri" w:cs="Calibri" w:eastAsia="Calibri" w:hAnsi="Calibri"/>
                <w:b w:val="1"/>
                <w:bCs w:val="1"/>
                <w:color w:val="ffffff"/>
                <w:sz w:val="22"/>
                <w:szCs w:val="22"/>
              </w:rPr>
            </w:pPr>
            <w:r w:rsidDel="00000000" w:rsidR="00000000" w:rsidRPr="00000000">
              <w:rPr>
                <w:b w:val="1"/>
                <w:bCs w:val="1"/>
                <w:color w:val="ffffff"/>
                <w:sz w:val="22"/>
                <w:szCs w:val="22"/>
                <w:rtl w:val="0"/>
              </w:rPr>
              <w:t xml:space="preserve">Buying the Breakout  ·  Permanent</w:t>
            </w:r>
            <w:r w:rsidDel="00000000" w:rsidR="00000000" w:rsidRPr="00000000">
              <w:rPr>
                <w:rtl w:val="0"/>
              </w:rPr>
            </w:r>
          </w:p>
        </w:tc>
      </w:tr>
      <w:tr>
        <w:trPr>
          <w:cantSplit w:val="0"/>
          <w:tblHeader w:val="0"/>
        </w:trPr>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41">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Badge name</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42">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43">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Multiplier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44">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Duration / scope</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45">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Momentum Rider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46">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Opened long on a day the underlying closed +3% or higher.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47">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48">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49">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Breakout Buyer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4A">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Opened long within 24h of a stock breaking a 52-week high.</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4B">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+1.15x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4C">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4D">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New High Holder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4E">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Opened long at an all-time high and held the position 30+ days.</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4F">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50">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bl>
    <w:p w:rsidR="00000000" w:rsidDel="00000000" w:rsidP="00000000" w:rsidRDefault="00000000" w:rsidRPr="00000000" w14:paraId="00000051">
      <w:pPr>
        <w:spacing w:after="80" w:before="0" w:lineRule="auto"/>
        <w:rPr/>
      </w:pPr>
      <w:r w:rsidDel="00000000" w:rsidR="00000000" w:rsidRPr="00000000">
        <w:rPr>
          <w:rtl w:val="0"/>
        </w:rPr>
      </w:r>
    </w:p>
    <w:p w:rsidR="00000000" w:rsidDel="00000000" w:rsidP="00000000" w:rsidRDefault="00000000" w:rsidRPr="00000000" w14:paraId="00000052">
      <w:pPr>
        <w:spacing w:after="120" w:before="280" w:lineRule="auto"/>
        <w:rPr>
          <w:rFonts w:ascii="Calibri" w:cs="Calibri" w:eastAsia="Calibri" w:hAnsi="Calibri"/>
          <w:b w:val="1"/>
          <w:bCs w:val="1"/>
          <w:color w:val="1f6feb"/>
          <w:sz w:val="32"/>
          <w:szCs w:val="32"/>
        </w:rPr>
      </w:pPr>
      <w:r w:rsidDel="00000000" w:rsidR="00000000" w:rsidRPr="00000000">
        <w:rPr>
          <w:b w:val="1"/>
          <w:bCs w:val="1"/>
          <w:color w:val="1f6feb"/>
          <w:sz w:val="32"/>
          <w:szCs w:val="32"/>
          <w:rtl w:val="0"/>
        </w:rPr>
        <w:t xml:space="preserve">4.  Event-Driven Trades — Mixed (2P + 3D)</w:t>
      </w:r>
      <w:r w:rsidDel="00000000" w:rsidR="00000000" w:rsidRPr="00000000">
        <w:rPr>
          <w:rtl w:val="0"/>
        </w:rPr>
      </w:r>
    </w:p>
    <w:p w:rsidR="00000000" w:rsidDel="00000000" w:rsidP="00000000" w:rsidRDefault="00000000" w:rsidRPr="00000000" w14:paraId="00000053">
      <w:pPr>
        <w:spacing w:after="120" w:before="0" w:lineRule="auto"/>
        <w:jc w:val="left"/>
        <w:rPr>
          <w:rFonts w:ascii="Calibri" w:cs="Calibri" w:eastAsia="Calibri" w:hAnsi="Calibri"/>
          <w:b w:val="0"/>
          <w:bCs w:val="0"/>
          <w:i w:val="1"/>
          <w:iCs w:val="1"/>
          <w:color w:val="5b6677"/>
          <w:sz w:val="21"/>
          <w:szCs w:val="21"/>
        </w:rPr>
      </w:pPr>
      <w:r w:rsidDel="00000000" w:rsidR="00000000" w:rsidRPr="00000000">
        <w:rPr>
          <w:b w:val="0"/>
          <w:bCs w:val="0"/>
          <w:i w:val="1"/>
          <w:iCs w:val="1"/>
          <w:color w:val="5b6677"/>
          <w:sz w:val="21"/>
          <w:szCs w:val="21"/>
          <w:rtl w:val="0"/>
        </w:rPr>
        <w:t xml:space="preserve">Real-world catalysts. The Earnings and Geopolitical badges are Permanent because they represent thesis decisions. Fed Day / CPI / News Reactor are Dynamic because they reward being on the platform at the right minute — that's a context-of-moment reward, not a thesis.</w:t>
      </w:r>
      <w:r w:rsidDel="00000000" w:rsidR="00000000" w:rsidRPr="00000000">
        <w:rPr>
          <w:rtl w:val="0"/>
        </w:rPr>
      </w:r>
    </w:p>
    <w:tbl>
      <w:tblPr>
        <w:tblStyle w:val="Table5"/>
        <w:tblW w:w="9744.0" w:type="dxa"/>
        <w:jc w:val="center"/>
        <w:tblBorders>
          <w:top w:color="0f172a" w:space="0" w:sz="4" w:val="single"/>
          <w:left w:color="0f172a" w:space="0" w:sz="4" w:val="single"/>
          <w:bottom w:color="0f172a" w:space="0" w:sz="4" w:val="single"/>
          <w:right w:color="0f172a" w:space="0" w:sz="4" w:val="single"/>
          <w:insideH w:color="0f172a" w:space="0" w:sz="4" w:val="single"/>
          <w:insideV w:color="0f172a" w:space="0" w:sz="4" w:val="single"/>
        </w:tblBorders>
        <w:tblLayout w:type="fixed"/>
        <w:tblLook w:val="0000"/>
      </w:tblPr>
      <w:tblGrid>
        <w:gridCol w:w="2436"/>
        <w:gridCol w:w="2436"/>
        <w:gridCol w:w="2436"/>
        <w:gridCol w:w="2436"/>
        <w:tblGridChange w:id="0">
          <w:tblGrid>
            <w:gridCol w:w="2436"/>
            <w:gridCol w:w="2436"/>
            <w:gridCol w:w="2436"/>
            <w:gridCol w:w="2436"/>
          </w:tblGrid>
        </w:tblGridChange>
      </w:tblGrid>
      <w:tr>
        <w:trPr>
          <w:cantSplit w:val="0"/>
          <w:tblHeader w:val="0"/>
        </w:trPr>
        <w:tc>
          <w:tcPr>
            <w:gridSpan w:val="4"/>
            <w:tcBorders>
              <w:top w:color="0f172a" w:space="0" w:sz="4" w:val="single"/>
              <w:left w:color="0f172a" w:space="0" w:sz="4" w:val="single"/>
              <w:bottom w:color="0f172a" w:space="0" w:sz="4" w:val="single"/>
              <w:right w:color="0f172a" w:space="0" w:sz="4" w:val="single"/>
            </w:tcBorders>
            <w:shd w:fill="0f172a" w:val="clear"/>
          </w:tcPr>
          <w:p w:rsidR="00000000" w:rsidDel="00000000" w:rsidP="00000000" w:rsidRDefault="00000000" w:rsidRPr="00000000" w14:paraId="00000054">
            <w:pPr>
              <w:widowControl w:val="0"/>
              <w:spacing w:after="40" w:before="40" w:lineRule="auto"/>
              <w:ind w:left="113" w:right="0" w:firstLine="0"/>
              <w:rPr>
                <w:rFonts w:ascii="Calibri" w:cs="Calibri" w:eastAsia="Calibri" w:hAnsi="Calibri"/>
                <w:b w:val="1"/>
                <w:bCs w:val="1"/>
                <w:color w:val="ffffff"/>
                <w:sz w:val="22"/>
                <w:szCs w:val="22"/>
              </w:rPr>
            </w:pPr>
            <w:r w:rsidDel="00000000" w:rsidR="00000000" w:rsidRPr="00000000">
              <w:rPr>
                <w:b w:val="1"/>
                <w:bCs w:val="1"/>
                <w:color w:val="ffffff"/>
                <w:sz w:val="22"/>
                <w:szCs w:val="22"/>
                <w:rtl w:val="0"/>
              </w:rPr>
              <w:t xml:space="preserve">Event-Driven  ·  Permanent + Dynamic</w:t>
            </w:r>
            <w:r w:rsidDel="00000000" w:rsidR="00000000" w:rsidRPr="00000000">
              <w:rPr>
                <w:rtl w:val="0"/>
              </w:rPr>
            </w:r>
          </w:p>
        </w:tc>
      </w:tr>
      <w:tr>
        <w:trPr>
          <w:cantSplit w:val="0"/>
          <w:tblHeader w:val="0"/>
        </w:trPr>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58">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Badge name</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59">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5A">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Multiplier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5B">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Duration / scope</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5C">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Earnings Conviction</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5D">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Opened position 24h before earnings, held through the report.</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5E">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5F">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60">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Geopolitical Trade</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61">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Opened position during a major geopolitical event (war, sanctions, etc).</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62">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63">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64">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Fed Day Trade</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65">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Opened position on FOMC announcement day.</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66">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67">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14 days</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68">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CPI Bet</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69">
            <w:pPr>
              <w:widowControl w:val="0"/>
              <w:spacing w:after="20" w:before="20" w:lineRule="auto"/>
              <w:rPr/>
            </w:pPr>
            <w:r w:rsidDel="00000000" w:rsidR="00000000" w:rsidRPr="00000000">
              <w:rPr>
                <w:color w:val="0f172a"/>
                <w:sz w:val="19"/>
                <w:szCs w:val="19"/>
                <w:rtl w:val="0"/>
              </w:rPr>
              <w:t xml:space="preserve">Opened position on CPI release day.</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6A">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+1.15x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6B">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7 days</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6C">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News Reactor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6D">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Opened position within 1h of a market-moving headline.</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6E">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+1.15x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6F">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7 days</w:t>
            </w:r>
            <w:r w:rsidDel="00000000" w:rsidR="00000000" w:rsidRPr="00000000">
              <w:rPr>
                <w:rtl w:val="0"/>
              </w:rPr>
            </w:r>
          </w:p>
        </w:tc>
      </w:tr>
    </w:tbl>
    <w:p w:rsidR="00000000" w:rsidDel="00000000" w:rsidP="00000000" w:rsidRDefault="00000000" w:rsidRPr="00000000" w14:paraId="00000070">
      <w:pPr>
        <w:spacing w:after="80" w:before="0" w:lineRule="auto"/>
        <w:rPr/>
      </w:pPr>
      <w:r w:rsidDel="00000000" w:rsidR="00000000" w:rsidRPr="00000000">
        <w:rPr>
          <w:rtl w:val="0"/>
        </w:rPr>
      </w:r>
    </w:p>
    <w:p w:rsidR="00000000" w:rsidDel="00000000" w:rsidP="00000000" w:rsidRDefault="00000000" w:rsidRPr="00000000" w14:paraId="00000071">
      <w:pPr>
        <w:spacing w:after="120" w:before="280" w:lineRule="auto"/>
        <w:rPr>
          <w:rFonts w:ascii="Calibri" w:cs="Calibri" w:eastAsia="Calibri" w:hAnsi="Calibri"/>
          <w:b w:val="1"/>
          <w:bCs w:val="1"/>
          <w:color w:val="1f6feb"/>
          <w:sz w:val="32"/>
          <w:szCs w:val="32"/>
        </w:rPr>
      </w:pPr>
      <w:r w:rsidDel="00000000" w:rsidR="00000000" w:rsidRPr="00000000">
        <w:rPr>
          <w:b w:val="1"/>
          <w:bCs w:val="1"/>
          <w:color w:val="1f6feb"/>
          <w:sz w:val="32"/>
          <w:szCs w:val="32"/>
          <w:rtl w:val="0"/>
        </w:rPr>
        <w:t xml:space="preserve">5.  Short Conviction — Permanent</w:t>
      </w:r>
      <w:r w:rsidDel="00000000" w:rsidR="00000000" w:rsidRPr="00000000">
        <w:rPr>
          <w:rtl w:val="0"/>
        </w:rPr>
      </w:r>
    </w:p>
    <w:p w:rsidR="00000000" w:rsidDel="00000000" w:rsidP="00000000" w:rsidRDefault="00000000" w:rsidRPr="00000000" w14:paraId="00000072">
      <w:pPr>
        <w:spacing w:after="120" w:before="0" w:lineRule="auto"/>
        <w:jc w:val="left"/>
        <w:rPr>
          <w:rFonts w:ascii="Calibri" w:cs="Calibri" w:eastAsia="Calibri" w:hAnsi="Calibri"/>
          <w:b w:val="0"/>
          <w:bCs w:val="0"/>
          <w:i w:val="1"/>
          <w:iCs w:val="1"/>
          <w:color w:val="5b6677"/>
          <w:sz w:val="21"/>
          <w:szCs w:val="21"/>
        </w:rPr>
      </w:pPr>
      <w:r w:rsidDel="00000000" w:rsidR="00000000" w:rsidRPr="00000000">
        <w:rPr>
          <w:b w:val="0"/>
          <w:bCs w:val="0"/>
          <w:i w:val="1"/>
          <w:iCs w:val="1"/>
          <w:color w:val="5b6677"/>
          <w:sz w:val="21"/>
          <w:szCs w:val="21"/>
          <w:rtl w:val="0"/>
        </w:rPr>
        <w:t xml:space="preserve">Symmetric to the long-side badges. Shorting requires more sophistication and more pain tolerance — and SHIFT is a two-sided product. Equal treatment, no long-only bias.</w:t>
      </w:r>
      <w:r w:rsidDel="00000000" w:rsidR="00000000" w:rsidRPr="00000000">
        <w:rPr>
          <w:rtl w:val="0"/>
        </w:rPr>
      </w:r>
    </w:p>
    <w:tbl>
      <w:tblPr>
        <w:tblStyle w:val="Table6"/>
        <w:tblW w:w="9744.0" w:type="dxa"/>
        <w:jc w:val="center"/>
        <w:tblBorders>
          <w:top w:color="0f172a" w:space="0" w:sz="4" w:val="single"/>
          <w:left w:color="0f172a" w:space="0" w:sz="4" w:val="single"/>
          <w:bottom w:color="0f172a" w:space="0" w:sz="4" w:val="single"/>
          <w:right w:color="0f172a" w:space="0" w:sz="4" w:val="single"/>
          <w:insideH w:color="0f172a" w:space="0" w:sz="4" w:val="single"/>
          <w:insideV w:color="0f172a" w:space="0" w:sz="4" w:val="single"/>
        </w:tblBorders>
        <w:tblLayout w:type="fixed"/>
        <w:tblLook w:val="0000"/>
      </w:tblPr>
      <w:tblGrid>
        <w:gridCol w:w="2436"/>
        <w:gridCol w:w="2436"/>
        <w:gridCol w:w="2436"/>
        <w:gridCol w:w="2436"/>
        <w:tblGridChange w:id="0">
          <w:tblGrid>
            <w:gridCol w:w="2436"/>
            <w:gridCol w:w="2436"/>
            <w:gridCol w:w="2436"/>
            <w:gridCol w:w="2436"/>
          </w:tblGrid>
        </w:tblGridChange>
      </w:tblGrid>
      <w:tr>
        <w:trPr>
          <w:cantSplit w:val="0"/>
          <w:tblHeader w:val="0"/>
        </w:trPr>
        <w:tc>
          <w:tcPr>
            <w:gridSpan w:val="4"/>
            <w:tcBorders>
              <w:top w:color="0f172a" w:space="0" w:sz="4" w:val="single"/>
              <w:left w:color="0f172a" w:space="0" w:sz="4" w:val="single"/>
              <w:bottom w:color="0f172a" w:space="0" w:sz="4" w:val="single"/>
              <w:right w:color="0f172a" w:space="0" w:sz="4" w:val="single"/>
            </w:tcBorders>
            <w:shd w:fill="0f172a" w:val="clear"/>
          </w:tcPr>
          <w:p w:rsidR="00000000" w:rsidDel="00000000" w:rsidP="00000000" w:rsidRDefault="00000000" w:rsidRPr="00000000" w14:paraId="00000073">
            <w:pPr>
              <w:widowControl w:val="0"/>
              <w:spacing w:after="40" w:before="40" w:lineRule="auto"/>
              <w:ind w:left="113" w:right="0" w:firstLine="0"/>
              <w:rPr>
                <w:rFonts w:ascii="Calibri" w:cs="Calibri" w:eastAsia="Calibri" w:hAnsi="Calibri"/>
                <w:b w:val="1"/>
                <w:bCs w:val="1"/>
                <w:color w:val="ffffff"/>
                <w:sz w:val="22"/>
                <w:szCs w:val="22"/>
              </w:rPr>
            </w:pPr>
            <w:r w:rsidDel="00000000" w:rsidR="00000000" w:rsidRPr="00000000">
              <w:rPr>
                <w:b w:val="1"/>
                <w:bCs w:val="1"/>
                <w:color w:val="ffffff"/>
                <w:sz w:val="22"/>
                <w:szCs w:val="22"/>
                <w:rtl w:val="0"/>
              </w:rPr>
              <w:t xml:space="preserve">Short Conviction  ·  Permanent</w:t>
            </w:r>
            <w:r w:rsidDel="00000000" w:rsidR="00000000" w:rsidRPr="00000000">
              <w:rPr>
                <w:rtl w:val="0"/>
              </w:rPr>
            </w:r>
          </w:p>
        </w:tc>
      </w:tr>
      <w:tr>
        <w:trPr>
          <w:cantSplit w:val="0"/>
          <w:tblHeader w:val="0"/>
        </w:trPr>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77">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Badge name</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78">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79">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Multiplier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7A">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Duration / scope</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7B">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First Short</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7C">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Opened first short position.</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7D">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7E">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7F">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Top Caller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80">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Opened short within 24h of a stock hitting a 52-week high.</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81">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+1.25x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82">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83">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Earnings Short</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84">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Shorted into earnings, closed profitable.</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85">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86">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87">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Squeeze Survivor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88">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Held a short through a +10% squeeze, closed profitable.</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89">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+1.30x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8A">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8B">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Macro Bear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8C">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Held a short position 30+ days.</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8D">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+1.25x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8E">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bl>
    <w:p w:rsidR="00000000" w:rsidDel="00000000" w:rsidP="00000000" w:rsidRDefault="00000000" w:rsidRPr="00000000" w14:paraId="0000008F">
      <w:pPr>
        <w:spacing w:after="80" w:before="0" w:lineRule="auto"/>
        <w:rPr/>
      </w:pPr>
      <w:r w:rsidDel="00000000" w:rsidR="00000000" w:rsidRPr="00000000">
        <w:rPr>
          <w:rtl w:val="0"/>
        </w:rPr>
      </w:r>
    </w:p>
    <w:p w:rsidR="00000000" w:rsidDel="00000000" w:rsidP="00000000" w:rsidRDefault="00000000" w:rsidRPr="00000000" w14:paraId="00000090">
      <w:pPr>
        <w:spacing w:after="120" w:before="280" w:lineRule="auto"/>
        <w:rPr>
          <w:rFonts w:ascii="Calibri" w:cs="Calibri" w:eastAsia="Calibri" w:hAnsi="Calibri"/>
          <w:b w:val="1"/>
          <w:bCs w:val="1"/>
          <w:color w:val="1f6feb"/>
          <w:sz w:val="32"/>
          <w:szCs w:val="32"/>
        </w:rPr>
      </w:pPr>
      <w:r w:rsidDel="00000000" w:rsidR="00000000" w:rsidRPr="00000000">
        <w:rPr>
          <w:b w:val="1"/>
          <w:bCs w:val="1"/>
          <w:color w:val="1f6feb"/>
          <w:sz w:val="32"/>
          <w:szCs w:val="32"/>
          <w:rtl w:val="0"/>
        </w:rPr>
        <w:t xml:space="preserve">6.  Held Through Pain — Permanent</w:t>
      </w:r>
      <w:r w:rsidDel="00000000" w:rsidR="00000000" w:rsidRPr="00000000">
        <w:rPr>
          <w:rtl w:val="0"/>
        </w:rPr>
      </w:r>
    </w:p>
    <w:p w:rsidR="00000000" w:rsidDel="00000000" w:rsidP="00000000" w:rsidRDefault="00000000" w:rsidRPr="00000000" w14:paraId="00000091">
      <w:pPr>
        <w:spacing w:after="120" w:before="0" w:lineRule="auto"/>
        <w:jc w:val="left"/>
        <w:rPr>
          <w:rFonts w:ascii="Calibri" w:cs="Calibri" w:eastAsia="Calibri" w:hAnsi="Calibri"/>
          <w:b w:val="0"/>
          <w:bCs w:val="0"/>
          <w:i w:val="1"/>
          <w:iCs w:val="1"/>
          <w:color w:val="5b6677"/>
          <w:sz w:val="21"/>
          <w:szCs w:val="21"/>
        </w:rPr>
      </w:pPr>
      <w:r w:rsidDel="00000000" w:rsidR="00000000" w:rsidRPr="00000000">
        <w:rPr>
          <w:b w:val="0"/>
          <w:bCs w:val="0"/>
          <w:i w:val="1"/>
          <w:iCs w:val="1"/>
          <w:color w:val="5b6677"/>
          <w:sz w:val="21"/>
          <w:szCs w:val="21"/>
          <w:rtl w:val="0"/>
        </w:rPr>
        <w:t xml:space="preserve">Drawdown survival. The badge isn't "didn't get liquidated" — it's "chose not to close while underwater." Real conviction is what you do when the position is down, not when it's up.</w:t>
      </w:r>
      <w:r w:rsidDel="00000000" w:rsidR="00000000" w:rsidRPr="00000000">
        <w:rPr>
          <w:rtl w:val="0"/>
        </w:rPr>
      </w:r>
    </w:p>
    <w:tbl>
      <w:tblPr>
        <w:tblStyle w:val="Table7"/>
        <w:tblW w:w="9744.0" w:type="dxa"/>
        <w:jc w:val="center"/>
        <w:tblBorders>
          <w:top w:color="0f172a" w:space="0" w:sz="4" w:val="single"/>
          <w:left w:color="0f172a" w:space="0" w:sz="4" w:val="single"/>
          <w:bottom w:color="0f172a" w:space="0" w:sz="4" w:val="single"/>
          <w:right w:color="0f172a" w:space="0" w:sz="4" w:val="single"/>
          <w:insideH w:color="0f172a" w:space="0" w:sz="4" w:val="single"/>
          <w:insideV w:color="0f172a" w:space="0" w:sz="4" w:val="single"/>
        </w:tblBorders>
        <w:tblLayout w:type="fixed"/>
        <w:tblLook w:val="0000"/>
      </w:tblPr>
      <w:tblGrid>
        <w:gridCol w:w="2436"/>
        <w:gridCol w:w="2436"/>
        <w:gridCol w:w="2436"/>
        <w:gridCol w:w="2436"/>
        <w:tblGridChange w:id="0">
          <w:tblGrid>
            <w:gridCol w:w="2436"/>
            <w:gridCol w:w="2436"/>
            <w:gridCol w:w="2436"/>
            <w:gridCol w:w="2436"/>
          </w:tblGrid>
        </w:tblGridChange>
      </w:tblGrid>
      <w:tr>
        <w:trPr>
          <w:cantSplit w:val="0"/>
          <w:tblHeader w:val="0"/>
        </w:trPr>
        <w:tc>
          <w:tcPr>
            <w:gridSpan w:val="4"/>
            <w:tcBorders>
              <w:top w:color="0f172a" w:space="0" w:sz="4" w:val="single"/>
              <w:left w:color="0f172a" w:space="0" w:sz="4" w:val="single"/>
              <w:bottom w:color="0f172a" w:space="0" w:sz="4" w:val="single"/>
              <w:right w:color="0f172a" w:space="0" w:sz="4" w:val="single"/>
            </w:tcBorders>
            <w:shd w:fill="0f172a" w:val="clear"/>
          </w:tcPr>
          <w:p w:rsidR="00000000" w:rsidDel="00000000" w:rsidP="00000000" w:rsidRDefault="00000000" w:rsidRPr="00000000" w14:paraId="00000092">
            <w:pPr>
              <w:widowControl w:val="0"/>
              <w:spacing w:after="40" w:before="40" w:lineRule="auto"/>
              <w:ind w:left="113" w:right="0" w:firstLine="0"/>
              <w:rPr>
                <w:rFonts w:ascii="Calibri" w:cs="Calibri" w:eastAsia="Calibri" w:hAnsi="Calibri"/>
                <w:b w:val="1"/>
                <w:bCs w:val="1"/>
                <w:color w:val="ffffff"/>
                <w:sz w:val="22"/>
                <w:szCs w:val="22"/>
              </w:rPr>
            </w:pPr>
            <w:r w:rsidDel="00000000" w:rsidR="00000000" w:rsidRPr="00000000">
              <w:rPr>
                <w:b w:val="1"/>
                <w:bCs w:val="1"/>
                <w:color w:val="ffffff"/>
                <w:sz w:val="22"/>
                <w:szCs w:val="22"/>
                <w:rtl w:val="0"/>
              </w:rPr>
              <w:t xml:space="preserve">Held Through Pain  ·  Permanent</w:t>
            </w:r>
            <w:r w:rsidDel="00000000" w:rsidR="00000000" w:rsidRPr="00000000">
              <w:rPr>
                <w:rtl w:val="0"/>
              </w:rPr>
            </w:r>
          </w:p>
        </w:tc>
      </w:tr>
      <w:tr>
        <w:trPr>
          <w:cantSplit w:val="0"/>
          <w:tblHeader w:val="0"/>
        </w:trPr>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96">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Badge name</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97">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98">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Multiplier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99">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Duration / scope</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9A">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-10% Survivor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9B">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Held a position through a -10% unrealized drawdown without closing.</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9C">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+1.15x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9D">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9E">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-20% Survivor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9F">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Held a position through a -20% unrealized drawdown without closing.</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A0">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+1.25x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A1">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A2">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Iron Hands</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A3">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Held through a -30%+ drawdown and closed profitable.</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A4">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+1.30x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A5">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bl>
    <w:p w:rsidR="00000000" w:rsidDel="00000000" w:rsidP="00000000" w:rsidRDefault="00000000" w:rsidRPr="00000000" w14:paraId="000000A6">
      <w:pPr>
        <w:spacing w:after="80" w:before="0" w:lineRule="auto"/>
        <w:rPr/>
      </w:pPr>
      <w:r w:rsidDel="00000000" w:rsidR="00000000" w:rsidRPr="00000000">
        <w:rPr>
          <w:rtl w:val="0"/>
        </w:rPr>
      </w:r>
    </w:p>
    <w:p w:rsidR="00000000" w:rsidDel="00000000" w:rsidP="00000000" w:rsidRDefault="00000000" w:rsidRPr="00000000" w14:paraId="000000A7">
      <w:pPr>
        <w:spacing w:after="120" w:before="280" w:lineRule="auto"/>
        <w:rPr>
          <w:rFonts w:ascii="Calibri" w:cs="Calibri" w:eastAsia="Calibri" w:hAnsi="Calibri"/>
          <w:b w:val="1"/>
          <w:bCs w:val="1"/>
          <w:color w:val="1f6feb"/>
          <w:sz w:val="32"/>
          <w:szCs w:val="32"/>
        </w:rPr>
      </w:pPr>
      <w:r w:rsidDel="00000000" w:rsidR="00000000" w:rsidRPr="00000000">
        <w:rPr>
          <w:b w:val="1"/>
          <w:bCs w:val="1"/>
          <w:color w:val="1f6feb"/>
          <w:sz w:val="32"/>
          <w:szCs w:val="32"/>
          <w:rtl w:val="0"/>
        </w:rPr>
        <w:t xml:space="preserve">7.  Long-Term Conviction — Permanent</w:t>
      </w:r>
      <w:r w:rsidDel="00000000" w:rsidR="00000000" w:rsidRPr="00000000">
        <w:rPr>
          <w:rtl w:val="0"/>
        </w:rPr>
      </w:r>
    </w:p>
    <w:p w:rsidR="00000000" w:rsidDel="00000000" w:rsidP="00000000" w:rsidRDefault="00000000" w:rsidRPr="00000000" w14:paraId="000000A8">
      <w:pPr>
        <w:spacing w:after="120" w:before="0" w:lineRule="auto"/>
        <w:jc w:val="left"/>
        <w:rPr>
          <w:rFonts w:ascii="Calibri" w:cs="Calibri" w:eastAsia="Calibri" w:hAnsi="Calibri"/>
          <w:b w:val="0"/>
          <w:bCs w:val="0"/>
          <w:i w:val="1"/>
          <w:iCs w:val="1"/>
          <w:color w:val="5b6677"/>
          <w:sz w:val="21"/>
          <w:szCs w:val="21"/>
        </w:rPr>
      </w:pPr>
      <w:r w:rsidDel="00000000" w:rsidR="00000000" w:rsidRPr="00000000">
        <w:rPr>
          <w:b w:val="0"/>
          <w:bCs w:val="0"/>
          <w:i w:val="1"/>
          <w:iCs w:val="1"/>
          <w:color w:val="5b6677"/>
          <w:sz w:val="21"/>
          <w:szCs w:val="21"/>
          <w:rtl w:val="0"/>
        </w:rPr>
        <w:t xml:space="preserve">Duration-based holds. Each badge requires holding a single position uninterrupted. These reward the people who don't trade in and out — they pick a thesis and ride it.</w:t>
      </w:r>
      <w:r w:rsidDel="00000000" w:rsidR="00000000" w:rsidRPr="00000000">
        <w:rPr>
          <w:rtl w:val="0"/>
        </w:rPr>
      </w:r>
    </w:p>
    <w:tbl>
      <w:tblPr>
        <w:tblStyle w:val="Table8"/>
        <w:tblW w:w="9744.0" w:type="dxa"/>
        <w:jc w:val="center"/>
        <w:tblBorders>
          <w:top w:color="0f172a" w:space="0" w:sz="4" w:val="single"/>
          <w:left w:color="0f172a" w:space="0" w:sz="4" w:val="single"/>
          <w:bottom w:color="0f172a" w:space="0" w:sz="4" w:val="single"/>
          <w:right w:color="0f172a" w:space="0" w:sz="4" w:val="single"/>
          <w:insideH w:color="0f172a" w:space="0" w:sz="4" w:val="single"/>
          <w:insideV w:color="0f172a" w:space="0" w:sz="4" w:val="single"/>
        </w:tblBorders>
        <w:tblLayout w:type="fixed"/>
        <w:tblLook w:val="0000"/>
      </w:tblPr>
      <w:tblGrid>
        <w:gridCol w:w="2436"/>
        <w:gridCol w:w="2436"/>
        <w:gridCol w:w="2436"/>
        <w:gridCol w:w="2436"/>
        <w:tblGridChange w:id="0">
          <w:tblGrid>
            <w:gridCol w:w="2436"/>
            <w:gridCol w:w="2436"/>
            <w:gridCol w:w="2436"/>
            <w:gridCol w:w="2436"/>
          </w:tblGrid>
        </w:tblGridChange>
      </w:tblGrid>
      <w:tr>
        <w:trPr>
          <w:cantSplit w:val="0"/>
          <w:tblHeader w:val="0"/>
        </w:trPr>
        <w:tc>
          <w:tcPr>
            <w:gridSpan w:val="4"/>
            <w:tcBorders>
              <w:top w:color="0f172a" w:space="0" w:sz="4" w:val="single"/>
              <w:left w:color="0f172a" w:space="0" w:sz="4" w:val="single"/>
              <w:bottom w:color="0f172a" w:space="0" w:sz="4" w:val="single"/>
              <w:right w:color="0f172a" w:space="0" w:sz="4" w:val="single"/>
            </w:tcBorders>
            <w:shd w:fill="0f172a" w:val="clear"/>
          </w:tcPr>
          <w:p w:rsidR="00000000" w:rsidDel="00000000" w:rsidP="00000000" w:rsidRDefault="00000000" w:rsidRPr="00000000" w14:paraId="000000A9">
            <w:pPr>
              <w:widowControl w:val="0"/>
              <w:spacing w:after="40" w:before="40" w:lineRule="auto"/>
              <w:ind w:left="113" w:right="0" w:firstLine="0"/>
              <w:rPr>
                <w:rFonts w:ascii="Calibri" w:cs="Calibri" w:eastAsia="Calibri" w:hAnsi="Calibri"/>
                <w:b w:val="1"/>
                <w:bCs w:val="1"/>
                <w:color w:val="ffffff"/>
                <w:sz w:val="22"/>
                <w:szCs w:val="22"/>
              </w:rPr>
            </w:pPr>
            <w:r w:rsidDel="00000000" w:rsidR="00000000" w:rsidRPr="00000000">
              <w:rPr>
                <w:b w:val="1"/>
                <w:bCs w:val="1"/>
                <w:color w:val="ffffff"/>
                <w:sz w:val="22"/>
                <w:szCs w:val="22"/>
                <w:rtl w:val="0"/>
              </w:rPr>
              <w:t xml:space="preserve">Long-Term Conviction  ·  Permanent</w:t>
            </w:r>
            <w:r w:rsidDel="00000000" w:rsidR="00000000" w:rsidRPr="00000000">
              <w:rPr>
                <w:rtl w:val="0"/>
              </w:rPr>
            </w:r>
          </w:p>
        </w:tc>
      </w:tr>
      <w:tr>
        <w:trPr>
          <w:cantSplit w:val="0"/>
          <w:tblHeader w:val="0"/>
        </w:trPr>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AD">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Badge name</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AE">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AF">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Multiplier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B0">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Duration / scope</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B1">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Diamond Hands</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B2">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Held a single position open 60+ days.</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B3">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+1.15x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B4">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B5">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Long-Hauler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B6">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Held a single position open 90+ days.</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B7">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B8">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B9">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The Believer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BA">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Held a single position open 180+ days.</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BB">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+1.30x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BC">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BD">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Multi-Earnings Holder</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BE">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Held the same position through 2+ earnings reports.</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BF">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C0">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bl>
    <w:p w:rsidR="00000000" w:rsidDel="00000000" w:rsidP="00000000" w:rsidRDefault="00000000" w:rsidRPr="00000000" w14:paraId="000000C1">
      <w:pPr>
        <w:spacing w:after="80" w:before="0" w:lineRule="auto"/>
        <w:rPr/>
      </w:pPr>
      <w:r w:rsidDel="00000000" w:rsidR="00000000" w:rsidRPr="00000000">
        <w:rPr>
          <w:rtl w:val="0"/>
        </w:rPr>
      </w:r>
    </w:p>
    <w:p w:rsidR="00000000" w:rsidDel="00000000" w:rsidP="00000000" w:rsidRDefault="00000000" w:rsidRPr="00000000" w14:paraId="000000C2">
      <w:pPr>
        <w:spacing w:after="120" w:before="280" w:lineRule="auto"/>
        <w:rPr>
          <w:rFonts w:ascii="Calibri" w:cs="Calibri" w:eastAsia="Calibri" w:hAnsi="Calibri"/>
          <w:b w:val="1"/>
          <w:bCs w:val="1"/>
          <w:color w:val="1f6feb"/>
          <w:sz w:val="32"/>
          <w:szCs w:val="32"/>
        </w:rPr>
      </w:pPr>
      <w:r w:rsidDel="00000000" w:rsidR="00000000" w:rsidRPr="00000000">
        <w:rPr>
          <w:b w:val="1"/>
          <w:bCs w:val="1"/>
          <w:color w:val="1f6feb"/>
          <w:sz w:val="32"/>
          <w:szCs w:val="32"/>
          <w:rtl w:val="0"/>
        </w:rPr>
        <w:t xml:space="preserve">8.  Volume + OG — Permanent</w:t>
      </w:r>
      <w:r w:rsidDel="00000000" w:rsidR="00000000" w:rsidRPr="00000000">
        <w:rPr>
          <w:rtl w:val="0"/>
        </w:rPr>
      </w:r>
    </w:p>
    <w:p w:rsidR="00000000" w:rsidDel="00000000" w:rsidP="00000000" w:rsidRDefault="00000000" w:rsidRPr="00000000" w14:paraId="000000C3">
      <w:pPr>
        <w:spacing w:after="120" w:before="0" w:lineRule="auto"/>
        <w:jc w:val="left"/>
        <w:rPr>
          <w:rFonts w:ascii="Calibri" w:cs="Calibri" w:eastAsia="Calibri" w:hAnsi="Calibri"/>
          <w:b w:val="0"/>
          <w:bCs w:val="0"/>
          <w:i w:val="1"/>
          <w:iCs w:val="1"/>
          <w:color w:val="5b6677"/>
          <w:sz w:val="21"/>
          <w:szCs w:val="21"/>
        </w:rPr>
      </w:pPr>
      <w:r w:rsidDel="00000000" w:rsidR="00000000" w:rsidRPr="00000000">
        <w:rPr>
          <w:b w:val="0"/>
          <w:bCs w:val="0"/>
          <w:i w:val="1"/>
          <w:iCs w:val="1"/>
          <w:color w:val="5b6677"/>
          <w:sz w:val="21"/>
          <w:szCs w:val="21"/>
          <w:rtl w:val="0"/>
        </w:rPr>
        <w:t xml:space="preserve">Lifetime markers. Cumulative volume earned and "I was here first" status. Not conviction per se, but they are the rare non-conviction badges worth keeping because they're objective and unfakeable.</w:t>
      </w:r>
      <w:r w:rsidDel="00000000" w:rsidR="00000000" w:rsidRPr="00000000">
        <w:rPr>
          <w:rtl w:val="0"/>
        </w:rPr>
      </w:r>
    </w:p>
    <w:tbl>
      <w:tblPr>
        <w:tblStyle w:val="Table9"/>
        <w:tblW w:w="9744.0" w:type="dxa"/>
        <w:jc w:val="center"/>
        <w:tblBorders>
          <w:top w:color="0f172a" w:space="0" w:sz="4" w:val="single"/>
          <w:left w:color="0f172a" w:space="0" w:sz="4" w:val="single"/>
          <w:bottom w:color="0f172a" w:space="0" w:sz="4" w:val="single"/>
          <w:right w:color="0f172a" w:space="0" w:sz="4" w:val="single"/>
          <w:insideH w:color="0f172a" w:space="0" w:sz="4" w:val="single"/>
          <w:insideV w:color="0f172a" w:space="0" w:sz="4" w:val="single"/>
        </w:tblBorders>
        <w:tblLayout w:type="fixed"/>
        <w:tblLook w:val="0000"/>
      </w:tblPr>
      <w:tblGrid>
        <w:gridCol w:w="2436"/>
        <w:gridCol w:w="2436"/>
        <w:gridCol w:w="2436"/>
        <w:gridCol w:w="2436"/>
        <w:tblGridChange w:id="0">
          <w:tblGrid>
            <w:gridCol w:w="2436"/>
            <w:gridCol w:w="2436"/>
            <w:gridCol w:w="2436"/>
            <w:gridCol w:w="2436"/>
          </w:tblGrid>
        </w:tblGridChange>
      </w:tblGrid>
      <w:tr>
        <w:trPr>
          <w:cantSplit w:val="0"/>
          <w:tblHeader w:val="0"/>
        </w:trPr>
        <w:tc>
          <w:tcPr>
            <w:gridSpan w:val="4"/>
            <w:tcBorders>
              <w:top w:color="0f172a" w:space="0" w:sz="4" w:val="single"/>
              <w:left w:color="0f172a" w:space="0" w:sz="4" w:val="single"/>
              <w:bottom w:color="0f172a" w:space="0" w:sz="4" w:val="single"/>
              <w:right w:color="0f172a" w:space="0" w:sz="4" w:val="single"/>
            </w:tcBorders>
            <w:shd w:fill="0f172a" w:val="clear"/>
          </w:tcPr>
          <w:p w:rsidR="00000000" w:rsidDel="00000000" w:rsidP="00000000" w:rsidRDefault="00000000" w:rsidRPr="00000000" w14:paraId="000000C4">
            <w:pPr>
              <w:widowControl w:val="0"/>
              <w:spacing w:after="40" w:before="40" w:lineRule="auto"/>
              <w:ind w:left="113" w:right="0" w:firstLine="0"/>
              <w:rPr>
                <w:rFonts w:ascii="Calibri" w:cs="Calibri" w:eastAsia="Calibri" w:hAnsi="Calibri"/>
                <w:b w:val="1"/>
                <w:bCs w:val="1"/>
                <w:color w:val="ffffff"/>
                <w:sz w:val="22"/>
                <w:szCs w:val="22"/>
              </w:rPr>
            </w:pPr>
            <w:r w:rsidDel="00000000" w:rsidR="00000000" w:rsidRPr="00000000">
              <w:rPr>
                <w:b w:val="1"/>
                <w:bCs w:val="1"/>
                <w:color w:val="ffffff"/>
                <w:sz w:val="22"/>
                <w:szCs w:val="22"/>
                <w:rtl w:val="0"/>
              </w:rPr>
              <w:t xml:space="preserve">Volume + OG  ·  Permanent</w:t>
            </w:r>
            <w:r w:rsidDel="00000000" w:rsidR="00000000" w:rsidRPr="00000000">
              <w:rPr>
                <w:rtl w:val="0"/>
              </w:rPr>
            </w:r>
          </w:p>
        </w:tc>
      </w:tr>
      <w:tr>
        <w:trPr>
          <w:cantSplit w:val="0"/>
          <w:tblHeader w:val="0"/>
        </w:trPr>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C8">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Badge name</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C9">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CA">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Multiplier</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CB">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Duration / scope</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CC">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Volume Veteran I</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CD">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Cumulative trade volume ≥ $10,000.</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CE">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CF">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D0">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Volume Veteran II</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D1">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Cumulative trade volume ≥ $100,000.</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D2">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D3">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D4">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Volume Veteran III</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D5">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Cumulative trade volume ≥ $1,000,000.</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D6">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+1.30x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D7">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D8">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The OG</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D9">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Active trader in the first 30 days of launch.</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DA">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+1.25x</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DB">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r>
    </w:tbl>
    <w:p w:rsidR="00000000" w:rsidDel="00000000" w:rsidP="00000000" w:rsidRDefault="00000000" w:rsidRPr="00000000" w14:paraId="000000DC">
      <w:pPr>
        <w:spacing w:after="80" w:before="0" w:lineRule="auto"/>
        <w:rPr/>
      </w:pPr>
      <w:r w:rsidDel="00000000" w:rsidR="00000000" w:rsidRPr="00000000">
        <w:rPr>
          <w:rtl w:val="0"/>
        </w:rPr>
      </w:r>
    </w:p>
    <w:p w:rsidR="00000000" w:rsidDel="00000000" w:rsidP="00000000" w:rsidRDefault="00000000" w:rsidRPr="00000000" w14:paraId="000000DD">
      <w:pPr>
        <w:spacing w:after="120" w:before="280" w:lineRule="auto"/>
        <w:rPr>
          <w:rFonts w:ascii="Calibri" w:cs="Calibri" w:eastAsia="Calibri" w:hAnsi="Calibri"/>
          <w:b w:val="1"/>
          <w:bCs w:val="1"/>
          <w:color w:val="1f6feb"/>
          <w:sz w:val="32"/>
          <w:szCs w:val="32"/>
        </w:rPr>
      </w:pPr>
      <w:r w:rsidDel="00000000" w:rsidR="00000000" w:rsidRPr="00000000">
        <w:rPr>
          <w:b w:val="1"/>
          <w:bCs w:val="1"/>
          <w:color w:val="1f6feb"/>
          <w:sz w:val="32"/>
          <w:szCs w:val="32"/>
          <w:rtl w:val="0"/>
        </w:rPr>
        <w:t xml:space="preserve">Summary at a glance</w:t>
      </w:r>
      <w:r w:rsidDel="00000000" w:rsidR="00000000" w:rsidRPr="00000000">
        <w:rPr>
          <w:rtl w:val="0"/>
        </w:rPr>
      </w:r>
    </w:p>
    <w:tbl>
      <w:tblPr>
        <w:tblStyle w:val="Table10"/>
        <w:tblW w:w="9744.0" w:type="dxa"/>
        <w:jc w:val="left"/>
        <w:tblInd w:w="-211.0" w:type="dxa"/>
        <w:tblBorders>
          <w:top w:color="1f6feb" w:space="0" w:sz="4" w:val="single"/>
          <w:left w:color="1f6feb" w:space="0" w:sz="4" w:val="single"/>
          <w:bottom w:color="1f6feb" w:space="0" w:sz="4" w:val="single"/>
          <w:right w:color="1f6feb" w:space="0" w:sz="4" w:val="single"/>
          <w:insideH w:color="1f6feb" w:space="0" w:sz="4" w:val="single"/>
          <w:insideV w:color="1f6feb" w:space="0" w:sz="4" w:val="single"/>
        </w:tblBorders>
        <w:tblLayout w:type="fixed"/>
        <w:tblLook w:val="00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DE">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DF">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 badges</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E0">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1f6feb" w:space="0" w:sz="4" w:val="single"/>
              <w:left w:color="1f6feb" w:space="0" w:sz="4" w:val="single"/>
              <w:bottom w:color="1f6feb" w:space="0" w:sz="4" w:val="single"/>
              <w:right w:color="1f6feb" w:space="0" w:sz="4" w:val="single"/>
            </w:tcBorders>
            <w:shd w:fill="1f6feb" w:val="clear"/>
          </w:tcPr>
          <w:p w:rsidR="00000000" w:rsidDel="00000000" w:rsidP="00000000" w:rsidRDefault="00000000" w:rsidRPr="00000000" w14:paraId="000000E1">
            <w:pPr>
              <w:widowControl w:val="0"/>
              <w:spacing w:after="40" w:before="4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Multiplier range</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E2">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1. Conviction Adding</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E3">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4</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E4">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E5">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+1.10x to +1.25x</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E6">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2. Buying the Dip</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E7">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3</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E8">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E9">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+1.10x to +1.30x</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EA">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3. Buying the Breakout</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EB">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3</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EC">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ED">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+1.10x to +1.20x</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EE">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4. Event-Driven Trades</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EF">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5</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F0">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2P + 3D</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F1">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+1.15x to +1.20x</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F2">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5. Short Conviction</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F3">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5</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F4">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F5">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+1.10x to +1.30x</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F6">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6. Held Through Pain</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F7">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3</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F8">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F9">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+1.15x to +1.30x</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FA">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7. Long-Term Conviction</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FB">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4</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FC">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4f7fb" w:val="clear"/>
          </w:tcPr>
          <w:p w:rsidR="00000000" w:rsidDel="00000000" w:rsidP="00000000" w:rsidRDefault="00000000" w:rsidRPr="00000000" w14:paraId="000000FD">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+1.15x to +1.30x</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FE">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8. Volume + OG</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0FF">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4</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100">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Permanent</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ffffff" w:val="clear"/>
          </w:tcPr>
          <w:p w:rsidR="00000000" w:rsidDel="00000000" w:rsidP="00000000" w:rsidRDefault="00000000" w:rsidRPr="00000000" w14:paraId="00000101">
            <w:pPr>
              <w:widowControl w:val="0"/>
              <w:spacing w:after="20" w:before="20" w:lineRule="auto"/>
              <w:rPr>
                <w:rFonts w:ascii="Calibri" w:cs="Calibri" w:eastAsia="Calibri" w:hAnsi="Calibri"/>
                <w:color w:val="0f172a"/>
                <w:sz w:val="19"/>
                <w:szCs w:val="19"/>
              </w:rPr>
            </w:pPr>
            <w:r w:rsidDel="00000000" w:rsidR="00000000" w:rsidRPr="00000000">
              <w:rPr>
                <w:color w:val="0f172a"/>
                <w:sz w:val="19"/>
                <w:szCs w:val="19"/>
                <w:rtl w:val="0"/>
              </w:rPr>
              <w:t xml:space="preserve">+1.10x to +1.30x</w:t>
            </w:r>
            <w:r w:rsidDel="00000000" w:rsidR="00000000" w:rsidRPr="00000000">
              <w:rPr>
                <w:rtl w:val="0"/>
              </w:rPr>
            </w:r>
          </w:p>
        </w:tc>
      </w:tr>
      <w:tr>
        <w:trPr>
          <w:cantSplit w:val="0"/>
          <w:tblHeader w:val="0"/>
        </w:trPr>
        <w:tc>
          <w:tcPr>
            <w:tcBorders>
              <w:top w:color="e5eaf0" w:space="0" w:sz="4" w:val="single"/>
              <w:left w:color="e5eaf0" w:space="0" w:sz="4" w:val="single"/>
              <w:bottom w:color="e5eaf0" w:space="0" w:sz="4" w:val="single"/>
              <w:right w:color="e5eaf0" w:space="0" w:sz="4" w:val="single"/>
            </w:tcBorders>
            <w:shd w:fill="dce9fa" w:val="clear"/>
          </w:tcPr>
          <w:p w:rsidR="00000000" w:rsidDel="00000000" w:rsidP="00000000" w:rsidRDefault="00000000" w:rsidRPr="00000000" w14:paraId="00000102">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TOTAL</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dce9fa" w:val="clear"/>
          </w:tcPr>
          <w:p w:rsidR="00000000" w:rsidDel="00000000" w:rsidP="00000000" w:rsidRDefault="00000000" w:rsidRPr="00000000" w14:paraId="00000103">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31</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dce9fa" w:val="clear"/>
          </w:tcPr>
          <w:p w:rsidR="00000000" w:rsidDel="00000000" w:rsidP="00000000" w:rsidRDefault="00000000" w:rsidRPr="00000000" w14:paraId="00000104">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28P / 3D</w:t>
            </w:r>
            <w:r w:rsidDel="00000000" w:rsidR="00000000" w:rsidRPr="00000000">
              <w:rPr>
                <w:rtl w:val="0"/>
              </w:rPr>
            </w:r>
          </w:p>
        </w:tc>
        <w:tc>
          <w:tcPr>
            <w:tcBorders>
              <w:top w:color="e5eaf0" w:space="0" w:sz="4" w:val="single"/>
              <w:left w:color="e5eaf0" w:space="0" w:sz="4" w:val="single"/>
              <w:bottom w:color="e5eaf0" w:space="0" w:sz="4" w:val="single"/>
              <w:right w:color="e5eaf0" w:space="0" w:sz="4" w:val="single"/>
            </w:tcBorders>
            <w:shd w:fill="dce9fa" w:val="clear"/>
          </w:tcPr>
          <w:p w:rsidR="00000000" w:rsidDel="00000000" w:rsidP="00000000" w:rsidRDefault="00000000" w:rsidRPr="00000000" w14:paraId="00000105">
            <w:pPr>
              <w:widowControl w:val="0"/>
              <w:spacing w:after="20" w:before="20" w:lineRule="auto"/>
              <w:rPr>
                <w:rFonts w:ascii="Calibri" w:cs="Calibri" w:eastAsia="Calibri" w:hAnsi="Calibri"/>
                <w:b w:val="1"/>
                <w:bCs w:val="1"/>
                <w:color w:val="0f172a"/>
                <w:sz w:val="19"/>
                <w:szCs w:val="19"/>
              </w:rPr>
            </w:pPr>
            <w:r w:rsidDel="00000000" w:rsidR="00000000" w:rsidRPr="00000000">
              <w:rPr>
                <w:b w:val="1"/>
                <w:bCs w:val="1"/>
                <w:color w:val="0f172a"/>
                <w:sz w:val="19"/>
                <w:szCs w:val="19"/>
                <w:rtl w:val="0"/>
              </w:rPr>
              <w:t xml:space="preserve">+1.10x to +1.30x</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120" w:before="280" w:lineRule="auto"/>
        <w:rPr>
          <w:rFonts w:ascii="Calibri" w:cs="Calibri" w:eastAsia="Calibri" w:hAnsi="Calibri"/>
          <w:b w:val="1"/>
          <w:bCs w:val="1"/>
          <w:color w:val="1f6feb"/>
          <w:sz w:val="32"/>
          <w:szCs w:val="32"/>
        </w:rPr>
      </w:pPr>
      <w:r w:rsidDel="00000000" w:rsidR="00000000" w:rsidRPr="00000000">
        <w:rPr>
          <w:b w:val="1"/>
          <w:bCs w:val="1"/>
          <w:color w:val="1f6feb"/>
          <w:sz w:val="32"/>
          <w:szCs w:val="32"/>
          <w:rtl w:val="0"/>
        </w:rPr>
        <w:t xml:space="preserve">Design recommendations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0" w:right="0" w:hanging="360"/>
        <w:jc w:val="left"/>
        <w:rPr>
          <w:b w:val="0"/>
          <w:bCs w:val="0"/>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172a"/>
          <w:sz w:val="22"/>
          <w:szCs w:val="22"/>
          <w:u w:val="none"/>
          <w:shd w:fill="auto" w:val="clear"/>
          <w:vertAlign w:val="baseline"/>
          <w:rtl w:val="0"/>
        </w:rPr>
        <w:t xml:space="preserve">"Held Through Pain" award timing: the badge unlocks the moment unrealized drawdown crosses the threshold (so the trader sees the reward immediately), but it's marked Provisional for 24h. If the position is closed within that 24h window, the badge is revoked and the slot can be re-earned later. This stops people from speed-running pain badges by opening and panic-closing.</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0" w:right="0" w:hanging="360"/>
        <w:jc w:val="left"/>
        <w:rPr>
          <w:b w:val="0"/>
          <w:bCs w:val="0"/>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172a"/>
          <w:sz w:val="22"/>
          <w:szCs w:val="22"/>
          <w:u w:val="none"/>
          <w:shd w:fill="auto" w:val="clear"/>
          <w:vertAlign w:val="baseline"/>
          <w:rtl w:val="0"/>
        </w:rPr>
        <w:t xml:space="preserve">Event windows: Fed Day = the calendar day of the FOMC statement in UTC (single 24-hour window). CPI Bet = the calendar day of CPI release in UTC. Earnings Conviction = position must be opened ≥24h before the earnings call and held until at least one full trading session after the report. News Reactor = position opened within 60 minutes of a flagged headline from a curated feed (we maintain the feed in-house).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0" w:right="0" w:hanging="360"/>
        <w:jc w:val="left"/>
        <w:rPr>
          <w:b w:val="0"/>
          <w:bCs w:val="0"/>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172a"/>
          <w:sz w:val="22"/>
          <w:szCs w:val="22"/>
          <w:u w:val="none"/>
          <w:shd w:fill="auto" w:val="clear"/>
          <w:vertAlign w:val="baseline"/>
          <w:rtl w:val="0"/>
        </w:rPr>
        <w:t xml:space="preserve">Multiplier stacking: ADD, not MULTIPLY. A trader holding Crash Buyer (+0.20x) + Diamond Hands (+0.15x) + Conviction Stack (+0.25x) gets +0.60x → final position multiplier 1.60x. Simpler to explain to users, easier to model financially, and keeps the airdrop economy controllable.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0" w:right="0" w:hanging="360"/>
        <w:jc w:val="left"/>
        <w:rPr>
          <w:b w:val="0"/>
          <w:bCs w:val="0"/>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172a"/>
          <w:sz w:val="22"/>
          <w:szCs w:val="22"/>
          <w:u w:val="none"/>
          <w:shd w:fill="auto" w:val="clear"/>
          <w:vertAlign w:val="baseline"/>
          <w:rtl w:val="0"/>
        </w:rPr>
        <w:t xml:space="preserve">Combined badge multiplier cap: hard ceiling at +2.0x stacked. Mechanic: top 3 highest-value Permanent badges on a position count at full value; every subsequent badge counts at half value; total stops accumulating once the cap is hit. This rewards depth-of-conviction without letting badge-collectors farm unlimited multipliers.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360"/>
        <w:jc w:val="left"/>
        <w:rPr>
          <w:b w:val="0"/>
          <w:bCs w:val="0"/>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172a"/>
          <w:sz w:val="22"/>
          <w:szCs w:val="22"/>
          <w:u w:val="none"/>
          <w:shd w:fill="auto" w:val="clear"/>
          <w:vertAlign w:val="baseline"/>
          <w:rtl w:val="0"/>
        </w:rPr>
        <w:t xml:space="preserve">Hall of Fame tier: yes. Three badges qualify — Iron Hands, Black Swan Buyer, The Believer. These bypass the +2.0x cap (count outside the stack) and carry an additional +0.10x premium on top of their listed values. They're designed to be earned by less than 1% of traders ever, so the airdrop impact stays small while the status signal stays huge.</w:t>
      </w:r>
    </w:p>
    <w:sectPr>
      <w:pgSz w:h="15840" w:w="12240" w:orient="portrait"/>
      <w:pgMar w:bottom="1134" w:top="1134" w:left="1247" w:right="124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0.0" w:type="dxa"/>
        <w:bottom w:w="0.0" w:type="dxa"/>
        <w:right w:w="108.0" w:type="dxa"/>
      </w:tblCellMar>
    </w:tblPr>
  </w:style>
  <w:style w:type="table" w:styleId="Table2">
    <w:basedOn w:val="TableNormal"/>
    <w:tblPr>
      <w:tblStyleRowBandSize w:val="1"/>
      <w:tblStyleColBandSize w:val="1"/>
      <w:tblCellMar>
        <w:top w:w="0.0" w:type="dxa"/>
        <w:left w:w="103.0" w:type="dxa"/>
        <w:bottom w:w="0.0" w:type="dxa"/>
        <w:right w:w="108.0" w:type="dxa"/>
      </w:tblCellMar>
    </w:tblPr>
  </w:style>
  <w:style w:type="table" w:styleId="Table3">
    <w:basedOn w:val="TableNormal"/>
    <w:tblPr>
      <w:tblStyleRowBandSize w:val="1"/>
      <w:tblStyleColBandSize w:val="1"/>
      <w:tblCellMar>
        <w:top w:w="0.0" w:type="dxa"/>
        <w:left w:w="103.0" w:type="dxa"/>
        <w:bottom w:w="0.0" w:type="dxa"/>
        <w:right w:w="108.0" w:type="dxa"/>
      </w:tblCellMar>
    </w:tblPr>
  </w:style>
  <w:style w:type="table" w:styleId="Table4">
    <w:basedOn w:val="TableNormal"/>
    <w:tblPr>
      <w:tblStyleRowBandSize w:val="1"/>
      <w:tblStyleColBandSize w:val="1"/>
      <w:tblCellMar>
        <w:top w:w="0.0" w:type="dxa"/>
        <w:left w:w="103.0" w:type="dxa"/>
        <w:bottom w:w="0.0" w:type="dxa"/>
        <w:right w:w="108.0" w:type="dxa"/>
      </w:tblCellMar>
    </w:tblPr>
  </w:style>
  <w:style w:type="table" w:styleId="Table5">
    <w:basedOn w:val="TableNormal"/>
    <w:tblPr>
      <w:tblStyleRowBandSize w:val="1"/>
      <w:tblStyleColBandSize w:val="1"/>
      <w:tblCellMar>
        <w:top w:w="0.0" w:type="dxa"/>
        <w:left w:w="103.0" w:type="dxa"/>
        <w:bottom w:w="0.0" w:type="dxa"/>
        <w:right w:w="108.0" w:type="dxa"/>
      </w:tblCellMar>
    </w:tblPr>
  </w:style>
  <w:style w:type="table" w:styleId="Table6">
    <w:basedOn w:val="TableNormal"/>
    <w:tblPr>
      <w:tblStyleRowBandSize w:val="1"/>
      <w:tblStyleColBandSize w:val="1"/>
      <w:tblCellMar>
        <w:top w:w="0.0" w:type="dxa"/>
        <w:left w:w="103.0" w:type="dxa"/>
        <w:bottom w:w="0.0" w:type="dxa"/>
        <w:right w:w="108.0" w:type="dxa"/>
      </w:tblCellMar>
    </w:tblPr>
  </w:style>
  <w:style w:type="table" w:styleId="Table7">
    <w:basedOn w:val="TableNormal"/>
    <w:tblPr>
      <w:tblStyleRowBandSize w:val="1"/>
      <w:tblStyleColBandSize w:val="1"/>
      <w:tblCellMar>
        <w:top w:w="0.0" w:type="dxa"/>
        <w:left w:w="103.0" w:type="dxa"/>
        <w:bottom w:w="0.0" w:type="dxa"/>
        <w:right w:w="108.0" w:type="dxa"/>
      </w:tblCellMar>
    </w:tblPr>
  </w:style>
  <w:style w:type="table" w:styleId="Table8">
    <w:basedOn w:val="TableNormal"/>
    <w:tblPr>
      <w:tblStyleRowBandSize w:val="1"/>
      <w:tblStyleColBandSize w:val="1"/>
      <w:tblCellMar>
        <w:top w:w="0.0" w:type="dxa"/>
        <w:left w:w="103.0" w:type="dxa"/>
        <w:bottom w:w="0.0" w:type="dxa"/>
        <w:right w:w="108.0" w:type="dxa"/>
      </w:tblCellMar>
    </w:tblPr>
  </w:style>
  <w:style w:type="table" w:styleId="Table9">
    <w:basedOn w:val="TableNormal"/>
    <w:tblPr>
      <w:tblStyleRowBandSize w:val="1"/>
      <w:tblStyleColBandSize w:val="1"/>
      <w:tblCellMar>
        <w:top w:w="0.0" w:type="dxa"/>
        <w:left w:w="103.0" w:type="dxa"/>
        <w:bottom w:w="0.0" w:type="dxa"/>
        <w:right w:w="108.0" w:type="dxa"/>
      </w:tblCellMar>
    </w:tblPr>
  </w:style>
  <w:style w:type="table" w:styleId="Table10">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ies>
</file>