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5B6472"/>
          <w:sz w:val="30"/>
        </w:rPr>
        <w:t>SAN DISK / ATMOS</w:t>
      </w:r>
    </w:p>
    <w:p>
      <w:pPr>
        <w:jc w:val="center"/>
      </w:pPr>
      <w:r>
        <w:rPr>
          <w:rFonts w:ascii="Aptos Display" w:hAnsi="Aptos Display"/>
          <w:b/>
          <w:color w:val="E31837"/>
          <w:sz w:val="68"/>
        </w:rPr>
        <w:t>ATMOS AI Appliance Platform</w:t>
      </w:r>
    </w:p>
    <w:p>
      <w:pPr>
        <w:jc w:val="center"/>
      </w:pPr>
      <w:r>
        <w:rPr>
          <w:color w:val="1F2430"/>
          <w:sz w:val="36"/>
        </w:rPr>
        <w:t>Turnkey Infrastructure, Intelligence Services and Enterprise Lifecycle</w:t>
      </w:r>
    </w:p>
    <w:p>
      <w:pPr>
        <w:spacing w:before="360"/>
        <w:jc w:val="center"/>
      </w:pPr>
      <w:r>
        <w:rPr>
          <w:i/>
          <w:color w:val="5B6472"/>
          <w:sz w:val="24"/>
        </w:rPr>
        <w:t>Product Proposal and Requirements Document, Version 5</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PRODUCT BOUNDARY  </w:t>
            </w:r>
            <w:r>
              <w:rPr>
                <w:color w:val="1F2430"/>
                <w:sz w:val="20"/>
              </w:rPr>
              <w:t>Sandisk will productize ATMOS as a supported AI appliance and inference-service platform. Customers, ISVs and systems integrators will build customer-specific business applications on the platform.</w:t>
            </w:r>
          </w:p>
        </w:tc>
      </w:tr>
    </w:tbl>
    <w:p>
      <w:pPr>
        <w:spacing w:after="0"/>
      </w:pPr>
    </w:p>
    <w:p>
      <w:pPr>
        <w:spacing w:before="700"/>
        <w:jc w:val="center"/>
      </w:pPr>
      <w:r>
        <w:rPr>
          <w:color w:val="5B6472"/>
        </w:rPr>
        <w:t>9 October 2026  |  Management discussion draft</w:t>
      </w:r>
    </w:p>
    <w:p>
      <w:r>
        <w:br w:type="page"/>
      </w:r>
    </w:p>
    <w:p>
      <w:pPr>
        <w:pStyle w:val="Heading1"/>
        <w:keepNext/>
      </w:pPr>
      <w:r>
        <w:t>Executive decision</w:t>
      </w:r>
    </w:p>
    <w:p>
      <w:r>
        <w:t>Sandisk proposes an OEM-built, Sandisk-branded ATMOS AI Appliance in 8-device and 16-device configurations. The appliance combines ATMOS E3.S devices, a qualified operating image and runtime, enterprise management, deployable Intelligence Services, reference blueprints, model and index lifecycle, and one support route.</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DECISION REQUESTED  </w:t>
            </w:r>
            <w:r>
              <w:rPr>
                <w:color w:val="1F2430"/>
                <w:sz w:val="20"/>
              </w:rPr>
              <w:t>Approve definition and evidence work for the 8-device and 16-device platform. Do not approve customer-specific vertical applications, E24 productization, universal model compatibility, dense-decode leadership or launch pricing until measured proof exists.</w:t>
            </w:r>
          </w:p>
        </w:tc>
      </w:tr>
    </w:tbl>
    <w:p>
      <w:pPr>
        <w:spacing w:after="0"/>
      </w:pPr>
    </w:p>
    <w:p>
      <w:pPr>
        <w:pStyle w:val="Heading2"/>
        <w:keepNext/>
      </w:pPr>
      <w:r>
        <w:t>Product thesis</w:t>
      </w:r>
    </w:p>
    <w:tbl>
      <w:tblPr>
        <w:tblW w:type="auto" w:w="0"/>
        <w:tblLook w:firstColumn="1" w:firstRow="1" w:lastColumn="0" w:lastRow="0" w:noHBand="0" w:noVBand="1" w:val="04A0"/>
      </w:tblPr>
      <w:tblGrid>
        <w:gridCol w:w="10052"/>
      </w:tblGrid>
      <w:tr>
        <w:tc>
          <w:tcPr>
            <w:tcW w:type="dxa" w:w="10052"/>
            <w:shd w:fill="EEF5FA"/>
            <w:tcMar>
              <w:top w:w="140" w:type="dxa"/>
              <w:start w:w="160" w:type="dxa"/>
              <w:bottom w:w="140" w:type="dxa"/>
              <w:end w:w="160" w:type="dxa"/>
            </w:tcMar>
            <w:tcBorders>
              <w:top w:val="single" w:sz="8" w:color="245B8A"/>
              <w:left w:val="single" w:sz="8" w:color="245B8A"/>
              <w:bottom w:val="single" w:sz="8" w:color="245B8A"/>
              <w:right w:val="single" w:sz="8" w:color="245B8A"/>
              <w:insideH w:val="single" w:sz="8" w:color="245B8A"/>
              <w:insideV w:val="single" w:sz="8" w:color="245B8A"/>
            </w:tcBorders>
          </w:tcPr>
          <w:p>
            <w:r>
              <w:rPr>
                <w:b/>
                <w:color w:val="245B8A"/>
                <w:sz w:val="20"/>
              </w:rPr>
              <w:t xml:space="preserve">THESIS  </w:t>
            </w:r>
            <w:r>
              <w:rPr>
                <w:color w:val="1F2430"/>
                <w:sz w:val="20"/>
              </w:rPr>
              <w:t>ATMOS can create differentiated value where large reusable neural representations remain persistently resident near bounded compute, but the first product must make that capability consumable through supported APIs and enterprise operations rather than through custom vertical software.</w:t>
            </w:r>
          </w:p>
        </w:tc>
      </w:tr>
    </w:tbl>
    <w:p>
      <w:pPr>
        <w:spacing w:after="0"/>
      </w:pPr>
    </w:p>
    <w:p>
      <w:pPr>
        <w:pStyle w:val="Heading2"/>
        <w:keepNext/>
      </w:pPr>
      <w:r>
        <w:t>Launch principles</w:t>
      </w:r>
    </w:p>
    <w:p>
      <w:pPr>
        <w:pStyle w:val="ListBullet"/>
        <w:spacing w:after="40"/>
      </w:pPr>
      <w:r>
        <w:rPr>
          <w:sz w:val="20"/>
        </w:rPr>
        <w:t>Lead with services customers and partners can embed: embedding, retrieval, reranking and qualified model serving.</w:t>
      </w:r>
    </w:p>
    <w:p>
      <w:pPr>
        <w:pStyle w:val="ListBullet"/>
        <w:spacing w:after="40"/>
      </w:pPr>
      <w:r>
        <w:rPr>
          <w:sz w:val="20"/>
        </w:rPr>
        <w:t>Use one appliance image, one service catalog, one compatibility matrix and one lifecycle.</w:t>
      </w:r>
    </w:p>
    <w:p>
      <w:pPr>
        <w:pStyle w:val="ListBullet"/>
        <w:spacing w:after="40"/>
      </w:pPr>
      <w:r>
        <w:rPr>
          <w:sz w:val="20"/>
        </w:rPr>
        <w:t>Preserve open interfaces and standard infrastructure components where Sandisk has no differentiated value.</w:t>
      </w:r>
    </w:p>
    <w:p>
      <w:pPr>
        <w:pStyle w:val="ListBullet"/>
        <w:spacing w:after="40"/>
      </w:pPr>
      <w:r>
        <w:rPr>
          <w:sz w:val="20"/>
        </w:rPr>
        <w:t>Publish measured performance envelopes by model, service, hardware profile and software generation.</w:t>
      </w:r>
    </w:p>
    <w:p>
      <w:pPr>
        <w:pStyle w:val="ListBullet"/>
        <w:spacing w:after="40"/>
      </w:pPr>
      <w:r>
        <w:rPr>
          <w:sz w:val="20"/>
        </w:rPr>
        <w:t>Treat reference blueprints as deployable demonstrations, not customer-specific production applications.</w:t>
      </w:r>
    </w:p>
    <w:p>
      <w:r>
        <w:br w:type="page"/>
      </w:r>
    </w:p>
    <w:p>
      <w:pPr>
        <w:pStyle w:val="Heading1"/>
        <w:keepNext/>
      </w:pPr>
      <w:r>
        <w:t>1. Customer need and product model</w:t>
      </w:r>
    </w:p>
    <w:p>
      <w:r>
        <w:t>Enterprise AI teams need more than accelerator hardware. A usable private-AI platform must arrive with a qualified system image, deployable model services, identity and operational controls, controlled updates, diagnostics, and enterprise support. Without that integration, customers must assemble and validate multiple hardware and software layers before an application can enter production.</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CUSTOMER PROBLEM  </w:t>
            </w:r>
            <w:r>
              <w:rPr>
                <w:color w:val="1F2430"/>
                <w:sz w:val="20"/>
              </w:rPr>
              <w:t>Deploying private AI remains an integration and operations problem: hardware, drivers, runtimes, models, APIs, security, monitoring, lifecycle and support must work as one system.</w:t>
            </w:r>
          </w:p>
        </w:tc>
      </w:tr>
    </w:tbl>
    <w:p>
      <w:pPr>
        <w:spacing w:after="0"/>
      </w:pPr>
    </w:p>
    <w:p>
      <w:pPr>
        <w:pStyle w:val="Heading2"/>
        <w:keepNext/>
      </w:pPr>
      <w:r>
        <w:t>1.1 Proposed product model</w:t>
      </w:r>
    </w:p>
    <w:tbl>
      <w:tblPr>
        <w:tblW w:type="auto" w:w="0"/>
        <w:jc w:val="center"/>
        <w:tblLayout w:type="fixed"/>
        <w:tblLook w:firstColumn="1" w:firstRow="1" w:lastColumn="0" w:lastRow="0" w:noHBand="0" w:noVBand="1" w:val="04A0"/>
      </w:tblPr>
      <w:tblGrid>
        <w:gridCol w:w="1944"/>
        <w:gridCol w:w="4824"/>
        <w:gridCol w:w="345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Product layer</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What the customer receives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Primary value</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Qualified appliance</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OEM system, ATMOS E3.S devices, validated topology, firmware, thermals and recovery image</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Reduces hardware integration and qualification risk.</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Operable platform</w:t>
            </w:r>
          </w:p>
        </w:tc>
        <w:tc>
          <w:tcPr>
            <w:tcW w:type="dxa" w:w="48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ATMOS AI OS, Device Service, Control Center, identity, telemetry and support bundle</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Creates a manageable enterprise service rather than a collection of components.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Intelligence Services</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retrieval, reranking and qualified model-serving APIs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Lets applications consume ATMOS through stable service interfaces.</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Reference blueprints</w:t>
            </w:r>
          </w:p>
        </w:tc>
        <w:tc>
          <w:tcPr>
            <w:tcW w:type="dxa" w:w="48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Private Knowledge and Neural Search examples, deployment automation and evaluation templates</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Accelerates adoption without making Sandisk the owner of each business application.</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Enterprise lifecycle</w:t>
            </w:r>
          </w:p>
        </w:tc>
        <w:tc>
          <w:tcPr>
            <w:tcW w:type="dxa" w:w="48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Signed ModelPacks, compatibility manifests, updates, canary, rollback, LTS and offline channels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Makes production change controlled and supportable.</w:t>
            </w:r>
          </w:p>
        </w:tc>
      </w:tr>
    </w:tbl>
    <w:p>
      <w:pPr>
        <w:spacing w:after="0"/>
      </w:pPr>
    </w:p>
    <w:p>
      <w:pPr>
        <w:pStyle w:val="Heading2"/>
        <w:keepNext/>
      </w:pPr>
      <w:r>
        <w:t>1.2 Why this model fits Sandisk</w:t>
      </w:r>
    </w:p>
    <w:p>
      <w:pPr>
        <w:pStyle w:val="ListBullet"/>
        <w:spacing w:after="40"/>
      </w:pPr>
      <w:r>
        <w:rPr>
          <w:sz w:val="20"/>
        </w:rPr>
        <w:t>Builds on Sandisk strengths in devices, data placement, persistent capacity, firmware, lifecycle, qualification and enterprise supply.</w:t>
      </w:r>
    </w:p>
    <w:p>
      <w:pPr>
        <w:pStyle w:val="ListBullet"/>
        <w:spacing w:after="40"/>
      </w:pPr>
      <w:r>
        <w:rPr>
          <w:sz w:val="20"/>
        </w:rPr>
        <w:t>Creates reusable software and services that can support many applications without duplicating vertical development.</w:t>
      </w:r>
    </w:p>
    <w:p>
      <w:pPr>
        <w:pStyle w:val="ListBullet"/>
        <w:spacing w:after="40"/>
      </w:pPr>
      <w:r>
        <w:rPr>
          <w:sz w:val="20"/>
        </w:rPr>
        <w:t>Provides clear interfaces for OEMs, ISVs, systems integrators and customer platform teams.</w:t>
      </w:r>
    </w:p>
    <w:p>
      <w:pPr>
        <w:pStyle w:val="ListBullet"/>
        <w:spacing w:after="40"/>
      </w:pPr>
      <w:r>
        <w:rPr>
          <w:sz w:val="20"/>
        </w:rPr>
        <w:t>Keeps performance and support claims within layers Sandisk can measure and control.</w:t>
      </w:r>
    </w:p>
    <w:p>
      <w:pPr>
        <w:pStyle w:val="ListBullet"/>
        <w:spacing w:after="40"/>
      </w:pPr>
      <w:r>
        <w:rPr>
          <w:sz w:val="20"/>
        </w:rPr>
        <w:t>Allows customer value to be quantified at the service boundary using quality, latency, throughput, reliability and complete fleet cost.</w:t>
      </w:r>
    </w:p>
    <w:p>
      <w:pPr>
        <w:pStyle w:val="Heading2"/>
        <w:keepNext/>
      </w:pPr>
      <w:r>
        <w:t>1.3 Definition of turnkey</w:t>
      </w:r>
    </w:p>
    <w:p>
      <w:r>
        <w:t>Turnkey means the customer can rack and cable the appliance, configure networking and identity, select a supported service and certified ModelPack, run built-in qualification, publish an endpoint, monitor it, update it safely, recover it, and open one support case without assembling the hardware and software stack.</w:t>
      </w:r>
    </w:p>
    <w:p>
      <w:pPr>
        <w:pStyle w:val="Heading2"/>
        <w:keepNext/>
      </w:pPr>
      <w:r>
        <w:t>1.4 Product boundary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Included in the product</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Enabled through ecosystem</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Appliance, AI OS, runtime, management, supported services, ModelPacks, lifecycle and support</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connectors, custom application UX, vertical workflows, domain prompts, regulated validation and business-process integration</w:t>
            </w:r>
          </w:p>
        </w:tc>
      </w:tr>
    </w:tbl>
    <w:p>
      <w:pPr>
        <w:spacing w:after="0"/>
      </w:pPr>
    </w:p>
    <w:p>
      <w:r>
        <w:br w:type="page"/>
      </w:r>
    </w:p>
    <w:p>
      <w:pPr>
        <w:pStyle w:val="Heading1"/>
        <w:keepNext/>
      </w:pPr>
      <w:r>
        <w:t>2. Product boundary and ownership</w:t>
      </w:r>
    </w:p>
    <w:tbl>
      <w:tblPr>
        <w:tblW w:type="auto" w:w="0"/>
        <w:jc w:val="center"/>
        <w:tblLayout w:type="fixed"/>
        <w:tblLook w:firstColumn="1" w:firstRow="1" w:lastColumn="0" w:lastRow="0" w:noHBand="0" w:noVBand="1" w:val="04A0"/>
      </w:tblPr>
      <w:tblGrid>
        <w:gridCol w:w="3528"/>
        <w:gridCol w:w="3096"/>
        <w:gridCol w:w="367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owns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reuses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Partners / customers own</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device, firmware, driver and NPU runtime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Linux, container runtime, Kubernetes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Vertical application and business workflow</w:t>
            </w:r>
          </w:p>
        </w:tc>
      </w:tr>
      <w:tr>
        <w:tc>
          <w:tcPr>
            <w:tcW w:type="dxa" w:w="35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HBF placement, queueing, P2P behavior and diagnostics</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Gateway, observability and standard identity protocols</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Production data connectors and cleansing</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AI OS image, Control Center and update service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Supported vector databases and object stores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Domain prompts, approval rules and specialized UI</w:t>
            </w:r>
          </w:p>
        </w:tc>
      </w:tr>
      <w:tr>
        <w:tc>
          <w:tcPr>
            <w:tcW w:type="dxa" w:w="35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ModelPack format and certified service containers</w:t>
            </w:r>
          </w:p>
        </w:tc>
        <w:tc>
          <w:tcPr>
            <w:tcW w:type="dxa" w:w="30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Third-party parsers/OCR under certification</w:t>
            </w:r>
          </w:p>
        </w:tc>
        <w:tc>
          <w:tcPr>
            <w:tcW w:type="dxa" w:w="367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 training, fine-tuning and regulated validation</w:t>
            </w:r>
          </w:p>
        </w:tc>
      </w:tr>
      <w:tr>
        <w:tc>
          <w:tcPr>
            <w:tcW w:type="dxa" w:w="35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Compatibility, performance profiles and one support route</w:t>
            </w:r>
          </w:p>
        </w:tc>
        <w:tc>
          <w:tcPr>
            <w:tcW w:type="dxa" w:w="30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Open APIs and standard SDK conventions</w:t>
            </w:r>
          </w:p>
        </w:tc>
        <w:tc>
          <w:tcPr>
            <w:tcW w:type="dxa" w:w="367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Business outcome, acceptance policy and change management</w:t>
            </w:r>
          </w:p>
        </w:tc>
      </w:tr>
    </w:tbl>
    <w:p>
      <w:pPr>
        <w:spacing w:after="0"/>
      </w:pPr>
    </w:p>
    <w:p>
      <w:pPr>
        <w:pStyle w:val="Heading2"/>
        <w:keepNext/>
      </w:pPr>
      <w:r>
        <w:t>2.1 Release-one scope</w:t>
      </w:r>
    </w:p>
    <w:p>
      <w:pPr>
        <w:pStyle w:val="ListBullet"/>
        <w:spacing w:after="40"/>
      </w:pPr>
      <w:r>
        <w:rPr>
          <w:sz w:val="20"/>
        </w:rPr>
        <w:t>Appliance 8 and Appliance 16.</w:t>
      </w:r>
    </w:p>
    <w:p>
      <w:pPr>
        <w:pStyle w:val="ListBullet"/>
        <w:spacing w:after="40"/>
      </w:pPr>
      <w:r>
        <w:rPr>
          <w:sz w:val="20"/>
        </w:rPr>
        <w:t>ATMOS AI OS and Device Service.</w:t>
      </w:r>
    </w:p>
    <w:p>
      <w:pPr>
        <w:pStyle w:val="ListBullet"/>
        <w:spacing w:after="40"/>
      </w:pPr>
      <w:r>
        <w:rPr>
          <w:sz w:val="20"/>
        </w:rPr>
        <w:t>ATMOS Control Center.</w:t>
      </w:r>
    </w:p>
    <w:p>
      <w:pPr>
        <w:pStyle w:val="ListBullet"/>
        <w:spacing w:after="40"/>
      </w:pPr>
      <w:r>
        <w:rPr>
          <w:sz w:val="20"/>
        </w:rPr>
        <w:t>Embedding, Retrieval and Reranking Services.</w:t>
      </w:r>
    </w:p>
    <w:p>
      <w:pPr>
        <w:pStyle w:val="ListBullet"/>
        <w:spacing w:after="40"/>
      </w:pPr>
      <w:r>
        <w:rPr>
          <w:sz w:val="20"/>
        </w:rPr>
        <w:t>Qualified Model Serving for a bounded catalog.</w:t>
      </w:r>
    </w:p>
    <w:p>
      <w:pPr>
        <w:pStyle w:val="ListBullet"/>
        <w:spacing w:after="40"/>
      </w:pPr>
      <w:r>
        <w:rPr>
          <w:sz w:val="20"/>
        </w:rPr>
        <w:t>Private Knowledge Blueprint.</w:t>
      </w:r>
    </w:p>
    <w:p>
      <w:pPr>
        <w:pStyle w:val="ListBullet"/>
        <w:spacing w:after="40"/>
      </w:pPr>
      <w:r>
        <w:rPr>
          <w:sz w:val="20"/>
        </w:rPr>
        <w:t>Neural Search and Reranking Blueprint.</w:t>
      </w:r>
    </w:p>
    <w:p>
      <w:pPr>
        <w:pStyle w:val="ListBullet"/>
        <w:spacing w:after="40"/>
      </w:pPr>
      <w:r>
        <w:rPr>
          <w:sz w:val="20"/>
        </w:rPr>
        <w:t>Developer SDK, APIs, service manifests, telemetry and enterprise support.</w:t>
      </w:r>
    </w:p>
    <w:p>
      <w:pPr>
        <w:pStyle w:val="Heading2"/>
        <w:keepNext/>
      </w:pPr>
      <w:r>
        <w:t>2.2 Explicit non-goals</w:t>
      </w:r>
    </w:p>
    <w:p>
      <w:pPr>
        <w:pStyle w:val="ListBullet"/>
        <w:spacing w:after="40"/>
      </w:pPr>
      <w:r>
        <w:rPr>
          <w:sz w:val="20"/>
        </w:rPr>
        <w:t>Training and large-scale fine-tuning.</w:t>
      </w:r>
    </w:p>
    <w:p>
      <w:pPr>
        <w:pStyle w:val="ListBullet"/>
        <w:spacing w:after="40"/>
      </w:pPr>
      <w:r>
        <w:rPr>
          <w:sz w:val="20"/>
        </w:rPr>
        <w:t>Universal GPU replacement or CUDA compatibility.</w:t>
      </w:r>
    </w:p>
    <w:p>
      <w:pPr>
        <w:pStyle w:val="ListBullet"/>
        <w:spacing w:after="40"/>
      </w:pPr>
      <w:r>
        <w:rPr>
          <w:sz w:val="20"/>
        </w:rPr>
        <w:t>Full vertical applications for claims, contracts, hospitals, utilities or factories.</w:t>
      </w:r>
    </w:p>
    <w:p>
      <w:pPr>
        <w:pStyle w:val="ListBullet"/>
        <w:spacing w:after="40"/>
      </w:pPr>
      <w:r>
        <w:rPr>
          <w:sz w:val="20"/>
        </w:rPr>
        <w:t>Live vision, robotics, simulation or functional safety.</w:t>
      </w:r>
    </w:p>
    <w:p>
      <w:pPr>
        <w:pStyle w:val="ListBullet"/>
        <w:spacing w:after="40"/>
      </w:pPr>
      <w:r>
        <w:rPr>
          <w:sz w:val="20"/>
        </w:rPr>
        <w:t>Fine-grained GPU/ATMOS MoE offload as a launch dependency.</w:t>
      </w:r>
    </w:p>
    <w:p>
      <w:pPr>
        <w:pStyle w:val="ListBullet"/>
        <w:spacing w:after="40"/>
      </w:pPr>
      <w:r>
        <w:rPr>
          <w:sz w:val="20"/>
        </w:rPr>
        <w:t>24-device production SKU before 16-device qualification.</w:t>
      </w:r>
    </w:p>
    <w:p>
      <w:r>
        <w:br w:type="page"/>
      </w:r>
    </w:p>
    <w:p>
      <w:pPr>
        <w:pStyle w:val="Heading1"/>
        <w:keepNext/>
      </w:pPr>
      <w:r>
        <w:t>3. Initial product offering</w:t>
      </w:r>
    </w:p>
    <w:tbl>
      <w:tblPr>
        <w:tblW w:type="auto" w:w="0"/>
        <w:jc w:val="center"/>
        <w:tblLayout w:type="fixed"/>
        <w:tblLook w:firstColumn="1" w:firstRow="1" w:lastColumn="0" w:lastRow="0" w:noHBand="0" w:noVBand="1" w:val="04A0"/>
      </w:tblPr>
      <w:tblGrid>
        <w:gridCol w:w="2232"/>
        <w:gridCol w:w="3960"/>
        <w:gridCol w:w="3960"/>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Requirement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ATMOS AI Appliance 8</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ATMOS AI Appliance 16</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Role</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Departmental, edge, developer and initial production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shared inference and neural-data services</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devices</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16</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P2P domains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four-device groups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 × four-device groups</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Nominal distributed HBF</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1.024 TB planning value</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2.048 TB planning value</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Application study allocation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Approximately 800 GB</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Approximately 1.6 TB</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Host</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Dual-socket or topology-equivalent enterprise server</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Dual-socket enterprise server with balanced roots</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Host DRAM</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256–512 GB ECC</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512 GB–1 TB ECC</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Conventional NVMe</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4–8 TB usable for system, cache and local artifacts</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8–16 TB usable, plus external object-store integration</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Network</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100 GbE target</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 × 200 GbE or equivalent target</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Availability</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Single-node plus backup; production uses a complete replica</w:t>
            </w:r>
          </w:p>
        </w:tc>
        <w:tc>
          <w:tcPr>
            <w:tcW w:type="dxa" w:w="39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Two complete serving groups or customer cluster policy</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Primary services</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reranking, bounded generation</w:t>
            </w:r>
          </w:p>
        </w:tc>
        <w:tc>
          <w:tcPr>
            <w:tcW w:type="dxa" w:w="39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Multi-service, large collections, replicas and multiple generations</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TERMINOLOGY  </w:t>
            </w:r>
            <w:r>
              <w:rPr>
                <w:color w:val="1F2430"/>
                <w:sz w:val="20"/>
              </w:rPr>
              <w:t>HBF capacity is distributed across devices. Aggregate capacity and local-read rates are not a coherent memory pool, not host-transfer bandwidth and not guaranteed application throughput.</w:t>
            </w:r>
          </w:p>
        </w:tc>
      </w:tr>
    </w:tbl>
    <w:p>
      <w:pPr>
        <w:spacing w:after="0"/>
      </w:pPr>
    </w:p>
    <w:p>
      <w:pPr>
        <w:pStyle w:val="Heading2"/>
        <w:keepNext/>
      </w:pPr>
      <w:r>
        <w:t>3.1 Roadmap derivatives</w:t>
      </w:r>
    </w:p>
    <w:tbl>
      <w:tblPr>
        <w:tblW w:type="auto" w:w="0"/>
        <w:jc w:val="center"/>
        <w:tblLayout w:type="fixed"/>
        <w:tblLook w:firstColumn="1" w:firstRow="1" w:lastColumn="0" w:lastRow="0" w:noHBand="0" w:noVBand="1" w:val="04A0"/>
      </w:tblPr>
      <w:tblGrid>
        <w:gridCol w:w="3024"/>
        <w:gridCol w:w="1728"/>
        <w:gridCol w:w="5400"/>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Derivative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Status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Gate</w:t>
            </w:r>
          </w:p>
        </w:tc>
      </w:tr>
      <w:tr>
        <w:tc>
          <w:tcPr>
            <w:tcW w:type="dxa" w:w="30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4-device developer / edge appliance</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Roadmap</w:t>
            </w:r>
          </w:p>
        </w:tc>
        <w:tc>
          <w:tcPr>
            <w:tcW w:type="dxa" w:w="54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Thermal, acoustic, service and demand evidence.</w:t>
            </w:r>
          </w:p>
        </w:tc>
      </w:tr>
      <w:tr>
        <w:tc>
          <w:tcPr>
            <w:tcW w:type="dxa" w:w="30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24-device capacity appliance</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Gated roadmap</w:t>
            </w:r>
          </w:p>
        </w:tc>
        <w:tc>
          <w:tcPr>
            <w:tcW w:type="dxa" w:w="54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E16 scaling proof, OEM cooling, topology, fault domain and customer need.</w:t>
            </w:r>
          </w:p>
        </w:tc>
      </w:tr>
      <w:tr>
        <w:tc>
          <w:tcPr>
            <w:tcW w:type="dxa" w:w="30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ATMOS sidecar beside GPU service</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Future integration</w:t>
            </w:r>
          </w:p>
        </w:tc>
        <w:tc>
          <w:tcPr>
            <w:tcW w:type="dxa" w:w="54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Request-level service boundary or proven supported transport.</w:t>
            </w:r>
          </w:p>
        </w:tc>
      </w:tr>
      <w:tr>
        <w:tc>
          <w:tcPr>
            <w:tcW w:type="dxa" w:w="30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Hybrid MoE expert tier</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Research</w:t>
            </w:r>
          </w:p>
        </w:tc>
        <w:tc>
          <w:tcPr>
            <w:tcW w:type="dxa" w:w="54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Per-layer latency, vLLM integration, peer DMA and economics.</w:t>
            </w:r>
          </w:p>
        </w:tc>
      </w:tr>
    </w:tbl>
    <w:p>
      <w:pPr>
        <w:spacing w:after="0"/>
      </w:pPr>
    </w:p>
    <w:p>
      <w:r>
        <w:br w:type="page"/>
      </w:r>
    </w:p>
    <w:p>
      <w:pPr>
        <w:pStyle w:val="Heading1"/>
        <w:keepNext/>
      </w:pPr>
      <w:r>
        <w:t>4. Customer out-of-box experience</w:t>
      </w:r>
    </w:p>
    <w:tbl>
      <w:tblPr>
        <w:tblW w:type="auto" w:w="0"/>
        <w:jc w:val="center"/>
        <w:tblLayout w:type="fixed"/>
        <w:tblLook w:firstColumn="1" w:firstRow="1" w:lastColumn="0" w:lastRow="0" w:noHBand="0" w:noVBand="1" w:val="04A0"/>
      </w:tblPr>
      <w:tblGrid>
        <w:gridCol w:w="1440"/>
        <w:gridCol w:w="3888"/>
        <w:gridCol w:w="489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Stage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Customer action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Platform behavior / acceptance</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Unbox and rack</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Connect power, management and service network.</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BMC, inventory, secure boot and factory health are available.</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Initialize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Open Control Center and run setup wizard.</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Network, time, certificates, admin identity and support entitlement are configured.</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Join enterprise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Connect OIDC/LDAP, DNS, storage and optional Kubernetes.</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Identity, projects, tenant boundaries and service network are validated.</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Select service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Choose Embedding, Retrieval, Reranking or Model Serving.</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Control Center displays compatible ModelPacks and resource requirements.</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Deploy</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Choose model/profile and publish service.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Preflight, capacity check, warmup, golden test and health check run automatically.</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Validate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Run sample workload or customer acceptance suite.</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Latency, throughput, quality and errors are compared with the selected service profile.</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Operate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Issue API keys, set quotas and monitor usage.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Metrics, logs, traces, capacity, queueing and alerts are available.</w:t>
            </w:r>
          </w:p>
        </w:tc>
      </w:tr>
      <w:tr>
        <w:tc>
          <w:tcPr>
            <w:tcW w:type="dxa" w:w="14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Update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Stage signed platform, model or index package.</w:t>
            </w:r>
          </w:p>
        </w:tc>
        <w:tc>
          <w:tcPr>
            <w:tcW w:type="dxa" w:w="489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Canary, validation, atomic promotion and rollback are controlled.</w:t>
            </w:r>
          </w:p>
        </w:tc>
      </w:tr>
      <w:tr>
        <w:tc>
          <w:tcPr>
            <w:tcW w:type="dxa" w:w="14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Support</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Generate support bundle and open case.</w:t>
            </w:r>
          </w:p>
        </w:tc>
        <w:tc>
          <w:tcPr>
            <w:tcW w:type="dxa" w:w="489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Sandisk triages device, runtime, service and OEM evidence through one route.</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EXPERIENCE TARGET  </w:t>
            </w:r>
            <w:r>
              <w:rPr>
                <w:color w:val="1F2430"/>
                <w:sz w:val="20"/>
              </w:rPr>
              <w:t>A supported API should be available on the same business day after site readiness, excluding large model download, corpus ingestion and customer acceptance testing.</w:t>
            </w:r>
          </w:p>
        </w:tc>
      </w:tr>
    </w:tbl>
    <w:p>
      <w:pPr>
        <w:spacing w:after="0"/>
      </w:pPr>
    </w:p>
    <w:p>
      <w:pPr>
        <w:pStyle w:val="Heading2"/>
        <w:keepNext/>
      </w:pPr>
      <w:r>
        <w:t>4.1 Customer-visible artifacts</w:t>
      </w:r>
    </w:p>
    <w:p>
      <w:pPr>
        <w:pStyle w:val="ListBullet"/>
        <w:spacing w:after="40"/>
      </w:pPr>
      <w:r>
        <w:rPr>
          <w:sz w:val="20"/>
        </w:rPr>
        <w:t>Appliance asset and entitlement record.</w:t>
      </w:r>
    </w:p>
    <w:p>
      <w:pPr>
        <w:pStyle w:val="ListBullet"/>
        <w:spacing w:after="40"/>
      </w:pPr>
      <w:r>
        <w:rPr>
          <w:sz w:val="20"/>
        </w:rPr>
        <w:t>Factory compatibility manifest.</w:t>
      </w:r>
    </w:p>
    <w:p>
      <w:pPr>
        <w:pStyle w:val="ListBullet"/>
        <w:spacing w:after="40"/>
      </w:pPr>
      <w:r>
        <w:rPr>
          <w:sz w:val="20"/>
        </w:rPr>
        <w:t>Administrator and API documentation.</w:t>
      </w:r>
    </w:p>
    <w:p>
      <w:pPr>
        <w:pStyle w:val="ListBullet"/>
        <w:spacing w:after="40"/>
      </w:pPr>
      <w:r>
        <w:rPr>
          <w:sz w:val="20"/>
        </w:rPr>
        <w:t>Service catalog and certified ModelPack catalog.</w:t>
      </w:r>
    </w:p>
    <w:p>
      <w:pPr>
        <w:pStyle w:val="ListBullet"/>
        <w:spacing w:after="40"/>
      </w:pPr>
      <w:r>
        <w:rPr>
          <w:sz w:val="20"/>
        </w:rPr>
        <w:t>Security hardening guide and offline-deployment guide.</w:t>
      </w:r>
    </w:p>
    <w:p>
      <w:pPr>
        <w:pStyle w:val="ListBullet"/>
        <w:spacing w:after="40"/>
      </w:pPr>
      <w:r>
        <w:rPr>
          <w:sz w:val="20"/>
        </w:rPr>
        <w:t>Backup, recovery and device-replacement procedures.</w:t>
      </w:r>
    </w:p>
    <w:p>
      <w:pPr>
        <w:pStyle w:val="ListBullet"/>
        <w:spacing w:after="40"/>
      </w:pPr>
      <w:r>
        <w:rPr>
          <w:sz w:val="20"/>
        </w:rPr>
        <w:t>Performance profile and known limitations for each supported service.</w:t>
      </w:r>
    </w:p>
    <w:p>
      <w:pPr>
        <w:pStyle w:val="ListBullet"/>
        <w:spacing w:after="40"/>
      </w:pPr>
      <w:r>
        <w:rPr>
          <w:sz w:val="20"/>
        </w:rPr>
        <w:t>One Sandisk support route with OEM escalation.</w:t>
      </w:r>
    </w:p>
    <w:p>
      <w:r>
        <w:br w:type="page"/>
      </w:r>
    </w:p>
    <w:p>
      <w:pPr>
        <w:pStyle w:val="Heading1"/>
        <w:keepNext/>
      </w:pPr>
      <w:r>
        <w:t>5. Turnkey technical architecture</w:t>
      </w:r>
    </w:p>
    <w:tbl>
      <w:tblPr>
        <w:tblW w:type="auto" w:w="0"/>
        <w:jc w:val="center"/>
        <w:tblLayout w:type="fixed"/>
        <w:tblLook w:firstColumn="1" w:firstRow="1" w:lastColumn="0" w:lastRow="0" w:noHBand="0" w:noVBand="1" w:val="04A0"/>
      </w:tblPr>
      <w:tblGrid>
        <w:gridCol w:w="1656"/>
        <w:gridCol w:w="4680"/>
        <w:gridCol w:w="3888"/>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Plane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Components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Sandisk requirement</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Experience</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Reference UI, CLI, SDK and OpenAI-compatible / task-specific APIs</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Stable versioned contracts and examples.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Gateway</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TLS, API keys, OIDC, projects, quotas and routing</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Reuse standard gateway; ship supported configuration.</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Serving control</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Service manifests, admission, queues, replicas and health</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ATMOS Serving Manager and Control Center integration.</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Intelligence Services</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reranking, qualified generation and future feature service</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Signed service containers and certified ModelPacks.</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Data integration</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Object store, vector DB, file ingest and parser adapters</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Supported interfaces; partner-owned production connectors.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Runtime</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Placement, buffers, queues, DMA, P2P, telemetry and lifecycle epochs</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Sandisk-owned implementation and diagnostics.</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Device</w:t>
            </w:r>
          </w:p>
        </w:tc>
        <w:tc>
          <w:tcPr>
            <w:tcW w:type="dxa" w:w="46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Firmware, NPU runtime, HBF layout, LPDDR/SRAM workspace</w:t>
            </w:r>
          </w:p>
        </w:tc>
        <w:tc>
          <w:tcPr>
            <w:tcW w:type="dxa" w:w="38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Qualified device compatibility and reset/recovery.</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Operations</w:t>
            </w:r>
          </w:p>
        </w:tc>
        <w:tc>
          <w:tcPr>
            <w:tcW w:type="dxa" w:w="46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Updates, rollback, backup, audit, support bundle and fleet API</w:t>
            </w:r>
          </w:p>
        </w:tc>
        <w:tc>
          <w:tcPr>
            <w:tcW w:type="dxa" w:w="38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Production/LTS/offline channels and evidence retention.</w:t>
            </w:r>
          </w:p>
        </w:tc>
      </w:tr>
    </w:tbl>
    <w:p>
      <w:pPr>
        <w:spacing w:after="0"/>
      </w:pPr>
    </w:p>
    <w:p>
      <w:pPr>
        <w:pStyle w:val="Heading2"/>
        <w:keepNext/>
      </w:pPr>
      <w:r>
        <w:t>5.1 Hardware topology</w:t>
      </w:r>
    </w:p>
    <w:p>
      <w:r>
        <w:t>Four-device P2P groups are the repeatable hardware building block. P2P is used for local group transfers and compact result exchange where qualified. P2P is not memory coherence, does not aggregate HBF into a single address space, and does not by itself provide service availability.</w:t>
      </w:r>
    </w:p>
    <w:tbl>
      <w:tblPr>
        <w:tblW w:type="auto" w:w="0"/>
        <w:jc w:val="center"/>
        <w:tblLayout w:type="fixed"/>
        <w:tblLook w:firstColumn="1" w:firstRow="1" w:lastColumn="0" w:lastRow="0" w:noHBand="0" w:noVBand="1" w:val="04A0"/>
      </w:tblPr>
      <w:tblGrid>
        <w:gridCol w:w="2232"/>
        <w:gridCol w:w="799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Topology rule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Locality</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Expose CPU root, NUMA node, switch domain and peer qualification to the scheduler.</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Isolation</w:t>
            </w:r>
          </w:p>
        </w:tc>
        <w:tc>
          <w:tcPr>
            <w:tcW w:type="dxa" w:w="799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Enable controlled P2P only inside a trusted resource group while preserving DMA isolation.</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Host bandwidth</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Size uplinks from measured host traffic, not aggregate local HBF arithmetic.</w:t>
            </w:r>
          </w:p>
        </w:tc>
      </w:tr>
      <w:tr>
        <w:tc>
          <w:tcPr>
            <w:tcW w:type="dxa" w:w="22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Failure domain</w:t>
            </w:r>
          </w:p>
        </w:tc>
        <w:tc>
          <w:tcPr>
            <w:tcW w:type="dxa" w:w="799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 switch reset removes the full group; service availability requires another complete group or node.</w:t>
            </w:r>
          </w:p>
        </w:tc>
      </w:tr>
      <w:tr>
        <w:tc>
          <w:tcPr>
            <w:tcW w:type="dxa" w:w="22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Thermals</w:t>
            </w:r>
          </w:p>
        </w:tc>
        <w:tc>
          <w:tcPr>
            <w:tcW w:type="dxa" w:w="799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Qualify sustained compute-like power, adjacent bays, fan failure and throttling.</w:t>
            </w:r>
          </w:p>
        </w:tc>
      </w:tr>
    </w:tbl>
    <w:p>
      <w:pPr>
        <w:spacing w:after="0"/>
      </w:pPr>
    </w:p>
    <w:p>
      <w:r>
        <w:br w:type="page"/>
      </w:r>
    </w:p>
    <w:p>
      <w:pPr>
        <w:pStyle w:val="Heading1"/>
        <w:keepNext/>
      </w:pPr>
      <w:r>
        <w:t>6. ATMOS Intelligence Services</w:t>
      </w:r>
    </w:p>
    <w:tbl>
      <w:tblPr>
        <w:tblW w:type="auto" w:w="0"/>
        <w:jc w:val="center"/>
        <w:tblLayout w:type="fixed"/>
        <w:tblLook w:firstColumn="1" w:firstRow="1" w:lastColumn="0" w:lastRow="0" w:noHBand="0" w:noVBand="1" w:val="04A0"/>
      </w:tblPr>
      <w:tblGrid>
        <w:gridCol w:w="1800"/>
        <w:gridCol w:w="1944"/>
        <w:gridCol w:w="4464"/>
        <w:gridCol w:w="2016"/>
      </w:tblGrid>
      <w:tr>
        <w:trPr>
          <w:tblHeader w:val="true"/>
        </w:trPr>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Service</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API</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Included</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5"/>
              </w:rPr>
              <w:t>Excluded</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Embedding Service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/v1/embeddings</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Certified embedding models, online and batch requests, dimensions/precision profile, usage metrics and ModelPack lifecycle.</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Arbitrary embedding models and customer quality approval.</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Retrieval Service</w:t>
            </w:r>
          </w:p>
        </w:tc>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/v1/retrieve</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Collection selection, metadata filtering, dense retrieval, index generation, supported vector DB integration and top-k.</w:t>
            </w:r>
          </w:p>
        </w:tc>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Universal database replacement or all ANN algorithms.</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Reranking Service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/v1/rerank</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Candidate scores, online/batch profile, supported reranker ModelPacks, quality harness and latency profile.</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Customer relevance ground truth or business ranking policy.</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Qualified Model Serving</w:t>
            </w:r>
          </w:p>
        </w:tc>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POST /v1/chat/completions</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OpenAI-compatible subset, streaming, token metering, model/context/concurrency limits and performance profile.</w:t>
            </w:r>
          </w:p>
        </w:tc>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Arbitrary LLMs, training or GPU-equivalent token rate.</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5"/>
              </w:rPr>
              <w:t>Feature Service - future</w:t>
            </w:r>
          </w:p>
        </w:tc>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/v1/features/lookup and /score</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Key gather, pooling, similarity, lightweight scoring, top-k, generation and update management.</w:t>
            </w:r>
          </w:p>
        </w:tc>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5"/>
              </w:rPr>
              <w:t>Launch commitment before operator and customer proof.</w:t>
            </w:r>
          </w:p>
        </w:tc>
      </w:tr>
    </w:tbl>
    <w:p>
      <w:pPr>
        <w:spacing w:after="0"/>
      </w:pPr>
    </w:p>
    <w:p>
      <w:pPr>
        <w:pStyle w:val="Heading2"/>
        <w:keepNext/>
      </w:pPr>
      <w:r>
        <w:t>6.1 Service package contents</w:t>
      </w:r>
    </w:p>
    <w:p>
      <w:pPr>
        <w:pStyle w:val="ListBullet"/>
        <w:spacing w:after="40"/>
      </w:pPr>
      <w:r>
        <w:rPr>
          <w:sz w:val="20"/>
        </w:rPr>
        <w:t>Container image and image signature.</w:t>
      </w:r>
    </w:p>
    <w:p>
      <w:pPr>
        <w:pStyle w:val="ListBullet"/>
        <w:spacing w:after="40"/>
      </w:pPr>
      <w:r>
        <w:rPr>
          <w:sz w:val="20"/>
        </w:rPr>
        <w:t>ModelPack and model license manifest.</w:t>
      </w:r>
    </w:p>
    <w:p>
      <w:pPr>
        <w:pStyle w:val="ListBullet"/>
        <w:spacing w:after="40"/>
      </w:pPr>
      <w:r>
        <w:rPr>
          <w:sz w:val="20"/>
        </w:rPr>
        <w:t>Hardware, firmware, runtime and service compatibility manifest.</w:t>
      </w:r>
    </w:p>
    <w:p>
      <w:pPr>
        <w:pStyle w:val="ListBullet"/>
        <w:spacing w:after="40"/>
      </w:pPr>
      <w:r>
        <w:rPr>
          <w:sz w:val="20"/>
        </w:rPr>
        <w:t>Golden inputs and expected output tolerance.</w:t>
      </w:r>
    </w:p>
    <w:p>
      <w:pPr>
        <w:pStyle w:val="ListBullet"/>
        <w:spacing w:after="40"/>
      </w:pPr>
      <w:r>
        <w:rPr>
          <w:sz w:val="20"/>
        </w:rPr>
        <w:t>Resource requirement and supported concurrency profile.</w:t>
      </w:r>
    </w:p>
    <w:p>
      <w:pPr>
        <w:pStyle w:val="ListBullet"/>
        <w:spacing w:after="40"/>
      </w:pPr>
      <w:r>
        <w:rPr>
          <w:sz w:val="20"/>
        </w:rPr>
        <w:t>Metrics, traces, health endpoints and failure codes.</w:t>
      </w:r>
    </w:p>
    <w:p>
      <w:pPr>
        <w:pStyle w:val="ListBullet"/>
        <w:spacing w:after="40"/>
      </w:pPr>
      <w:r>
        <w:rPr>
          <w:sz w:val="20"/>
        </w:rPr>
        <w:t>Security notice and update policy.</w:t>
      </w:r>
    </w:p>
    <w:p>
      <w:pPr>
        <w:pStyle w:val="ListBullet"/>
        <w:spacing w:after="40"/>
      </w:pPr>
      <w:r>
        <w:rPr>
          <w:sz w:val="20"/>
        </w:rPr>
        <w:t>Deployment, rollback and troubleshooting instructions.</w:t>
      </w:r>
    </w:p>
    <w:p>
      <w:pPr>
        <w:pStyle w:val="Heading2"/>
        <w:keepNext/>
      </w:pPr>
      <w:r>
        <w:t>6.2 ModelPack contract</w:t>
      </w:r>
    </w:p>
    <w:tbl>
      <w:tblPr>
        <w:tblW w:type="auto" w:w="0"/>
        <w:jc w:val="center"/>
        <w:tblLayout w:type="fixed"/>
        <w:tblLook w:firstColumn="1" w:firstRow="1" w:lastColumn="0" w:lastRow="0" w:noHBand="0" w:noVBand="1" w:val="04A0"/>
      </w:tblPr>
      <w:tblGrid>
        <w:gridCol w:w="2016"/>
        <w:gridCol w:w="8208"/>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Field</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Purpose</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Identity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Model family, version, task, precision and license.</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Execution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Compiled NPU program, layouts, scales, scratch and supported token/batch buckets.</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Compatibility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ATMOS hardware, firmware, runtime, service and operator versions.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Validation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Golden vectors, quality threshold, numerical tolerance and benchmark profile.</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Security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Signature, checksum, provenance, SBOM and vulnerability status.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Lifecycle</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Generation, staging, promotion, drain, rollback and retirement policy.</w:t>
            </w:r>
          </w:p>
        </w:tc>
      </w:tr>
    </w:tbl>
    <w:p>
      <w:pPr>
        <w:spacing w:after="0"/>
      </w:pPr>
    </w:p>
    <w:p>
      <w:r>
        <w:br w:type="page"/>
      </w:r>
    </w:p>
    <w:p>
      <w:pPr>
        <w:pStyle w:val="Heading1"/>
        <w:keepNext/>
      </w:pPr>
      <w:r>
        <w:t>7. Reference blueprints</w:t>
      </w:r>
    </w:p>
    <w:p>
      <w:pPr>
        <w:pStyle w:val="Heading2"/>
        <w:keepNext/>
      </w:pPr>
      <w:r>
        <w:t>7.1 Private Knowledge Blueprint</w:t>
      </w:r>
    </w:p>
    <w:p>
      <w:r>
        <w:t>A modular reference deployment demonstrating how customer documents can be ingested, embedded, indexed, retrieved, reranked and optionally sent to a qualified ATMOS or external generation endpoint. The blueprint is a starting point, not a certified customer business application.</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Included by Sandisk</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Configured or built by customer / partner</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Reference deployment and UI</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UX and business workflow</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File upload and sample object-store ingest</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Production connectors and data cleansing</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Collection and index lifecycle</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Source permissions and records policy</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Embedding, retrieval and reranking services</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Domain prompts and relevance acceptance</w:t>
            </w:r>
          </w:p>
        </w:tc>
      </w:tr>
      <w:tr>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Optional cited response path</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Regulatory approval and human-review policy</w:t>
            </w:r>
          </w:p>
        </w:tc>
      </w:tr>
      <w:tr>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Evaluation template and observability</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Domain ground truth and business KPI</w:t>
            </w:r>
          </w:p>
        </w:tc>
      </w:tr>
    </w:tbl>
    <w:p>
      <w:pPr>
        <w:spacing w:after="0"/>
      </w:pPr>
    </w:p>
    <w:p>
      <w:pPr>
        <w:pStyle w:val="Heading2"/>
        <w:keepNext/>
      </w:pPr>
      <w:r>
        <w:t>7.2 Neural Search and Reranking Blueprint</w:t>
      </w:r>
    </w:p>
    <w:p>
      <w:r>
        <w:t>A lower-scope reference design for integrating ATMOS with an existing search, vector database, application or LLM. The customer sends a query or candidate set and receives top results and scores. This should be the first proof because it isolates the ATMOS capacity and near-data value without requiring Sandisk to own the full application.</w:t>
      </w:r>
    </w:p>
    <w:tbl>
      <w:tblPr>
        <w:tblW w:type="auto" w:w="0"/>
        <w:jc w:val="center"/>
        <w:tblLayout w:type="fixed"/>
        <w:tblLook w:firstColumn="1" w:firstRow="1" w:lastColumn="0" w:lastRow="0" w:noHBand="0" w:noVBand="1" w:val="04A0"/>
      </w:tblPr>
      <w:tblGrid>
        <w:gridCol w:w="4464"/>
        <w:gridCol w:w="576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Flow</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Responsibility</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Customer application creates query/candidate list</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Customer or partner</w:t>
            </w:r>
          </w:p>
        </w:tc>
      </w:tr>
      <w:tr>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ATMOS authenticates and validates request</w:t>
            </w:r>
          </w:p>
        </w:tc>
        <w:tc>
          <w:tcPr>
            <w:tcW w:type="dxa" w:w="57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platform</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Retrieval/reranking executes on supported service</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platform</w:t>
            </w:r>
          </w:p>
        </w:tc>
      </w:tr>
      <w:tr>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Top results and metrics are returned</w:t>
            </w:r>
          </w:p>
        </w:tc>
        <w:tc>
          <w:tcPr>
            <w:tcW w:type="dxa" w:w="57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Sandisk API</w:t>
            </w:r>
          </w:p>
        </w:tc>
      </w:tr>
      <w:tr>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Customer uses results in search, RAG or agent</w:t>
            </w:r>
          </w:p>
        </w:tc>
        <w:tc>
          <w:tcPr>
            <w:tcW w:type="dxa" w:w="57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Customer or partner</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BLUEPRINT RULE  </w:t>
            </w:r>
            <w:r>
              <w:rPr>
                <w:color w:val="1F2430"/>
                <w:sz w:val="20"/>
              </w:rPr>
              <w:t>Any production claim must separate the supported ATMOS service from customer-specific application components and third-party dependencies.</w:t>
            </w:r>
          </w:p>
        </w:tc>
      </w:tr>
    </w:tbl>
    <w:p>
      <w:pPr>
        <w:spacing w:after="0"/>
      </w:pPr>
    </w:p>
    <w:p>
      <w:r>
        <w:br w:type="page"/>
      </w:r>
    </w:p>
    <w:p>
      <w:pPr>
        <w:pStyle w:val="Heading1"/>
        <w:keepNext/>
      </w:pPr>
      <w:r>
        <w:t>8. Lifecycle, updates and support</w:t>
      </w:r>
    </w:p>
    <w:p>
      <w:pPr>
        <w:pStyle w:val="Heading2"/>
        <w:keepNext/>
      </w:pPr>
      <w:r>
        <w:t>8.1 Release trains</w:t>
      </w:r>
    </w:p>
    <w:tbl>
      <w:tblPr>
        <w:tblW w:type="auto" w:w="0"/>
        <w:jc w:val="center"/>
        <w:tblLayout w:type="fixed"/>
        <w:tblLook w:firstColumn="1" w:firstRow="1" w:lastColumn="0" w:lastRow="0" w:noHBand="0" w:noVBand="1" w:val="04A0"/>
      </w:tblPr>
      <w:tblGrid>
        <w:gridCol w:w="1728"/>
        <w:gridCol w:w="4464"/>
        <w:gridCol w:w="403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Channel</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Intent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Illustrative policy</w:t>
            </w:r>
          </w:p>
        </w:tc>
      </w:tr>
      <w:tr>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Current</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New features and newly qualified models</w:t>
            </w:r>
          </w:p>
        </w:tc>
        <w:tc>
          <w:tcPr>
            <w:tcW w:type="dxa" w:w="40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Frequent updates with shorter overlap.</w:t>
            </w:r>
          </w:p>
        </w:tc>
      </w:tr>
      <w:tr>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Production</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Stable supported platform and service line</w:t>
            </w:r>
          </w:p>
        </w:tc>
        <w:tc>
          <w:tcPr>
            <w:tcW w:type="dxa" w:w="40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Quarterly or scheduled maintenance with compatibility matrix.</w:t>
            </w:r>
          </w:p>
        </w:tc>
      </w:tr>
      <w:tr>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LTS</w:t>
            </w:r>
          </w:p>
        </w:tc>
        <w:tc>
          <w:tcPr>
            <w:tcW w:type="dxa" w:w="44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Longer-lived enterprise branch</w:t>
            </w:r>
          </w:p>
        </w:tc>
        <w:tc>
          <w:tcPr>
            <w:tcW w:type="dxa" w:w="403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Security and critical fixes; controlled model and firmware additions.</w:t>
            </w:r>
          </w:p>
        </w:tc>
      </w:tr>
      <w:tr>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Offline</w:t>
            </w:r>
          </w:p>
        </w:tc>
        <w:tc>
          <w:tcPr>
            <w:tcW w:type="dxa" w:w="44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Disconnected / controlled environments</w:t>
            </w:r>
          </w:p>
        </w:tc>
        <w:tc>
          <w:tcPr>
            <w:tcW w:type="dxa" w:w="403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Signed export bundle, local verification, audit and rollback.</w:t>
            </w:r>
          </w:p>
        </w:tc>
      </w:tr>
    </w:tbl>
    <w:p>
      <w:pPr>
        <w:spacing w:after="0"/>
      </w:pPr>
    </w:p>
    <w:p>
      <w:pPr>
        <w:pStyle w:val="Heading2"/>
        <w:keepNext/>
      </w:pPr>
      <w:r>
        <w:t>8.2 Update workflow</w:t>
      </w:r>
    </w:p>
    <w:tbl>
      <w:tblPr>
        <w:tblW w:type="auto" w:w="0"/>
        <w:jc w:val="center"/>
        <w:tblLayout w:type="fixed"/>
        <w:tblLook w:firstColumn="1" w:firstRow="1" w:lastColumn="0" w:lastRow="0" w:noHBand="0" w:noVBand="1" w:val="04A0"/>
      </w:tblPr>
      <w:tblGrid>
        <w:gridCol w:w="1800"/>
        <w:gridCol w:w="8424"/>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Step</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Control</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Discover</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Control Center displays package, compatibility, impact and prerequisites.</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Stage</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Download or import signed package into inactive location.</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Preflight</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Check capacity, firmware, runtime, service, HBF objects and rollback reserve.</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Canary</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Deploy to selected service replica or device group.</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Validate</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Run golden, quality, security, performance and customer smoke tests.</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Promote</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Atomically make generation active and route new traffic.</w:t>
            </w:r>
          </w:p>
        </w:tc>
      </w:tr>
      <w:tr>
        <w:tc>
          <w:tcPr>
            <w:tcW w:type="dxa" w:w="180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Drain</w:t>
            </w:r>
          </w:p>
        </w:tc>
        <w:tc>
          <w:tcPr>
            <w:tcW w:type="dxa" w:w="842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Complete or cancel old-generation work according to policy.</w:t>
            </w:r>
          </w:p>
        </w:tc>
      </w:tr>
      <w:tr>
        <w:tc>
          <w:tcPr>
            <w:tcW w:type="dxa" w:w="180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Rollback</w:t>
            </w:r>
          </w:p>
        </w:tc>
        <w:tc>
          <w:tcPr>
            <w:tcW w:type="dxa" w:w="842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Restore previous generation without mixing artifacts.</w:t>
            </w:r>
          </w:p>
        </w:tc>
      </w:tr>
    </w:tbl>
    <w:p>
      <w:pPr>
        <w:spacing w:after="0"/>
      </w:pPr>
    </w:p>
    <w:p>
      <w:pPr>
        <w:pStyle w:val="Heading2"/>
        <w:keepNext/>
      </w:pPr>
      <w:r>
        <w:t>8.3 One-call support</w:t>
      </w:r>
    </w:p>
    <w:tbl>
      <w:tblPr>
        <w:tblW w:type="auto" w:w="0"/>
        <w:jc w:val="center"/>
        <w:tblLayout w:type="fixed"/>
        <w:tblLook w:firstColumn="1" w:firstRow="1" w:lastColumn="0" w:lastRow="0" w:noHBand="0" w:noVBand="1" w:val="04A0"/>
      </w:tblPr>
      <w:tblGrid>
        <w:gridCol w:w="3168"/>
        <w:gridCol w:w="3240"/>
        <w:gridCol w:w="381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Issue domain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Primary responder</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Escalation</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Service or Control Center</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Open-source/ISV dependency as needed</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ATMOS driver/runtime/firmware</w:t>
            </w:r>
          </w:p>
        </w:tc>
        <w:tc>
          <w:tcPr>
            <w:tcW w:type="dxa" w:w="32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w:t>
            </w:r>
          </w:p>
        </w:tc>
        <w:tc>
          <w:tcPr>
            <w:tcW w:type="dxa" w:w="38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NPU partner under Sandisk ownership</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OEM chassis, PSU, fan, CPU, DRAM, backplane</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 intake / OEM field service</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OEM</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Customer application or data connector</w:t>
            </w:r>
          </w:p>
        </w:tc>
        <w:tc>
          <w:tcPr>
            <w:tcW w:type="dxa" w:w="324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Customer/ISV/integrator</w:t>
            </w:r>
          </w:p>
        </w:tc>
        <w:tc>
          <w:tcPr>
            <w:tcW w:type="dxa" w:w="38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Sandisk only for supported API evidence</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Third-party vector DB/parser</w:t>
            </w:r>
          </w:p>
        </w:tc>
        <w:tc>
          <w:tcPr>
            <w:tcW w:type="dxa" w:w="324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Customer/partner or Sandisk-supported integration tier</w:t>
            </w:r>
          </w:p>
        </w:tc>
        <w:tc>
          <w:tcPr>
            <w:tcW w:type="dxa" w:w="38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Software vendor</w:t>
            </w:r>
          </w:p>
        </w:tc>
      </w:tr>
    </w:tbl>
    <w:p>
      <w:pPr>
        <w:spacing w:after="0"/>
      </w:pPr>
    </w:p>
    <w:p>
      <w:r>
        <w:br w:type="page"/>
      </w:r>
    </w:p>
    <w:p>
      <w:pPr>
        <w:pStyle w:val="Heading1"/>
        <w:keepNext/>
      </w:pPr>
      <w:r>
        <w:t>9. Security, tenancy and governance requirements</w:t>
      </w:r>
    </w:p>
    <w:tbl>
      <w:tblPr>
        <w:tblW w:type="auto" w:w="0"/>
        <w:jc w:val="center"/>
        <w:tblLayout w:type="fixed"/>
        <w:tblLook w:firstColumn="1" w:firstRow="1" w:lastColumn="0" w:lastRow="0" w:noHBand="0" w:noVBand="1" w:val="04A0"/>
      </w:tblPr>
      <w:tblGrid>
        <w:gridCol w:w="2016"/>
        <w:gridCol w:w="8208"/>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Control area</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Platform identity</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Secure boot, signed firmware, measured package provenance and controlled admin roles.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Service identity</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OIDC/LDAP integration, API keys or tokens, project and tenant scoping.</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DMA isolation</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IOMMU and bounded peer access; no global unsafe P2P enablement.</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Data at rest</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Encryption on conventional storage; key-management integration; secure deletion policy.</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HBF / workspace</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Documented zeroization or overwrite behavior and tenant reuse policy.</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Supply chain</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SBOM, container and ModelPack signatures, vulnerability intake and remediation.</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Audit</w:t>
            </w:r>
          </w:p>
        </w:tc>
        <w:tc>
          <w:tcPr>
            <w:tcW w:type="dxa" w:w="820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Admin, service, package, identity and lifecycle events exported to customer SIEM.</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Offline</w:t>
            </w:r>
          </w:p>
        </w:tc>
        <w:tc>
          <w:tcPr>
            <w:tcW w:type="dxa" w:w="820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No required cloud callback for contracted offline functionality.</w:t>
            </w:r>
          </w:p>
        </w:tc>
      </w:tr>
    </w:tbl>
    <w:p>
      <w:pPr>
        <w:spacing w:after="0"/>
      </w:pP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SECURITY BOUNDARY  </w:t>
            </w:r>
            <w:r>
              <w:rPr>
                <w:color w:val="1F2430"/>
                <w:sz w:val="20"/>
              </w:rPr>
              <w:t>The platform can enforce identity and service isolation, but the customer remains accountable for data classification, source permissions, business authorization and application-level policy.</w:t>
            </w:r>
          </w:p>
        </w:tc>
      </w:tr>
    </w:tbl>
    <w:p>
      <w:pPr>
        <w:spacing w:after="0"/>
      </w:pPr>
    </w:p>
    <w:p>
      <w:r>
        <w:br w:type="page"/>
      </w:r>
    </w:p>
    <w:p>
      <w:pPr>
        <w:pStyle w:val="Heading1"/>
        <w:keepNext/>
      </w:pPr>
      <w:r>
        <w:t>10. OEM appliance requirements and partner model</w:t>
      </w:r>
    </w:p>
    <w:tbl>
      <w:tblPr>
        <w:tblW w:type="auto" w:w="0"/>
        <w:jc w:val="center"/>
        <w:tblLayout w:type="fixed"/>
        <w:tblLook w:firstColumn="1" w:firstRow="1" w:lastColumn="0" w:lastRow="0" w:noHBand="0" w:noVBand="1" w:val="04A0"/>
      </w:tblPr>
      <w:tblGrid>
        <w:gridCol w:w="2016"/>
        <w:gridCol w:w="4104"/>
        <w:gridCol w:w="4104"/>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Area</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Appliance 8 requirement</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Appliance 16 requirement</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Form factor</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2U/3U rack or qualified pedestal</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2U/4U rack</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E3.S mechanics</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8 × qualified E3.S 2T compute bays</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16 × qualified E3.S 2T compute bays</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PCIe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x4 endpoint per ATMOS device; balanced switch/root design</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Four balanced four-device P2P groups</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Power</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Sustained 30–40 W/module planning plus switch/retimer margin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480–640 W device-only planning plus full node margin</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Cooling</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Compute-like sustained load, fan-failure and adjacent-bay tests</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Full-node soak, inlet range, throttle and service criteria</w:t>
            </w:r>
          </w:p>
        </w:tc>
      </w:tr>
      <w:tr>
        <w:tc>
          <w:tcPr>
            <w:tcW w:type="dxa" w:w="201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Management</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Redfish/BMC inventory, thermals, events and firmware coordination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Same plus group/fault-domain visibility</w:t>
            </w:r>
          </w:p>
        </w:tc>
      </w:tr>
      <w:tr>
        <w:tc>
          <w:tcPr>
            <w:tcW w:type="dxa" w:w="201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Service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Field-replaceable module, clear bay identity and support bundle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Enterprise field service and spare policy</w:t>
            </w:r>
          </w:p>
        </w:tc>
      </w:tr>
    </w:tbl>
    <w:p>
      <w:pPr>
        <w:spacing w:after="0"/>
      </w:pPr>
    </w:p>
    <w:p>
      <w:pPr>
        <w:pStyle w:val="Heading2"/>
        <w:keepNext/>
      </w:pPr>
      <w:r>
        <w:t>10.1 Partner responsibilities</w:t>
      </w:r>
    </w:p>
    <w:tbl>
      <w:tblPr>
        <w:tblW w:type="auto" w:w="0"/>
        <w:jc w:val="center"/>
        <w:tblLayout w:type="fixed"/>
        <w:tblLook w:firstColumn="1" w:firstRow="1" w:lastColumn="0" w:lastRow="0" w:noHBand="0" w:noVBand="1" w:val="04A0"/>
      </w:tblPr>
      <w:tblGrid>
        <w:gridCol w:w="2088"/>
        <w:gridCol w:w="8136"/>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Partner</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Role</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OEM</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Chassis, host, backplane, switches, power, thermals, BMC and field service.</w:t>
            </w:r>
          </w:p>
        </w:tc>
      </w:tr>
      <w:tr>
        <w:tc>
          <w:tcPr>
            <w:tcW w:type="dxa" w:w="20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Sandisk</w:t>
            </w:r>
          </w:p>
        </w:tc>
        <w:tc>
          <w:tcPr>
            <w:tcW w:type="dxa" w:w="81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Product owner, device/runtime/services, qualification, release and one support route.</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NPU partner</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Compiler/runtime deliverables, kernels, debug support and performance evidence under agreement.</w:t>
            </w:r>
          </w:p>
        </w:tc>
      </w:tr>
      <w:tr>
        <w:tc>
          <w:tcPr>
            <w:tcW w:type="dxa" w:w="208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ISV / SI</w:t>
            </w:r>
          </w:p>
        </w:tc>
        <w:tc>
          <w:tcPr>
            <w:tcW w:type="dxa" w:w="81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Vector DB, parsers, connectors, applications and customer workflow integration.</w:t>
            </w:r>
          </w:p>
        </w:tc>
      </w:tr>
      <w:tr>
        <w:tc>
          <w:tcPr>
            <w:tcW w:type="dxa" w:w="208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Channel / VAR</w:t>
            </w:r>
          </w:p>
        </w:tc>
        <w:tc>
          <w:tcPr>
            <w:tcW w:type="dxa" w:w="81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Site readiness, installation, initial configuration and customer success.</w:t>
            </w:r>
          </w:p>
        </w:tc>
      </w:tr>
    </w:tbl>
    <w:p>
      <w:pPr>
        <w:spacing w:after="0"/>
      </w:pPr>
    </w:p>
    <w:p>
      <w:pPr>
        <w:pStyle w:val="Heading2"/>
        <w:keepNext/>
      </w:pPr>
      <w:r>
        <w:t>10.2 OEM selection method</w:t>
      </w:r>
    </w:p>
    <w:p>
      <w:pPr>
        <w:pStyle w:val="ListBullet"/>
        <w:spacing w:after="40"/>
      </w:pPr>
      <w:r>
        <w:rPr>
          <w:sz w:val="20"/>
        </w:rPr>
        <w:t>Issue one common RFI for E3.S 2T mechanics, x4 electrical path, switch topology, sustained power, cooling, BMC, serviceability and supply continuity.</w:t>
      </w:r>
    </w:p>
    <w:p>
      <w:pPr>
        <w:pStyle w:val="ListBullet"/>
        <w:spacing w:after="40"/>
      </w:pPr>
      <w:r>
        <w:rPr>
          <w:sz w:val="20"/>
        </w:rPr>
        <w:t>Use a POC platform for engineering speed, but independently select production OEM based on field support, lifecycle and commercial terms.</w:t>
      </w:r>
    </w:p>
    <w:p>
      <w:pPr>
        <w:pStyle w:val="ListBullet"/>
        <w:spacing w:after="40"/>
      </w:pPr>
      <w:r>
        <w:rPr>
          <w:sz w:val="20"/>
        </w:rPr>
        <w:t>Do not interpret storage bay count as support for sustained accelerator power or P2P topology.</w:t>
      </w:r>
    </w:p>
    <w:p>
      <w:r>
        <w:br w:type="page"/>
      </w:r>
    </w:p>
    <w:p>
      <w:pPr>
        <w:pStyle w:val="Heading1"/>
        <w:keepNext/>
      </w:pPr>
      <w:r>
        <w:t>11. Workload qualification and economics</w:t>
      </w:r>
    </w:p>
    <w:p>
      <w:pPr>
        <w:pStyle w:val="Heading2"/>
        <w:keepNext/>
      </w:pPr>
      <w:r>
        <w:t>11.1 Launch workloads</w:t>
      </w:r>
    </w:p>
    <w:tbl>
      <w:tblPr>
        <w:tblW w:type="auto" w:w="0"/>
        <w:jc w:val="center"/>
        <w:tblLayout w:type="fixed"/>
        <w:tblLook w:firstColumn="1" w:firstRow="1" w:lastColumn="0" w:lastRow="0" w:noHBand="0" w:noVBand="1" w:val="04A0"/>
      </w:tblPr>
      <w:tblGrid>
        <w:gridCol w:w="1080"/>
        <w:gridCol w:w="2952"/>
        <w:gridCol w:w="4536"/>
        <w:gridCol w:w="1728"/>
      </w:tblGrid>
      <w:tr>
        <w:trPr>
          <w:tblHeader w:val="true"/>
        </w:trPr>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Priority</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Workload</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Why it fits</w:t>
            </w:r>
          </w:p>
        </w:tc>
        <w:tc>
          <w:tcPr>
            <w:tcW w:type="dxa" w:w="2513"/>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Primary metric</w:t>
            </w:r>
          </w:p>
        </w:tc>
      </w:tr>
      <w:tr>
        <w:tc>
          <w:tcPr>
            <w:tcW w:type="dxa" w:w="10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1</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 retrieval and reranking</w:t>
            </w:r>
          </w:p>
        </w:tc>
        <w:tc>
          <w:tcPr>
            <w:tcW w:type="dxa" w:w="45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Large reusable neural representations, bounded compute and compact result.</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query at fixed quality and p99.</w:t>
            </w:r>
          </w:p>
        </w:tc>
      </w:tr>
      <w:tr>
        <w:tc>
          <w:tcPr>
            <w:tcW w:type="dxa" w:w="10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2</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Batch neural search and document preparation</w:t>
            </w:r>
          </w:p>
        </w:tc>
        <w:tc>
          <w:tcPr>
            <w:tcW w:type="dxa" w:w="45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Batchability and reusable representations; partner owns vertical workflow.</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document/job.</w:t>
            </w:r>
          </w:p>
        </w:tc>
      </w:tr>
      <w:tr>
        <w:tc>
          <w:tcPr>
            <w:tcW w:type="dxa" w:w="10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3</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Qualified model serving</w:t>
            </w:r>
          </w:p>
        </w:tc>
        <w:tc>
          <w:tcPr>
            <w:tcW w:type="dxa" w:w="453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Demonstrates complete API but only for bounded catalog and SLO.</w:t>
            </w:r>
          </w:p>
        </w:tc>
        <w:tc>
          <w:tcPr>
            <w:tcW w:type="dxa" w:w="172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accepted output token or request.</w:t>
            </w:r>
          </w:p>
        </w:tc>
      </w:tr>
      <w:tr>
        <w:tc>
          <w:tcPr>
            <w:tcW w:type="dxa" w:w="10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4</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Feature lookup/scoring</w:t>
            </w:r>
          </w:p>
        </w:tc>
        <w:tc>
          <w:tcPr>
            <w:tcW w:type="dxa" w:w="453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Potential capacity advantage; later gate due to random reads and updates.</w:t>
            </w:r>
          </w:p>
        </w:tc>
        <w:tc>
          <w:tcPr>
            <w:tcW w:type="dxa" w:w="172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Cost per million accepted lookups.</w:t>
            </w:r>
          </w:p>
        </w:tc>
      </w:tr>
    </w:tbl>
    <w:p>
      <w:pPr>
        <w:spacing w:after="0"/>
      </w:pPr>
    </w:p>
    <w:p>
      <w:pPr>
        <w:pStyle w:val="Heading2"/>
        <w:keepNext/>
      </w:pPr>
      <w:r>
        <w:t>11.2 Accepted-service economics</w:t>
      </w:r>
    </w:p>
    <w:tbl>
      <w:tblPr>
        <w:tblW w:type="auto" w:w="0"/>
        <w:tblLook w:firstColumn="1" w:firstRow="1" w:lastColumn="0" w:lastRow="0" w:noHBand="0" w:noVBand="1" w:val="04A0"/>
      </w:tblPr>
      <w:tblGrid>
        <w:gridCol w:w="10052"/>
      </w:tblGrid>
      <w:tr>
        <w:tc>
          <w:tcPr>
            <w:tcW w:type="dxa" w:w="10052"/>
            <w:shd w:fill="EEF5FA"/>
            <w:tcMar>
              <w:top w:w="140" w:type="dxa"/>
              <w:start w:w="160" w:type="dxa"/>
              <w:bottom w:w="140" w:type="dxa"/>
              <w:end w:w="160" w:type="dxa"/>
            </w:tcMar>
            <w:tcBorders>
              <w:top w:val="single" w:sz="8" w:color="245B8A"/>
              <w:left w:val="single" w:sz="8" w:color="245B8A"/>
              <w:bottom w:val="single" w:sz="8" w:color="245B8A"/>
              <w:right w:val="single" w:sz="8" w:color="245B8A"/>
              <w:insideH w:val="single" w:sz="8" w:color="245B8A"/>
              <w:insideV w:val="single" w:sz="8" w:color="245B8A"/>
            </w:tcBorders>
          </w:tcPr>
          <w:p>
            <w:r>
              <w:rPr>
                <w:b/>
                <w:color w:val="245B8A"/>
                <w:sz w:val="20"/>
              </w:rPr>
              <w:t xml:space="preserve">FORMULA  </w:t>
            </w:r>
            <w:r>
              <w:rPr>
                <w:color w:val="1F2430"/>
                <w:sz w:val="20"/>
              </w:rPr>
              <w:t>Cost per accepted unit = complete comparable fleet TCO divided by work that meets quality, latency, availability and correctness policy.</w:t>
            </w:r>
          </w:p>
        </w:tc>
      </w:tr>
    </w:tbl>
    <w:p>
      <w:pPr>
        <w:spacing w:after="0"/>
      </w:pPr>
    </w:p>
    <w:p>
      <w:pPr>
        <w:pStyle w:val="ListBullet"/>
        <w:spacing w:after="40"/>
      </w:pPr>
      <w:r>
        <w:rPr>
          <w:sz w:val="20"/>
        </w:rPr>
        <w:t>Derive node count from measured accepted capacity, then add failure and maintenance reserve.</w:t>
      </w:r>
    </w:p>
    <w:p>
      <w:pPr>
        <w:pStyle w:val="ListBullet"/>
        <w:spacing w:after="40"/>
      </w:pPr>
      <w:r>
        <w:rPr>
          <w:sz w:val="20"/>
        </w:rPr>
        <w:t>Include hardware, software, support, power/cooling, operations, integration, migration and retained infrastructure.</w:t>
      </w:r>
    </w:p>
    <w:p>
      <w:pPr>
        <w:pStyle w:val="ListBullet"/>
        <w:spacing w:after="40"/>
      </w:pPr>
      <w:r>
        <w:rPr>
          <w:sz w:val="20"/>
        </w:rPr>
        <w:t>Use the least expensive credible alternative: CPU, GPU, cloud API, existing system or CXL/DRAM.</w:t>
      </w:r>
    </w:p>
    <w:p>
      <w:pPr>
        <w:pStyle w:val="ListBullet"/>
        <w:spacing w:after="40"/>
      </w:pPr>
      <w:r>
        <w:rPr>
          <w:sz w:val="20"/>
        </w:rPr>
        <w:t>Count savings only when a real purchase, lease, bill or staffing-growth block is avoided.</w:t>
      </w:r>
    </w:p>
    <w:p>
      <w:pPr>
        <w:pStyle w:val="ListBullet"/>
        <w:spacing w:after="40"/>
      </w:pPr>
      <w:r>
        <w:rPr>
          <w:sz w:val="20"/>
        </w:rPr>
        <w:t>Do not apply a universal 70% price assumption or compare single boxes with unequal service.</w:t>
      </w:r>
    </w:p>
    <w:p>
      <w:pPr>
        <w:pStyle w:val="Heading2"/>
        <w:keepNext/>
      </w:pPr>
      <w:r>
        <w:t>11.3 Evidence ladder</w:t>
      </w:r>
    </w:p>
    <w:tbl>
      <w:tblPr>
        <w:tblW w:type="auto" w:w="0"/>
        <w:jc w:val="center"/>
        <w:tblLayout w:type="fixed"/>
        <w:tblLook w:firstColumn="1" w:firstRow="1" w:lastColumn="0" w:lastRow="0" w:noHBand="0" w:noVBand="1" w:val="04A0"/>
      </w:tblPr>
      <w:tblGrid>
        <w:gridCol w:w="2664"/>
        <w:gridCol w:w="756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Evidence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Use</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Analytical / simulator</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Determine plausible hardware and operator requirement.</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Emulator / surrogate</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Validate APIs, lifecycle, queueing and framework integration.</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Single device</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useful bandwidth, operators, error modes and power.</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Four-device P2P group</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topology, fan-out, queueing and failure domain.</w:t>
            </w:r>
          </w:p>
        </w:tc>
      </w:tr>
      <w:tr>
        <w:tc>
          <w:tcPr>
            <w:tcW w:type="dxa" w:w="26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Appliance 8</w:t>
            </w:r>
          </w:p>
        </w:tc>
        <w:tc>
          <w:tcPr>
            <w:tcW w:type="dxa" w:w="756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Measure accepted service and customer workflow.</w:t>
            </w:r>
          </w:p>
        </w:tc>
      </w:tr>
      <w:tr>
        <w:tc>
          <w:tcPr>
            <w:tcW w:type="dxa" w:w="26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Appliance 16</w:t>
            </w:r>
          </w:p>
        </w:tc>
        <w:tc>
          <w:tcPr>
            <w:tcW w:type="dxa" w:w="756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Validate enterprise scaling, HA and economics.</w:t>
            </w:r>
          </w:p>
        </w:tc>
      </w:tr>
    </w:tbl>
    <w:p>
      <w:pPr>
        <w:spacing w:after="0"/>
      </w:pPr>
    </w:p>
    <w:p>
      <w:r>
        <w:br w:type="page"/>
      </w:r>
    </w:p>
    <w:p>
      <w:pPr>
        <w:pStyle w:val="Heading1"/>
        <w:keepNext/>
      </w:pPr>
      <w:r>
        <w:t>12. Product requirements and acceptance gates</w:t>
      </w:r>
    </w:p>
    <w:tbl>
      <w:tblPr>
        <w:tblW w:type="auto" w:w="0"/>
        <w:jc w:val="center"/>
        <w:tblLayout w:type="fixed"/>
        <w:tblLook w:firstColumn="1" w:firstRow="1" w:lastColumn="0" w:lastRow="0" w:noHBand="0" w:noVBand="1" w:val="04A0"/>
      </w:tblPr>
      <w:tblGrid>
        <w:gridCol w:w="1656"/>
        <w:gridCol w:w="5112"/>
        <w:gridCol w:w="3456"/>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Gate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Required evidence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6"/>
              </w:rPr>
              <w:t>No-go / narrow trigger</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G0: Product boundary</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Approved ownership, scope and interfaces.</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Vertical-application scope remains ambiguous.</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G1: Service feasibility</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Embedding/retrieval/reranking operator and capacity model.</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plausible accepted-service advantage.</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G2: Runtime MVP</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Driver, runtime, queues, telemetry and reset on surrogate/device.</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Unsafe isolation or unreliable recovery.</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G3: Service MVP</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Versioned API, ModelPack, golden test, metrics and errors.</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Performance or correctness misses bounded target.</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G4: Four-device group</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P2P, switch, thermals and fault injection.</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Group scaling or failure domain unacceptable.</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G5: Appliance 8</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OOB setup, service deployment, lifecycle and customer benchmark.</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economic or capability win versus control.</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G6: Enterprise software</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Identity, tenancy, offline update, backup and support workflow.</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Operational cost or security gap too high.</w:t>
            </w:r>
          </w:p>
        </w:tc>
      </w:tr>
      <w:tr>
        <w:tc>
          <w:tcPr>
            <w:tcW w:type="dxa" w:w="16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G7: Appliance 16</w:t>
            </w:r>
          </w:p>
        </w:tc>
        <w:tc>
          <w:tcPr>
            <w:tcW w:type="dxa" w:w="51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HA, multi-service scaling, complete fleet TCO.</w:t>
            </w:r>
          </w:p>
        </w:tc>
        <w:tc>
          <w:tcPr>
            <w:tcW w:type="dxa" w:w="345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Availability reserve eliminates advantage.</w:t>
            </w:r>
          </w:p>
        </w:tc>
      </w:tr>
      <w:tr>
        <w:tc>
          <w:tcPr>
            <w:tcW w:type="dxa" w:w="16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6"/>
              </w:rPr>
              <w:t>G8: Launch</w:t>
            </w:r>
          </w:p>
        </w:tc>
        <w:tc>
          <w:tcPr>
            <w:tcW w:type="dxa" w:w="51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Quotes, support, supply, docs, channel and design partner.</w:t>
            </w:r>
          </w:p>
        </w:tc>
        <w:tc>
          <w:tcPr>
            <w:tcW w:type="dxa" w:w="345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6"/>
              </w:rPr>
              <w:t>No funded customer or removable cost block.</w:t>
            </w:r>
          </w:p>
        </w:tc>
      </w:tr>
    </w:tbl>
    <w:p>
      <w:pPr>
        <w:spacing w:after="0"/>
      </w:pPr>
    </w:p>
    <w:p>
      <w:pPr>
        <w:pStyle w:val="Heading2"/>
        <w:keepNext/>
      </w:pPr>
      <w:r>
        <w:t>12.1 Key nonfunctional requirements</w:t>
      </w:r>
    </w:p>
    <w:tbl>
      <w:tblPr>
        <w:tblW w:type="auto" w:w="0"/>
        <w:jc w:val="center"/>
        <w:tblLayout w:type="fixed"/>
        <w:tblLook w:firstColumn="1" w:firstRow="1" w:lastColumn="0" w:lastRow="0" w:noHBand="0" w:noVBand="1" w:val="04A0"/>
      </w:tblPr>
      <w:tblGrid>
        <w:gridCol w:w="1944"/>
        <w:gridCol w:w="8280"/>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Area</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8"/>
              </w:rPr>
              <w:t>Requirement</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Availability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Published service profile with node/group failure behavior and recovery objective.</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Observability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Per-request service, queue, device, HBF, DMA, error and model-generation correlation.</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Upgradability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No mixed generation; scripted preflight, canary, promotion and rollback.</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API stability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Versioned contracts, deprecation policy and compatibility tests.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Performance</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Public or customer-visible tested profiles with confidence bounds and environment.</w:t>
            </w:r>
          </w:p>
        </w:tc>
      </w:tr>
      <w:tr>
        <w:tc>
          <w:tcPr>
            <w:tcW w:type="dxa" w:w="194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Supportability</w:t>
            </w:r>
          </w:p>
        </w:tc>
        <w:tc>
          <w:tcPr>
            <w:tcW w:type="dxa" w:w="8280"/>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Automated evidence bundle, serial/topology map and remote/offline diagnostics.</w:t>
            </w:r>
          </w:p>
        </w:tc>
      </w:tr>
      <w:tr>
        <w:tc>
          <w:tcPr>
            <w:tcW w:type="dxa" w:w="194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8"/>
              </w:rPr>
              <w:t>Accessibility</w:t>
            </w:r>
          </w:p>
        </w:tc>
        <w:tc>
          <w:tcPr>
            <w:tcW w:type="dxa" w:w="8280"/>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8"/>
              </w:rPr>
              <w:t>Control Center keyboard, text and contrast requirements; API-first administration.</w:t>
            </w:r>
          </w:p>
        </w:tc>
      </w:tr>
    </w:tbl>
    <w:p>
      <w:pPr>
        <w:spacing w:after="0"/>
      </w:pPr>
    </w:p>
    <w:p>
      <w:r>
        <w:br w:type="page"/>
      </w:r>
    </w:p>
    <w:p>
      <w:pPr>
        <w:pStyle w:val="Heading1"/>
        <w:keepNext/>
      </w:pPr>
      <w:r>
        <w:t>13. Development roadmap and management ask</w:t>
      </w:r>
    </w:p>
    <w:tbl>
      <w:tblPr>
        <w:tblW w:type="auto" w:w="0"/>
        <w:jc w:val="center"/>
        <w:tblLayout w:type="fixed"/>
        <w:tblLook w:firstColumn="1" w:firstRow="1" w:lastColumn="0" w:lastRow="0" w:noHBand="0" w:noVBand="1" w:val="04A0"/>
      </w:tblPr>
      <w:tblGrid>
        <w:gridCol w:w="2448"/>
        <w:gridCol w:w="1512"/>
        <w:gridCol w:w="6264"/>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Phase</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Duration</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Outputs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 Definition and controls</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0–8 weeks</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Frozen boundary, service APIs, OEM RFI, workload controls and cost model.</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B. Platform MVP</w:t>
            </w:r>
          </w:p>
        </w:tc>
        <w:tc>
          <w:tcPr>
            <w:tcW w:type="dxa" w:w="15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8–20 weeks</w:t>
            </w:r>
          </w:p>
        </w:tc>
        <w:tc>
          <w:tcPr>
            <w:tcW w:type="dxa" w:w="62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AI OS, runtime, Control Center MVP, ModelPack, Embedding/Retrieval/Reranking Services.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 Appliance 8 proof</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20–32 weeks</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OEM POC, two P2P groups, OOB workflow, blueprints, matched benchmark and lifecycle.</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D. Enterprise hardening</w:t>
            </w:r>
          </w:p>
        </w:tc>
        <w:tc>
          <w:tcPr>
            <w:tcW w:type="dxa" w:w="151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32–48 weeks</w:t>
            </w:r>
          </w:p>
        </w:tc>
        <w:tc>
          <w:tcPr>
            <w:tcW w:type="dxa" w:w="626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Tenancy, offline/LTS, HA, support, security and design-partner pilot.</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 Appliance 16</w:t>
            </w:r>
          </w:p>
        </w:tc>
        <w:tc>
          <w:tcPr>
            <w:tcW w:type="dxa" w:w="151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After D8 gate</w:t>
            </w:r>
          </w:p>
        </w:tc>
        <w:tc>
          <w:tcPr>
            <w:tcW w:type="dxa" w:w="626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Four groups, enterprise scaling, complete TCO and launch decision.</w:t>
            </w:r>
          </w:p>
        </w:tc>
      </w:tr>
    </w:tbl>
    <w:p>
      <w:pPr>
        <w:spacing w:after="0"/>
      </w:pPr>
    </w:p>
    <w:p>
      <w:pPr>
        <w:pStyle w:val="Heading2"/>
        <w:keepNext/>
      </w:pPr>
      <w:r>
        <w:t>13.1 Management approval requested</w:t>
      </w:r>
    </w:p>
    <w:p>
      <w:pPr>
        <w:pStyle w:val="ListBullet"/>
        <w:spacing w:after="40"/>
      </w:pPr>
      <w:r>
        <w:rPr>
          <w:sz w:val="20"/>
        </w:rPr>
        <w:t>Approve the proposed product boundary.</w:t>
      </w:r>
    </w:p>
    <w:p>
      <w:pPr>
        <w:pStyle w:val="ListBullet"/>
        <w:spacing w:after="40"/>
      </w:pPr>
      <w:r>
        <w:rPr>
          <w:sz w:val="20"/>
        </w:rPr>
        <w:t>Approve Appliance 8 and Appliance 16 as the initial product profiles.</w:t>
      </w:r>
    </w:p>
    <w:p>
      <w:pPr>
        <w:pStyle w:val="ListBullet"/>
        <w:spacing w:after="40"/>
      </w:pPr>
      <w:r>
        <w:rPr>
          <w:sz w:val="20"/>
        </w:rPr>
        <w:t>Approve the AI OS, Control Center, three core Intelligence Services and two reference blueprints as the initial software program.</w:t>
      </w:r>
    </w:p>
    <w:p>
      <w:pPr>
        <w:pStyle w:val="ListBullet"/>
        <w:spacing w:after="40"/>
      </w:pPr>
      <w:r>
        <w:rPr>
          <w:sz w:val="20"/>
        </w:rPr>
        <w:t>Approve one common OEM RFI and budgetary quotation process.</w:t>
      </w:r>
    </w:p>
    <w:p>
      <w:pPr>
        <w:pStyle w:val="ListBullet"/>
        <w:spacing w:after="40"/>
      </w:pPr>
      <w:r>
        <w:rPr>
          <w:sz w:val="20"/>
        </w:rPr>
        <w:t>Approve matched CPU/GPU/cloud benchmark controls and accepted-service economics.</w:t>
      </w:r>
    </w:p>
    <w:p>
      <w:pPr>
        <w:pStyle w:val="ListBullet"/>
        <w:spacing w:after="40"/>
      </w:pPr>
      <w:r>
        <w:rPr>
          <w:sz w:val="20"/>
        </w:rPr>
        <w:t>Authorize design-partner discovery only after workload and cost-block qualification.</w:t>
      </w:r>
    </w:p>
    <w:p>
      <w:pPr>
        <w:pStyle w:val="Heading2"/>
        <w:keepNext/>
      </w:pPr>
      <w:r>
        <w:t>13.2 Not requested</w:t>
      </w:r>
    </w:p>
    <w:p>
      <w:pPr>
        <w:pStyle w:val="ListBullet"/>
        <w:spacing w:after="40"/>
      </w:pPr>
      <w:r>
        <w:rPr>
          <w:sz w:val="20"/>
        </w:rPr>
        <w:t>Launch approval or external performance claims.</w:t>
      </w:r>
    </w:p>
    <w:p>
      <w:pPr>
        <w:pStyle w:val="ListBullet"/>
        <w:spacing w:after="40"/>
      </w:pPr>
      <w:r>
        <w:rPr>
          <w:sz w:val="20"/>
        </w:rPr>
        <w:t>E24 or workstation productization.</w:t>
      </w:r>
    </w:p>
    <w:p>
      <w:pPr>
        <w:pStyle w:val="ListBullet"/>
        <w:spacing w:after="40"/>
      </w:pPr>
      <w:r>
        <w:rPr>
          <w:sz w:val="20"/>
        </w:rPr>
        <w:t>A complete vertical application portfolio.</w:t>
      </w:r>
    </w:p>
    <w:p>
      <w:pPr>
        <w:pStyle w:val="ListBullet"/>
        <w:spacing w:after="40"/>
      </w:pPr>
      <w:r>
        <w:rPr>
          <w:sz w:val="20"/>
        </w:rPr>
        <w:t>Universal LLM model support.</w:t>
      </w:r>
    </w:p>
    <w:p>
      <w:pPr>
        <w:pStyle w:val="ListBullet"/>
        <w:spacing w:after="40"/>
      </w:pPr>
      <w:r>
        <w:rPr>
          <w:sz w:val="20"/>
        </w:rPr>
        <w:t>Training or GPU-equivalent dense inference claims.</w:t>
      </w:r>
    </w:p>
    <w:p>
      <w:pPr>
        <w:pStyle w:val="ListBullet"/>
        <w:spacing w:after="40"/>
      </w:pPr>
      <w:r>
        <w:rPr>
          <w:sz w:val="20"/>
        </w:rPr>
        <w:t>Revenue forecast based on unmeasured service.</w:t>
      </w:r>
    </w:p>
    <w:tbl>
      <w:tblPr>
        <w:tblW w:type="auto" w:w="0"/>
        <w:tblLook w:firstColumn="1" w:firstRow="1" w:lastColumn="0" w:lastRow="0" w:noHBand="0" w:noVBand="1" w:val="04A0"/>
      </w:tblPr>
      <w:tblGrid>
        <w:gridCol w:w="10052"/>
      </w:tblGrid>
      <w:tr>
        <w:tc>
          <w:tcPr>
            <w:tcW w:type="dxa" w:w="10052"/>
            <w:shd w:fill="FDECEF"/>
            <w:tcMar>
              <w:top w:w="140" w:type="dxa"/>
              <w:start w:w="160" w:type="dxa"/>
              <w:bottom w:w="140" w:type="dxa"/>
              <w:end w:w="160" w:type="dxa"/>
            </w:tcMar>
            <w:tcBorders>
              <w:top w:val="single" w:sz="8" w:color="E31837"/>
              <w:left w:val="single" w:sz="8" w:color="E31837"/>
              <w:bottom w:val="single" w:sz="8" w:color="E31837"/>
              <w:right w:val="single" w:sz="8" w:color="E31837"/>
              <w:insideH w:val="single" w:sz="8" w:color="E31837"/>
              <w:insideV w:val="single" w:sz="8" w:color="E31837"/>
            </w:tcBorders>
          </w:tcPr>
          <w:p>
            <w:r>
              <w:rPr>
                <w:b/>
                <w:color w:val="E31837"/>
                <w:sz w:val="20"/>
              </w:rPr>
              <w:t xml:space="preserve">GO-FORWARD STATEMENT  </w:t>
            </w:r>
            <w:r>
              <w:rPr>
                <w:color w:val="1F2430"/>
                <w:sz w:val="20"/>
              </w:rPr>
              <w:t>Sandisk will deliver a supported ATMOS AI platform that turns E3.S neural capacity into consumable enterprise services. Ecosystem partners will turn those services into customer-specific applications.</w:t>
            </w:r>
          </w:p>
        </w:tc>
      </w:tr>
    </w:tbl>
    <w:p>
      <w:pPr>
        <w:spacing w:after="0"/>
      </w:pPr>
    </w:p>
    <w:p>
      <w:r>
        <w:br w:type="page"/>
      </w:r>
    </w:p>
    <w:p>
      <w:pPr>
        <w:pStyle w:val="Heading1"/>
        <w:keepNext/>
      </w:pPr>
      <w:r>
        <w:t>Appendix A. Representative applications enabled by the platform</w:t>
      </w:r>
    </w:p>
    <w:tbl>
      <w:tblPr>
        <w:tblW w:type="auto" w:w="0"/>
        <w:jc w:val="center"/>
        <w:tblLayout w:type="fixed"/>
        <w:tblLook w:firstColumn="1" w:firstRow="1" w:lastColumn="0" w:lastRow="0" w:noHBand="0" w:noVBand="1" w:val="04A0"/>
      </w:tblPr>
      <w:tblGrid>
        <w:gridCol w:w="3168"/>
        <w:gridCol w:w="4104"/>
        <w:gridCol w:w="2952"/>
      </w:tblGrid>
      <w:tr>
        <w:trPr>
          <w:tblHeader w:val="true"/>
        </w:trPr>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class</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Platform services used</w:t>
            </w:r>
          </w:p>
        </w:tc>
        <w:tc>
          <w:tcPr>
            <w:tcW w:type="dxa" w:w="3351"/>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owner</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Enterprise search / private RAG</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retrieval, reranking, optional model serving</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SI / ISV</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Agreement or claims intelligence</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 reranking, bounded models, third-party parser</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ISV / customer</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Engineering knowledge assistant</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Private Knowledge Blueprint and customer connectors</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SI</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Recommendation candidate generation</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Feature service, scoring and top-k</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ISV</w:t>
            </w:r>
          </w:p>
        </w:tc>
      </w:tr>
      <w:tr>
        <w:tc>
          <w:tcPr>
            <w:tcW w:type="dxa" w:w="316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Edge semantic archive</w:t>
            </w:r>
          </w:p>
        </w:tc>
        <w:tc>
          <w:tcPr>
            <w:tcW w:type="dxa" w:w="4104"/>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Embedding/retrieval/reranking with local storage</w:t>
            </w:r>
          </w:p>
        </w:tc>
        <w:tc>
          <w:tcPr>
            <w:tcW w:type="dxa" w:w="2952"/>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Customer / industry partner</w:t>
            </w:r>
          </w:p>
        </w:tc>
      </w:tr>
      <w:tr>
        <w:tc>
          <w:tcPr>
            <w:tcW w:type="dxa" w:w="316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Agent platform</w:t>
            </w:r>
          </w:p>
        </w:tc>
        <w:tc>
          <w:tcPr>
            <w:tcW w:type="dxa" w:w="4104"/>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Qualified generation and retrieval APIs</w:t>
            </w:r>
          </w:p>
        </w:tc>
        <w:tc>
          <w:tcPr>
            <w:tcW w:type="dxa" w:w="2952"/>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Agent software vendor</w:t>
            </w:r>
          </w:p>
        </w:tc>
      </w:tr>
    </w:tbl>
    <w:p>
      <w:pPr>
        <w:spacing w:after="0"/>
      </w:pPr>
    </w:p>
    <w:p>
      <w:r>
        <w:t>These are examples of applications the platform can enable. They are not all Sandisk-developed or Sandisk-supported business applications.</w:t>
      </w:r>
    </w:p>
    <w:p>
      <w:r>
        <w:br w:type="page"/>
      </w:r>
    </w:p>
    <w:p>
      <w:pPr>
        <w:pStyle w:val="Heading1"/>
        <w:keepNext/>
      </w:pPr>
      <w:r>
        <w:t>Appendix B. Product design principles</w:t>
      </w:r>
    </w:p>
    <w:tbl>
      <w:tblPr>
        <w:tblW w:type="auto" w:w="0"/>
        <w:jc w:val="center"/>
        <w:tblLayout w:type="fixed"/>
        <w:tblLook w:firstColumn="1" w:firstRow="1" w:lastColumn="0" w:lastRow="0" w:noHBand="0" w:noVBand="1" w:val="04A0"/>
      </w:tblPr>
      <w:tblGrid>
        <w:gridCol w:w="2448"/>
        <w:gridCol w:w="7776"/>
      </w:tblGrid>
      <w:tr>
        <w:trPr>
          <w:tblHeader w:val="true"/>
        </w:trPr>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Principle</w:t>
            </w:r>
          </w:p>
        </w:tc>
        <w:tc>
          <w:tcPr>
            <w:tcW w:type="dxa" w:w="5026"/>
            <w:shd w:fill="1F2430"/>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tcPr>
          <w:p>
            <w:pPr>
              <w:jc w:val="center"/>
            </w:pPr>
            <w:r>
              <w:rPr>
                <w:b/>
                <w:color w:val="FFFFFF"/>
                <w:sz w:val="17"/>
              </w:rPr>
              <w:t>Application to ATMOS</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Service first</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Expose stable, versioned APIs rather than requiring applications to understand device details.</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Platform ownership</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Sandisk owns only the layers it can qualify, update, diagnose and support.</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Ecosystem extensibility</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Use supported interfaces and certification so partners can add data platforms and applications.</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Measured claims</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Publish only service profiles backed by named hardware, software, model, workload and SLO.</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Controlled lifecycle</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Treat firmware, runtime, service, ModelPack and index as one compatibility unit.</w:t>
            </w:r>
          </w:p>
        </w:tc>
      </w:tr>
      <w:tr>
        <w:tc>
          <w:tcPr>
            <w:tcW w:type="dxa" w:w="2448"/>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Operational simplicity</w:t>
            </w:r>
          </w:p>
        </w:tc>
        <w:tc>
          <w:tcPr>
            <w:tcW w:type="dxa" w:w="7776"/>
            <w:shd w:fill="F7F8FA"/>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Automate setup, preflight, health, updates, rollback, recovery and evidence collection.</w:t>
            </w:r>
          </w:p>
        </w:tc>
      </w:tr>
      <w:tr>
        <w:tc>
          <w:tcPr>
            <w:tcW w:type="dxa" w:w="2448"/>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color w:val="1F2430"/>
                <w:sz w:val="17"/>
              </w:rPr>
              <w:t>Explicit boundaries</w:t>
            </w:r>
          </w:p>
        </w:tc>
        <w:tc>
          <w:tcPr>
            <w:tcW w:type="dxa" w:w="7776"/>
            <w:shd w:fill="FFFFFF"/>
            <w:tcMar>
              <w:top w:w="100" w:type="dxa"/>
              <w:start w:w="120" w:type="dxa"/>
              <w:bottom w:w="100" w:type="dxa"/>
              <w:end w:w="120" w:type="dxa"/>
            </w:tcMar>
            <w:tcBorders>
              <w:top w:val="single" w:sz="4" w:color="D9DEE5"/>
              <w:left w:val="single" w:sz="4" w:color="D9DEE5"/>
              <w:bottom w:val="single" w:sz="4" w:color="D9DEE5"/>
              <w:right w:val="single" w:sz="4" w:color="D9DEE5"/>
              <w:insideH w:val="single" w:sz="4" w:color="D9DEE5"/>
              <w:insideV w:val="single" w:sz="4" w:color="D9DEE5"/>
            </w:tcBorders>
            <w:vAlign w:val="center"/>
          </w:tcPr>
          <w:p>
            <w:pPr>
              <w:spacing w:after="0"/>
            </w:pPr>
            <w:r>
              <w:rPr>
                <w:b w:val="0"/>
                <w:color w:val="1F2430"/>
                <w:sz w:val="17"/>
              </w:rPr>
              <w:t>Separate Sandisk platform support from customer data, workflow and business outcome responsibility.</w:t>
            </w:r>
          </w:p>
        </w:tc>
      </w:tr>
    </w:tbl>
    <w:p>
      <w:pPr>
        <w:spacing w:after="0"/>
      </w:pPr>
    </w:p>
    <w:sectPr w:rsidR="00FC693F" w:rsidRPr="0006063C" w:rsidSect="00034616">
      <w:footerReference w:type="default" r:id="rId9"/>
      <w:pgSz w:w="12240" w:h="15840"/>
      <w:pgMar w:top="936"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2"/>
        <w:sz w:val="16"/>
      </w:rPr>
      <w:t xml:space="preserve">SAN DISK ATMOS  |  INTERNAL DRAFT  |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3183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4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B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3183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5B64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430"/>
      <w:sz w:val="20"/>
    </w:rPr>
  </w:style>
  <w:style w:type="paragraph" w:styleId="ListBullet2">
    <w:name w:val="List Bullet 2"/>
    <w:basedOn w:val="Normal"/>
    <w:uiPriority w:val="99"/>
    <w:unhideWhenUsed/>
    <w:rsid w:val="00326F90"/>
    <w:pPr>
      <w:numPr>
        <w:numId w:val="2"/>
      </w:numPr>
      <w:contextualSpacing/>
    </w:pPr>
    <w:rPr>
      <w:rFonts w:ascii="Aptos" w:hAnsi="Aptos"/>
      <w:color w:val="1F2430"/>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SanDisk ATMOS AI Appliance Platform Proposal and PRD v5</dc:title>
  <dc:subject>Turnkey infrastructure, Intelligence Services and enterprise lifecycle</dc:subject>
  <dc:creator>Shailesh Pilare</dc:creator>
  <keywords>ATMOS, E3.S, AI appliance, inference services, PRD</keywords>
  <dc:description>generated by python-docx</dc:description>
  <lastModifiedBy>Shailesh Pilare</lastModifiedBy>
  <revision>1</revision>
  <dcterms:created xsi:type="dcterms:W3CDTF">2026-10-09T06:52:36.8800298Z</dcterms:created>
  <dcterms:modified xsi:type="dcterms:W3CDTF">2026-10-09T06:52:36.8800298Z</dcterms:modified>
  <category/>
</coreProperties>
</file>