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D3C562" w14:textId="77777777" w:rsidR="0085422C" w:rsidRDefault="00000000">
      <w:pPr>
        <w:spacing w:line="259" w:lineRule="auto"/>
      </w:pPr>
      <w:r>
        <w:rPr>
          <w:b/>
          <w:color w:val="A73545"/>
          <w:sz w:val="18"/>
        </w:rPr>
        <w:t xml:space="preserve">RACK-SCALE TARGET • RTX POC/MVP • </w:t>
      </w:r>
      <w:proofErr w:type="spellStart"/>
      <w:r>
        <w:rPr>
          <w:b/>
          <w:color w:val="A73545"/>
          <w:sz w:val="18"/>
        </w:rPr>
        <w:t>MoE</w:t>
      </w:r>
      <w:proofErr w:type="spellEnd"/>
      <w:r>
        <w:rPr>
          <w:b/>
          <w:color w:val="A73545"/>
          <w:sz w:val="18"/>
        </w:rPr>
        <w:t xml:space="preserve"> ONLY • SWITCHED E3.S</w:t>
      </w:r>
    </w:p>
    <w:p w14:paraId="0AFDB753" w14:textId="04D398D5" w:rsidR="0085422C" w:rsidRPr="00F830EC" w:rsidRDefault="00F830EC" w:rsidP="00F830EC">
      <w:pPr>
        <w:spacing w:after="280"/>
        <w:rPr>
          <w:b/>
          <w:color w:val="16324F"/>
          <w:sz w:val="34"/>
          <w:szCs w:val="2"/>
        </w:rPr>
      </w:pPr>
      <w:r w:rsidRPr="00F830EC">
        <w:rPr>
          <w:b/>
          <w:color w:val="16324F"/>
          <w:sz w:val="38"/>
          <w:szCs w:val="6"/>
        </w:rPr>
        <w:t>ATMOS E3.S Expert Tier for</w:t>
      </w:r>
      <w:r w:rsidRPr="00F830EC">
        <w:rPr>
          <w:b/>
          <w:color w:val="16324F"/>
          <w:sz w:val="38"/>
          <w:szCs w:val="6"/>
        </w:rPr>
        <w:t xml:space="preserve"> </w:t>
      </w:r>
      <w:r w:rsidRPr="00F830EC">
        <w:rPr>
          <w:b/>
          <w:color w:val="16324F"/>
          <w:sz w:val="38"/>
          <w:szCs w:val="6"/>
        </w:rPr>
        <w:t xml:space="preserve">Rack-Scale </w:t>
      </w:r>
      <w:proofErr w:type="spellStart"/>
      <w:r w:rsidRPr="00F830EC">
        <w:rPr>
          <w:b/>
          <w:color w:val="16324F"/>
          <w:sz w:val="38"/>
          <w:szCs w:val="6"/>
        </w:rPr>
        <w:t>MoE</w:t>
      </w:r>
      <w:proofErr w:type="spellEnd"/>
      <w:r w:rsidRPr="00F830EC">
        <w:rPr>
          <w:b/>
          <w:color w:val="16324F"/>
          <w:sz w:val="38"/>
          <w:szCs w:val="6"/>
        </w:rPr>
        <w:t xml:space="preserve"> Inference</w:t>
      </w:r>
      <w:r>
        <w:rPr>
          <w:b/>
          <w:color w:val="16324F"/>
          <w:sz w:val="34"/>
          <w:szCs w:val="2"/>
        </w:rPr>
        <w:br/>
      </w:r>
      <w:r w:rsidRPr="00F830EC">
        <w:rPr>
          <w:i/>
          <w:color w:val="66727D"/>
          <w:sz w:val="22"/>
          <w:szCs w:val="18"/>
        </w:rPr>
        <w:t>A product proposal for moving routed experts from GPU memory to persistent, near-data compute while preserving the native accelerator platform</w:t>
      </w:r>
    </w:p>
    <w:p w14:paraId="426EAD8A" w14:textId="77777777" w:rsidR="0085422C" w:rsidRPr="00923766" w:rsidRDefault="00000000" w:rsidP="00582286">
      <w:pPr>
        <w:rPr>
          <w:color w:val="4F81BD" w:themeColor="accent1"/>
        </w:rPr>
      </w:pPr>
      <w:r w:rsidRPr="00923766">
        <w:rPr>
          <w:rFonts w:eastAsia="Noto Sans"/>
          <w:b/>
          <w:color w:val="4F81BD" w:themeColor="accent1"/>
          <w:sz w:val="36"/>
        </w:rPr>
        <w:t>Executive summary</w:t>
      </w:r>
    </w:p>
    <w:p w14:paraId="08BB6888" w14:textId="15FCBFC2" w:rsidR="00923766" w:rsidRDefault="00923766">
      <w:pPr>
        <w:spacing w:after="100" w:line="259" w:lineRule="auto"/>
        <w:rPr>
          <w:sz w:val="18"/>
        </w:rPr>
      </w:pPr>
      <w:bookmarkStart w:id="0" w:name="OLE_LINK17"/>
      <w:r w:rsidRPr="00923766">
        <w:rPr>
          <w:sz w:val="18"/>
        </w:rPr>
        <w:t>Large Mixture-of-Experts models activate only a small fraction of their experts per token, yet conventional serving keeps the complete expert population in expensive accelerator memory or distributes it across accelerator ranks. ATMOS proposes a persistent expert tier: each E3.S module combines HBF, local working memory, an NPU, and a PCIe endpoint so complete routed experts can remain beside the compute that executes them. GPUs retain attention, KV cache, routing, shared layers, and the native collective domain.</w:t>
      </w:r>
    </w:p>
    <w:p w14:paraId="4B6F62C2" w14:textId="77777777" w:rsidR="00923766" w:rsidRPr="00923766" w:rsidRDefault="00923766" w:rsidP="00923766">
      <w:pPr>
        <w:rPr>
          <w:rFonts w:eastAsia="Noto Sans"/>
          <w:b/>
          <w:color w:val="4F81BD" w:themeColor="accent1"/>
          <w:sz w:val="36"/>
        </w:rPr>
      </w:pPr>
      <w:r w:rsidRPr="00923766">
        <w:rPr>
          <w:rFonts w:eastAsia="Noto Sans"/>
          <w:b/>
          <w:color w:val="4F81BD" w:themeColor="accent1"/>
          <w:sz w:val="36"/>
        </w:rPr>
        <w:t>Product thesis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0"/>
        <w:gridCol w:w="3360"/>
        <w:gridCol w:w="3360"/>
      </w:tblGrid>
      <w:tr w:rsidR="00923766" w14:paraId="163CDE60" w14:textId="77777777" w:rsidTr="00923766">
        <w:trPr>
          <w:tblHeader/>
          <w:jc w:val="center"/>
        </w:trPr>
        <w:tc>
          <w:tcPr>
            <w:tcW w:w="3427" w:type="dxa"/>
            <w:shd w:val="clear" w:color="auto" w:fill="112B45"/>
            <w:tcMar>
              <w:top w:w="90" w:type="dxa"/>
              <w:left w:w="100" w:type="dxa"/>
              <w:bottom w:w="90" w:type="dxa"/>
              <w:right w:w="100" w:type="dxa"/>
            </w:tcMar>
            <w:vAlign w:val="center"/>
            <w:hideMark/>
          </w:tcPr>
          <w:p w14:paraId="0B2C9647" w14:textId="77777777" w:rsidR="00923766" w:rsidRDefault="00923766">
            <w:pPr>
              <w:spacing w:after="0" w:line="240" w:lineRule="auto"/>
            </w:pPr>
            <w:r>
              <w:rPr>
                <w:b/>
                <w:color w:val="FFFFFF"/>
                <w:sz w:val="16"/>
              </w:rPr>
              <w:t>If ATMOS can...</w:t>
            </w:r>
          </w:p>
        </w:tc>
        <w:tc>
          <w:tcPr>
            <w:tcW w:w="3427" w:type="dxa"/>
            <w:shd w:val="clear" w:color="auto" w:fill="112B45"/>
            <w:tcMar>
              <w:top w:w="90" w:type="dxa"/>
              <w:left w:w="100" w:type="dxa"/>
              <w:bottom w:w="90" w:type="dxa"/>
              <w:right w:w="100" w:type="dxa"/>
            </w:tcMar>
            <w:vAlign w:val="center"/>
            <w:hideMark/>
          </w:tcPr>
          <w:p w14:paraId="488DE78D" w14:textId="77777777" w:rsidR="00923766" w:rsidRDefault="00923766">
            <w:pPr>
              <w:spacing w:after="0" w:line="240" w:lineRule="auto"/>
            </w:pPr>
            <w:r>
              <w:rPr>
                <w:b/>
                <w:color w:val="FFFFFF"/>
                <w:sz w:val="16"/>
              </w:rPr>
              <w:t>Then the service can...</w:t>
            </w:r>
          </w:p>
        </w:tc>
        <w:tc>
          <w:tcPr>
            <w:tcW w:w="3427" w:type="dxa"/>
            <w:shd w:val="clear" w:color="auto" w:fill="112B45"/>
            <w:tcMar>
              <w:top w:w="90" w:type="dxa"/>
              <w:left w:w="100" w:type="dxa"/>
              <w:bottom w:w="90" w:type="dxa"/>
              <w:right w:w="100" w:type="dxa"/>
            </w:tcMar>
            <w:vAlign w:val="center"/>
            <w:hideMark/>
          </w:tcPr>
          <w:p w14:paraId="06F8EA30" w14:textId="77777777" w:rsidR="00923766" w:rsidRDefault="00923766">
            <w:pPr>
              <w:spacing w:after="0" w:line="240" w:lineRule="auto"/>
            </w:pPr>
            <w:r>
              <w:rPr>
                <w:b/>
                <w:color w:val="FFFFFF"/>
                <w:sz w:val="16"/>
              </w:rPr>
              <w:t>But value is earned only when...</w:t>
            </w:r>
          </w:p>
        </w:tc>
      </w:tr>
      <w:tr w:rsidR="00923766" w14:paraId="179511AD" w14:textId="77777777" w:rsidTr="00923766">
        <w:trPr>
          <w:cantSplit/>
          <w:jc w:val="center"/>
        </w:trPr>
        <w:tc>
          <w:tcPr>
            <w:tcW w:w="3355" w:type="dxa"/>
            <w:tcMar>
              <w:top w:w="90" w:type="dxa"/>
              <w:left w:w="100" w:type="dxa"/>
              <w:bottom w:w="90" w:type="dxa"/>
              <w:right w:w="100" w:type="dxa"/>
            </w:tcMar>
            <w:vAlign w:val="center"/>
            <w:hideMark/>
          </w:tcPr>
          <w:p w14:paraId="382BBF6C" w14:textId="77777777" w:rsidR="00923766" w:rsidRDefault="00923766">
            <w:pPr>
              <w:spacing w:after="0" w:line="240" w:lineRule="auto"/>
            </w:pPr>
            <w:r>
              <w:rPr>
                <w:sz w:val="16"/>
              </w:rPr>
              <w:t xml:space="preserve">Execute </w:t>
            </w:r>
            <w:proofErr w:type="gramStart"/>
            <w:r>
              <w:rPr>
                <w:sz w:val="16"/>
              </w:rPr>
              <w:t>real</w:t>
            </w:r>
            <w:proofErr w:type="gramEnd"/>
            <w:r>
              <w:rPr>
                <w:sz w:val="16"/>
              </w:rPr>
              <w:t xml:space="preserve"> routed FFNs at small batch with bounded p99 latency</w:t>
            </w:r>
          </w:p>
        </w:tc>
        <w:tc>
          <w:tcPr>
            <w:tcW w:w="3355" w:type="dxa"/>
            <w:tcMar>
              <w:top w:w="90" w:type="dxa"/>
              <w:left w:w="100" w:type="dxa"/>
              <w:bottom w:w="90" w:type="dxa"/>
              <w:right w:w="100" w:type="dxa"/>
            </w:tcMar>
            <w:vAlign w:val="center"/>
            <w:hideMark/>
          </w:tcPr>
          <w:p w14:paraId="015B7512" w14:textId="77777777" w:rsidR="00923766" w:rsidRDefault="00923766">
            <w:pPr>
              <w:spacing w:after="0" w:line="240" w:lineRule="auto"/>
            </w:pPr>
            <w:r>
              <w:rPr>
                <w:sz w:val="16"/>
              </w:rPr>
              <w:t>Release GPU memory for KV/concurrency or reduce expert-parallel scale-out</w:t>
            </w:r>
          </w:p>
        </w:tc>
        <w:tc>
          <w:tcPr>
            <w:tcW w:w="3370" w:type="dxa"/>
            <w:tcMar>
              <w:top w:w="90" w:type="dxa"/>
              <w:left w:w="100" w:type="dxa"/>
              <w:bottom w:w="90" w:type="dxa"/>
              <w:right w:w="100" w:type="dxa"/>
            </w:tcMar>
            <w:vAlign w:val="center"/>
            <w:hideMark/>
          </w:tcPr>
          <w:p w14:paraId="2CA6D70E" w14:textId="77777777" w:rsidR="00923766" w:rsidRDefault="00923766">
            <w:pPr>
              <w:spacing w:after="0" w:line="240" w:lineRule="auto"/>
            </w:pPr>
            <w:r>
              <w:rPr>
                <w:sz w:val="16"/>
              </w:rPr>
              <w:t>Quality, TTFT, TPOT, availability, and accepted throughput match the frozen contract</w:t>
            </w:r>
          </w:p>
        </w:tc>
      </w:tr>
      <w:tr w:rsidR="00923766" w14:paraId="4B6C9FB2" w14:textId="77777777" w:rsidTr="00923766">
        <w:trPr>
          <w:cantSplit/>
          <w:jc w:val="center"/>
        </w:trPr>
        <w:tc>
          <w:tcPr>
            <w:tcW w:w="3355" w:type="dxa"/>
            <w:shd w:val="clear" w:color="auto" w:fill="F4F6F7"/>
            <w:tcMar>
              <w:top w:w="90" w:type="dxa"/>
              <w:left w:w="100" w:type="dxa"/>
              <w:bottom w:w="90" w:type="dxa"/>
              <w:right w:w="100" w:type="dxa"/>
            </w:tcMar>
            <w:vAlign w:val="center"/>
            <w:hideMark/>
          </w:tcPr>
          <w:p w14:paraId="4CD3D3CE" w14:textId="77777777" w:rsidR="00923766" w:rsidRDefault="00923766">
            <w:pPr>
              <w:spacing w:after="0" w:line="240" w:lineRule="auto"/>
            </w:pPr>
            <w:r>
              <w:rPr>
                <w:sz w:val="16"/>
              </w:rPr>
              <w:t>Keep expert weights persistent and move compact activations/results</w:t>
            </w:r>
          </w:p>
        </w:tc>
        <w:tc>
          <w:tcPr>
            <w:tcW w:w="3355" w:type="dxa"/>
            <w:shd w:val="clear" w:color="auto" w:fill="F4F6F7"/>
            <w:tcMar>
              <w:top w:w="90" w:type="dxa"/>
              <w:left w:w="100" w:type="dxa"/>
              <w:bottom w:w="90" w:type="dxa"/>
              <w:right w:w="100" w:type="dxa"/>
            </w:tcMar>
            <w:vAlign w:val="center"/>
            <w:hideMark/>
          </w:tcPr>
          <w:p w14:paraId="75715FA2" w14:textId="77777777" w:rsidR="00923766" w:rsidRDefault="00923766">
            <w:pPr>
              <w:spacing w:after="0" w:line="240" w:lineRule="auto"/>
            </w:pPr>
            <w:r>
              <w:rPr>
                <w:sz w:val="16"/>
              </w:rPr>
              <w:t>Avoid request-time weight movement and reduce remote expert traffic</w:t>
            </w:r>
          </w:p>
        </w:tc>
        <w:tc>
          <w:tcPr>
            <w:tcW w:w="3370" w:type="dxa"/>
            <w:shd w:val="clear" w:color="auto" w:fill="F4F6F7"/>
            <w:tcMar>
              <w:top w:w="90" w:type="dxa"/>
              <w:left w:w="100" w:type="dxa"/>
              <w:bottom w:w="90" w:type="dxa"/>
              <w:right w:w="100" w:type="dxa"/>
            </w:tcMar>
            <w:vAlign w:val="center"/>
            <w:hideMark/>
          </w:tcPr>
          <w:p w14:paraId="196ED1A0" w14:textId="77777777" w:rsidR="00923766" w:rsidRDefault="00923766">
            <w:pPr>
              <w:spacing w:after="0" w:line="240" w:lineRule="auto"/>
            </w:pPr>
            <w:r>
              <w:rPr>
                <w:sz w:val="16"/>
              </w:rPr>
              <w:t>Useful local bandwidth reaches compute and PCIe/queue overhead does not dominate</w:t>
            </w:r>
          </w:p>
        </w:tc>
      </w:tr>
      <w:tr w:rsidR="00923766" w14:paraId="392BB184" w14:textId="77777777" w:rsidTr="00923766">
        <w:trPr>
          <w:cantSplit/>
          <w:jc w:val="center"/>
        </w:trPr>
        <w:tc>
          <w:tcPr>
            <w:tcW w:w="3355" w:type="dxa"/>
            <w:tcMar>
              <w:top w:w="90" w:type="dxa"/>
              <w:left w:w="100" w:type="dxa"/>
              <w:bottom w:w="90" w:type="dxa"/>
              <w:right w:w="100" w:type="dxa"/>
            </w:tcMar>
            <w:vAlign w:val="center"/>
            <w:hideMark/>
          </w:tcPr>
          <w:p w14:paraId="21374ED3" w14:textId="77777777" w:rsidR="00923766" w:rsidRDefault="00923766">
            <w:pPr>
              <w:spacing w:after="0" w:line="240" w:lineRule="auto"/>
            </w:pPr>
            <w:r>
              <w:rPr>
                <w:sz w:val="16"/>
              </w:rPr>
              <w:t>Operate as a supported tray-local or companion subsystem</w:t>
            </w:r>
          </w:p>
        </w:tc>
        <w:tc>
          <w:tcPr>
            <w:tcW w:w="3355" w:type="dxa"/>
            <w:tcMar>
              <w:top w:w="90" w:type="dxa"/>
              <w:left w:w="100" w:type="dxa"/>
              <w:bottom w:w="90" w:type="dxa"/>
              <w:right w:w="100" w:type="dxa"/>
            </w:tcMar>
            <w:vAlign w:val="center"/>
            <w:hideMark/>
          </w:tcPr>
          <w:p w14:paraId="61D7C25A" w14:textId="77777777" w:rsidR="00923766" w:rsidRDefault="00923766">
            <w:pPr>
              <w:spacing w:after="0" w:line="240" w:lineRule="auto"/>
            </w:pPr>
            <w:r>
              <w:rPr>
                <w:sz w:val="16"/>
              </w:rPr>
              <w:t>Deploy through a turnkey OEM with one lifecycle and support path</w:t>
            </w:r>
          </w:p>
        </w:tc>
        <w:tc>
          <w:tcPr>
            <w:tcW w:w="3370" w:type="dxa"/>
            <w:tcMar>
              <w:top w:w="90" w:type="dxa"/>
              <w:left w:w="100" w:type="dxa"/>
              <w:bottom w:w="90" w:type="dxa"/>
              <w:right w:w="100" w:type="dxa"/>
            </w:tcMar>
            <w:vAlign w:val="center"/>
            <w:hideMark/>
          </w:tcPr>
          <w:p w14:paraId="2D47DE66" w14:textId="77777777" w:rsidR="00923766" w:rsidRDefault="00923766">
            <w:pPr>
              <w:spacing w:after="0" w:line="240" w:lineRule="auto"/>
            </w:pPr>
            <w:r>
              <w:rPr>
                <w:sz w:val="16"/>
              </w:rPr>
              <w:t>A named rack beats its GPU-only control on three-year cost per accepted request/token</w:t>
            </w:r>
          </w:p>
        </w:tc>
      </w:tr>
    </w:tbl>
    <w:p w14:paraId="44601D69" w14:textId="77777777" w:rsidR="00923766" w:rsidRDefault="00923766">
      <w:pPr>
        <w:spacing w:after="100" w:line="259" w:lineRule="auto"/>
        <w:rPr>
          <w:sz w:val="18"/>
        </w:rPr>
      </w:pPr>
    </w:p>
    <w:bookmarkEnd w:id="0"/>
    <w:p w14:paraId="3C965BF3" w14:textId="77777777" w:rsidR="00923766" w:rsidRPr="00923766" w:rsidRDefault="00923766" w:rsidP="00923766">
      <w:pPr>
        <w:rPr>
          <w:rFonts w:eastAsia="Noto Sans"/>
          <w:b/>
          <w:color w:val="4F81BD" w:themeColor="accent1"/>
          <w:sz w:val="36"/>
        </w:rPr>
      </w:pPr>
      <w:r w:rsidRPr="00923766">
        <w:rPr>
          <w:rFonts w:eastAsia="Noto Sans"/>
          <w:b/>
          <w:color w:val="4F81BD" w:themeColor="accent1"/>
          <w:sz w:val="36"/>
        </w:rPr>
        <w:t>Proposed first product path</w:t>
      </w:r>
    </w:p>
    <w:p w14:paraId="6F525F54" w14:textId="77777777" w:rsidR="00923766" w:rsidRDefault="00923766" w:rsidP="00923766">
      <w:pPr>
        <w:pStyle w:val="ListBullet"/>
        <w:ind w:left="317" w:hanging="202"/>
      </w:pPr>
      <w:r>
        <w:t>Development vehicle: 8 RTX PRO-class GPUs plus 8 ATMOS E3.S devices, split across two balanced four-device PCIe domains for fault and NUMA study.</w:t>
      </w:r>
    </w:p>
    <w:p w14:paraId="4620027D" w14:textId="77777777" w:rsidR="00923766" w:rsidRDefault="00923766" w:rsidP="00923766">
      <w:pPr>
        <w:pStyle w:val="ListBullet"/>
        <w:ind w:left="317" w:hanging="202"/>
      </w:pPr>
      <w:r>
        <w:t xml:space="preserve">First model: one Qwen3-235B-A22B-class checkpoint, one qualified FP8 representation, one pinned </w:t>
      </w:r>
      <w:proofErr w:type="spellStart"/>
      <w:r>
        <w:t>vLLM</w:t>
      </w:r>
      <w:proofErr w:type="spellEnd"/>
      <w:r>
        <w:t>/</w:t>
      </w:r>
      <w:proofErr w:type="spellStart"/>
      <w:r>
        <w:t>PyTorch</w:t>
      </w:r>
      <w:proofErr w:type="spellEnd"/>
      <w:r>
        <w:t>/CUDA stack, and host-staged transport as the correctness baseline.</w:t>
      </w:r>
    </w:p>
    <w:p w14:paraId="550C61AE" w14:textId="77777777" w:rsidR="00923766" w:rsidRDefault="00923766" w:rsidP="00923766">
      <w:pPr>
        <w:pStyle w:val="ListBullet"/>
        <w:ind w:left="317" w:hanging="202"/>
      </w:pPr>
      <w:r>
        <w:t>Production geometry: four GPUs plus four ATMOS devices per compute tray, using an OEM-supported balanced PCIe branch and documented GPU peer DMA only where the complete platform supports it.</w:t>
      </w:r>
    </w:p>
    <w:p w14:paraId="570C3C1B" w14:textId="77777777" w:rsidR="00923766" w:rsidRDefault="00923766" w:rsidP="00923766">
      <w:pPr>
        <w:pStyle w:val="ListBullet"/>
        <w:ind w:left="317" w:hanging="202"/>
      </w:pPr>
      <w:r>
        <w:t>Availability baseline: complete service groups across independent failure domains; unique expert shards are never called highly available merely because they occupy separate devices.</w:t>
      </w:r>
    </w:p>
    <w:p w14:paraId="0B6AC73B" w14:textId="77777777" w:rsidR="00923766" w:rsidRDefault="00923766" w:rsidP="00923766">
      <w:pPr>
        <w:pStyle w:val="ListBullet"/>
        <w:ind w:left="317" w:hanging="202"/>
      </w:pPr>
      <w:r>
        <w:t>OEM route: co-design first with Giga Computing, Supermicro, and Penguin Solutions; use Dell or Lenovo as an enterprise lifecycle control. Every candidate must pass the same attachment and economics evidence request.</w:t>
      </w:r>
    </w:p>
    <w:p w14:paraId="38CD59BD" w14:textId="77777777" w:rsidR="00DA59E0" w:rsidRDefault="00DA59E0" w:rsidP="00923766">
      <w:pPr>
        <w:pStyle w:val="ListBullet"/>
        <w:numPr>
          <w:ilvl w:val="0"/>
          <w:numId w:val="0"/>
        </w:numPr>
        <w:spacing w:after="60" w:line="252" w:lineRule="auto"/>
        <w:ind w:left="360" w:hanging="360"/>
      </w:pPr>
    </w:p>
    <w:tbl>
      <w:tblPr>
        <w:tblStyle w:val="TableGrid"/>
        <w:tblW w:w="0" w:type="auto"/>
        <w:tblInd w:w="360" w:type="dxa"/>
        <w:tblLook w:val="04A0" w:firstRow="1" w:lastRow="0" w:firstColumn="1" w:lastColumn="0" w:noHBand="0" w:noVBand="1"/>
      </w:tblPr>
      <w:tblGrid>
        <w:gridCol w:w="9998"/>
      </w:tblGrid>
      <w:tr w:rsidR="00DA59E0" w14:paraId="79FB14B6" w14:textId="77777777" w:rsidTr="00DA59E0">
        <w:tc>
          <w:tcPr>
            <w:tcW w:w="10358" w:type="dxa"/>
          </w:tcPr>
          <w:p w14:paraId="103FC87D" w14:textId="1A6499C9" w:rsidR="00DA59E0" w:rsidRDefault="002D0B0E" w:rsidP="00DA59E0">
            <w:pPr>
              <w:pStyle w:val="ListBullet"/>
              <w:numPr>
                <w:ilvl w:val="0"/>
                <w:numId w:val="0"/>
              </w:numPr>
              <w:spacing w:after="60" w:line="252" w:lineRule="auto"/>
            </w:pPr>
            <w:r w:rsidRPr="00020EED">
              <w:rPr>
                <w:noProof/>
              </w:rPr>
              <w:lastRenderedPageBreak/>
              <w:drawing>
                <wp:inline distT="0" distB="0" distL="0" distR="0" wp14:anchorId="206C7236" wp14:editId="7B665250">
                  <wp:extent cx="5776109" cy="4332083"/>
                  <wp:effectExtent l="0" t="0" r="2540" b="0"/>
                  <wp:docPr id="319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5270" name=""/>
                          <pic:cNvPicPr/>
                        </pic:nvPicPr>
                        <pic:blipFill>
                          <a:blip r:embed="rId8"/>
                          <a:stretch>
                            <a:fillRect/>
                          </a:stretch>
                        </pic:blipFill>
                        <pic:spPr>
                          <a:xfrm>
                            <a:off x="0" y="0"/>
                            <a:ext cx="5862857" cy="4397144"/>
                          </a:xfrm>
                          <a:prstGeom prst="rect">
                            <a:avLst/>
                          </a:prstGeom>
                        </pic:spPr>
                      </pic:pic>
                    </a:graphicData>
                  </a:graphic>
                </wp:inline>
              </w:drawing>
            </w:r>
          </w:p>
        </w:tc>
      </w:tr>
    </w:tbl>
    <w:p w14:paraId="0AB7966E" w14:textId="4A7A9CED" w:rsidR="00DA59E0" w:rsidRDefault="00DA59E0" w:rsidP="00DA59E0">
      <w:pPr>
        <w:pStyle w:val="ListBullet"/>
        <w:numPr>
          <w:ilvl w:val="0"/>
          <w:numId w:val="0"/>
        </w:numPr>
        <w:spacing w:after="60" w:line="252" w:lineRule="auto"/>
        <w:ind w:left="360" w:hanging="360"/>
      </w:pPr>
    </w:p>
    <w:p w14:paraId="62A64B4F" w14:textId="77777777" w:rsidR="0085422C" w:rsidRDefault="0085422C">
      <w:pPr>
        <w:spacing w:after="20"/>
      </w:pPr>
    </w:p>
    <w:p w14:paraId="20A40186" w14:textId="77777777" w:rsidR="0085422C" w:rsidRDefault="00000000">
      <w:pPr>
        <w:keepNext/>
        <w:spacing w:before="60" w:after="60"/>
      </w:pPr>
      <w:r>
        <w:rPr>
          <w:rFonts w:eastAsia="Noto Sans"/>
          <w:b/>
          <w:color w:val="16324F"/>
          <w:sz w:val="25"/>
        </w:rPr>
        <w:t>Reading map</w:t>
      </w:r>
    </w:p>
    <w:tbl>
      <w:tblPr>
        <w:tblStyle w:val="TableGrid"/>
        <w:tblW w:w="0" w:type="auto"/>
        <w:jc w:val="center"/>
        <w:tblLayout w:type="fixed"/>
        <w:tblLook w:val="04A0" w:firstRow="1" w:lastRow="0" w:firstColumn="1" w:lastColumn="0" w:noHBand="0" w:noVBand="1"/>
      </w:tblPr>
      <w:tblGrid>
        <w:gridCol w:w="1440"/>
        <w:gridCol w:w="3960"/>
        <w:gridCol w:w="4608"/>
      </w:tblGrid>
      <w:tr w:rsidR="0085422C" w14:paraId="18954CEC" w14:textId="77777777">
        <w:trPr>
          <w:tblHeader/>
          <w:jc w:val="center"/>
        </w:trPr>
        <w:tc>
          <w:tcPr>
            <w:tcW w:w="1440" w:type="dxa"/>
            <w:shd w:val="clear" w:color="auto" w:fill="16324F"/>
            <w:tcMar>
              <w:top w:w="80" w:type="dxa"/>
              <w:left w:w="90" w:type="dxa"/>
              <w:bottom w:w="80" w:type="dxa"/>
              <w:right w:w="90" w:type="dxa"/>
            </w:tcMar>
            <w:vAlign w:val="center"/>
          </w:tcPr>
          <w:p w14:paraId="4EDB33C4" w14:textId="77777777" w:rsidR="00846FAB" w:rsidRDefault="00000000">
            <w:r>
              <w:rPr>
                <w:b/>
                <w:color w:val="FFFFFF"/>
                <w:sz w:val="16"/>
              </w:rPr>
              <w:t>Part</w:t>
            </w:r>
          </w:p>
        </w:tc>
        <w:tc>
          <w:tcPr>
            <w:tcW w:w="3960" w:type="dxa"/>
            <w:shd w:val="clear" w:color="auto" w:fill="16324F"/>
            <w:tcMar>
              <w:top w:w="80" w:type="dxa"/>
              <w:left w:w="90" w:type="dxa"/>
              <w:bottom w:w="80" w:type="dxa"/>
              <w:right w:w="90" w:type="dxa"/>
            </w:tcMar>
            <w:vAlign w:val="center"/>
          </w:tcPr>
          <w:p w14:paraId="4A5DC7FC" w14:textId="77777777" w:rsidR="00846FAB" w:rsidRDefault="00000000">
            <w:r>
              <w:rPr>
                <w:b/>
                <w:color w:val="FFFFFF"/>
                <w:sz w:val="16"/>
              </w:rPr>
              <w:t>Question answered</w:t>
            </w:r>
          </w:p>
        </w:tc>
        <w:tc>
          <w:tcPr>
            <w:tcW w:w="4608" w:type="dxa"/>
            <w:shd w:val="clear" w:color="auto" w:fill="16324F"/>
            <w:tcMar>
              <w:top w:w="80" w:type="dxa"/>
              <w:left w:w="90" w:type="dxa"/>
              <w:bottom w:w="80" w:type="dxa"/>
              <w:right w:w="90" w:type="dxa"/>
            </w:tcMar>
            <w:vAlign w:val="center"/>
          </w:tcPr>
          <w:p w14:paraId="0ACDE9F7" w14:textId="77777777" w:rsidR="00846FAB" w:rsidRDefault="00000000">
            <w:r>
              <w:rPr>
                <w:b/>
                <w:color w:val="FFFFFF"/>
                <w:sz w:val="16"/>
              </w:rPr>
              <w:t>Outcome</w:t>
            </w:r>
          </w:p>
        </w:tc>
      </w:tr>
      <w:tr w:rsidR="0085422C" w14:paraId="1B5249B2" w14:textId="77777777">
        <w:trPr>
          <w:cantSplit/>
          <w:jc w:val="center"/>
        </w:trPr>
        <w:tc>
          <w:tcPr>
            <w:tcW w:w="1440" w:type="dxa"/>
            <w:tcMar>
              <w:top w:w="70" w:type="dxa"/>
              <w:left w:w="80" w:type="dxa"/>
              <w:bottom w:w="70" w:type="dxa"/>
              <w:right w:w="80" w:type="dxa"/>
            </w:tcMar>
            <w:vAlign w:val="center"/>
          </w:tcPr>
          <w:p w14:paraId="32B4C94F" w14:textId="77777777" w:rsidR="00846FAB" w:rsidRPr="00AE74B9" w:rsidRDefault="00000000">
            <w:pPr>
              <w:rPr>
                <w:b/>
                <w:bCs/>
              </w:rPr>
            </w:pPr>
            <w:r w:rsidRPr="00AE74B9">
              <w:rPr>
                <w:b/>
                <w:bCs/>
                <w:sz w:val="16"/>
              </w:rPr>
              <w:t>Background</w:t>
            </w:r>
          </w:p>
        </w:tc>
        <w:tc>
          <w:tcPr>
            <w:tcW w:w="3960" w:type="dxa"/>
            <w:tcMar>
              <w:top w:w="70" w:type="dxa"/>
              <w:left w:w="80" w:type="dxa"/>
              <w:bottom w:w="70" w:type="dxa"/>
              <w:right w:w="80" w:type="dxa"/>
            </w:tcMar>
            <w:vAlign w:val="center"/>
          </w:tcPr>
          <w:p w14:paraId="5C9BB1CA" w14:textId="36714C4A" w:rsidR="00846FAB" w:rsidRDefault="00000000">
            <w:r>
              <w:rPr>
                <w:sz w:val="16"/>
              </w:rPr>
              <w:t>Why an ATMOS expert tier matter?</w:t>
            </w:r>
          </w:p>
        </w:tc>
        <w:tc>
          <w:tcPr>
            <w:tcW w:w="4608" w:type="dxa"/>
            <w:tcMar>
              <w:top w:w="70" w:type="dxa"/>
              <w:left w:w="80" w:type="dxa"/>
              <w:bottom w:w="70" w:type="dxa"/>
              <w:right w:w="80" w:type="dxa"/>
            </w:tcMar>
            <w:vAlign w:val="center"/>
          </w:tcPr>
          <w:p w14:paraId="5C008745" w14:textId="77777777" w:rsidR="00846FAB" w:rsidRDefault="00000000">
            <w:r>
              <w:rPr>
                <w:sz w:val="16"/>
              </w:rPr>
              <w:t>Value hypothesis, claim boundary and common resource model.</w:t>
            </w:r>
          </w:p>
        </w:tc>
      </w:tr>
      <w:tr w:rsidR="00C52885" w14:paraId="792C5AFF" w14:textId="77777777">
        <w:trPr>
          <w:cantSplit/>
          <w:jc w:val="center"/>
        </w:trPr>
        <w:tc>
          <w:tcPr>
            <w:tcW w:w="1440" w:type="dxa"/>
            <w:shd w:val="clear" w:color="auto" w:fill="F3F6F8"/>
            <w:tcMar>
              <w:top w:w="70" w:type="dxa"/>
              <w:left w:w="80" w:type="dxa"/>
              <w:bottom w:w="70" w:type="dxa"/>
              <w:right w:w="80" w:type="dxa"/>
            </w:tcMar>
            <w:vAlign w:val="center"/>
          </w:tcPr>
          <w:p w14:paraId="3EE1ED28" w14:textId="77777777" w:rsidR="00846FAB" w:rsidRPr="00AE74B9" w:rsidRDefault="00000000">
            <w:pPr>
              <w:rPr>
                <w:b/>
                <w:bCs/>
              </w:rPr>
            </w:pPr>
            <w:r w:rsidRPr="00AE74B9">
              <w:rPr>
                <w:b/>
                <w:bCs/>
                <w:sz w:val="16"/>
              </w:rPr>
              <w:t>Product target</w:t>
            </w:r>
          </w:p>
        </w:tc>
        <w:tc>
          <w:tcPr>
            <w:tcW w:w="3960" w:type="dxa"/>
            <w:shd w:val="clear" w:color="auto" w:fill="F3F6F8"/>
            <w:tcMar>
              <w:top w:w="70" w:type="dxa"/>
              <w:left w:w="80" w:type="dxa"/>
              <w:bottom w:w="70" w:type="dxa"/>
              <w:right w:w="80" w:type="dxa"/>
            </w:tcMar>
            <w:vAlign w:val="center"/>
          </w:tcPr>
          <w:p w14:paraId="7C53F9E9" w14:textId="77777777" w:rsidR="00846FAB" w:rsidRDefault="00000000">
            <w:r>
              <w:rPr>
                <w:sz w:val="16"/>
              </w:rPr>
              <w:t>How does the RTX POC/MVP lead to rack scale?</w:t>
            </w:r>
          </w:p>
        </w:tc>
        <w:tc>
          <w:tcPr>
            <w:tcW w:w="4608" w:type="dxa"/>
            <w:shd w:val="clear" w:color="auto" w:fill="F3F6F8"/>
            <w:tcMar>
              <w:top w:w="70" w:type="dxa"/>
              <w:left w:w="80" w:type="dxa"/>
              <w:bottom w:w="70" w:type="dxa"/>
              <w:right w:w="80" w:type="dxa"/>
            </w:tcMar>
            <w:vAlign w:val="center"/>
          </w:tcPr>
          <w:p w14:paraId="3CA74C71" w14:textId="77777777" w:rsidR="00846FAB" w:rsidRDefault="00000000">
            <w:r>
              <w:rPr>
                <w:sz w:val="16"/>
              </w:rPr>
              <w:t>NVIDIA NVL and AMD Helios are the production targets; RTX is the proving ground.</w:t>
            </w:r>
          </w:p>
        </w:tc>
      </w:tr>
      <w:tr w:rsidR="0085422C" w14:paraId="6DBB5C21" w14:textId="77777777">
        <w:trPr>
          <w:cantSplit/>
          <w:jc w:val="center"/>
        </w:trPr>
        <w:tc>
          <w:tcPr>
            <w:tcW w:w="1440" w:type="dxa"/>
            <w:shd w:val="clear" w:color="auto" w:fill="F6F8FA"/>
            <w:tcMar>
              <w:top w:w="70" w:type="dxa"/>
              <w:left w:w="80" w:type="dxa"/>
              <w:bottom w:w="70" w:type="dxa"/>
              <w:right w:w="80" w:type="dxa"/>
            </w:tcMar>
            <w:vAlign w:val="center"/>
          </w:tcPr>
          <w:p w14:paraId="35ABE192" w14:textId="77777777" w:rsidR="00846FAB" w:rsidRPr="00AE74B9" w:rsidRDefault="00000000">
            <w:pPr>
              <w:rPr>
                <w:b/>
                <w:bCs/>
              </w:rPr>
            </w:pPr>
            <w:r w:rsidRPr="00AE74B9">
              <w:rPr>
                <w:b/>
                <w:bCs/>
                <w:sz w:val="16"/>
              </w:rPr>
              <w:t>Part I</w:t>
            </w:r>
          </w:p>
        </w:tc>
        <w:tc>
          <w:tcPr>
            <w:tcW w:w="3960" w:type="dxa"/>
            <w:shd w:val="clear" w:color="auto" w:fill="F6F8FA"/>
            <w:tcMar>
              <w:top w:w="70" w:type="dxa"/>
              <w:left w:w="80" w:type="dxa"/>
              <w:bottom w:w="70" w:type="dxa"/>
              <w:right w:w="80" w:type="dxa"/>
            </w:tcMar>
            <w:vAlign w:val="center"/>
          </w:tcPr>
          <w:p w14:paraId="1DF97E53" w14:textId="77777777" w:rsidR="00846FAB" w:rsidRDefault="00000000">
            <w:r>
              <w:rPr>
                <w:sz w:val="16"/>
              </w:rPr>
              <w:t>How does the switched E3.S subsystem attach?</w:t>
            </w:r>
          </w:p>
        </w:tc>
        <w:tc>
          <w:tcPr>
            <w:tcW w:w="4608" w:type="dxa"/>
            <w:shd w:val="clear" w:color="auto" w:fill="F6F8FA"/>
            <w:tcMar>
              <w:top w:w="70" w:type="dxa"/>
              <w:left w:w="80" w:type="dxa"/>
              <w:bottom w:w="70" w:type="dxa"/>
              <w:right w:w="80" w:type="dxa"/>
            </w:tcMar>
            <w:vAlign w:val="center"/>
          </w:tcPr>
          <w:p w14:paraId="076FF94B" w14:textId="77777777" w:rsidR="00846FAB" w:rsidRDefault="00000000">
            <w:r>
              <w:rPr>
                <w:sz w:val="16"/>
              </w:rPr>
              <w:t>Gen5 baseline, Gen6 path, DMA/peer rules and OEM/rack gates.</w:t>
            </w:r>
          </w:p>
        </w:tc>
      </w:tr>
      <w:tr w:rsidR="0085422C" w14:paraId="37741A81" w14:textId="77777777">
        <w:trPr>
          <w:cantSplit/>
          <w:jc w:val="center"/>
        </w:trPr>
        <w:tc>
          <w:tcPr>
            <w:tcW w:w="1440" w:type="dxa"/>
            <w:shd w:val="clear" w:color="auto" w:fill="F3F6F8"/>
            <w:tcMar>
              <w:top w:w="70" w:type="dxa"/>
              <w:left w:w="80" w:type="dxa"/>
              <w:bottom w:w="70" w:type="dxa"/>
              <w:right w:w="80" w:type="dxa"/>
            </w:tcMar>
            <w:vAlign w:val="center"/>
          </w:tcPr>
          <w:p w14:paraId="47CA4C6F" w14:textId="77777777" w:rsidR="00846FAB" w:rsidRPr="00AE74B9" w:rsidRDefault="00000000">
            <w:pPr>
              <w:rPr>
                <w:b/>
                <w:bCs/>
              </w:rPr>
            </w:pPr>
            <w:r w:rsidRPr="00AE74B9">
              <w:rPr>
                <w:b/>
                <w:bCs/>
                <w:sz w:val="16"/>
              </w:rPr>
              <w:t>Part II</w:t>
            </w:r>
          </w:p>
        </w:tc>
        <w:tc>
          <w:tcPr>
            <w:tcW w:w="3960" w:type="dxa"/>
            <w:shd w:val="clear" w:color="auto" w:fill="F3F6F8"/>
            <w:tcMar>
              <w:top w:w="70" w:type="dxa"/>
              <w:left w:w="80" w:type="dxa"/>
              <w:bottom w:w="70" w:type="dxa"/>
              <w:right w:w="80" w:type="dxa"/>
            </w:tcMar>
            <w:vAlign w:val="center"/>
          </w:tcPr>
          <w:p w14:paraId="36E30E20" w14:textId="77777777" w:rsidR="00846FAB" w:rsidRDefault="00000000">
            <w:r>
              <w:rPr>
                <w:sz w:val="16"/>
              </w:rPr>
              <w:t>What changes in the serving stack?</w:t>
            </w:r>
          </w:p>
        </w:tc>
        <w:tc>
          <w:tcPr>
            <w:tcW w:w="4608" w:type="dxa"/>
            <w:shd w:val="clear" w:color="auto" w:fill="F3F6F8"/>
            <w:tcMar>
              <w:top w:w="70" w:type="dxa"/>
              <w:left w:w="80" w:type="dxa"/>
              <w:bottom w:w="70" w:type="dxa"/>
              <w:right w:w="80" w:type="dxa"/>
            </w:tcMar>
            <w:vAlign w:val="center"/>
          </w:tcPr>
          <w:p w14:paraId="3FA1A642" w14:textId="77777777" w:rsidR="00846FAB" w:rsidRDefault="00000000">
            <w:r>
              <w:rPr>
                <w:sz w:val="16"/>
              </w:rPr>
              <w:t>One vendor-neutral workstream with explicit NVIDIA and AMD seams.</w:t>
            </w:r>
          </w:p>
        </w:tc>
      </w:tr>
      <w:tr w:rsidR="0085422C" w14:paraId="249ACF86" w14:textId="77777777">
        <w:trPr>
          <w:cantSplit/>
          <w:jc w:val="center"/>
        </w:trPr>
        <w:tc>
          <w:tcPr>
            <w:tcW w:w="1440" w:type="dxa"/>
            <w:tcMar>
              <w:top w:w="70" w:type="dxa"/>
              <w:left w:w="80" w:type="dxa"/>
              <w:bottom w:w="70" w:type="dxa"/>
              <w:right w:w="80" w:type="dxa"/>
            </w:tcMar>
            <w:vAlign w:val="center"/>
          </w:tcPr>
          <w:p w14:paraId="7C29893F" w14:textId="77777777" w:rsidR="00846FAB" w:rsidRPr="00AE74B9" w:rsidRDefault="00000000">
            <w:pPr>
              <w:rPr>
                <w:b/>
                <w:bCs/>
              </w:rPr>
            </w:pPr>
            <w:r w:rsidRPr="00AE74B9">
              <w:rPr>
                <w:b/>
                <w:bCs/>
                <w:sz w:val="16"/>
              </w:rPr>
              <w:t>Part III</w:t>
            </w:r>
          </w:p>
        </w:tc>
        <w:tc>
          <w:tcPr>
            <w:tcW w:w="3960" w:type="dxa"/>
            <w:tcMar>
              <w:top w:w="70" w:type="dxa"/>
              <w:left w:w="80" w:type="dxa"/>
              <w:bottom w:w="70" w:type="dxa"/>
              <w:right w:w="80" w:type="dxa"/>
            </w:tcMar>
            <w:vAlign w:val="center"/>
          </w:tcPr>
          <w:p w14:paraId="6083338A" w14:textId="77777777" w:rsidR="00846FAB" w:rsidRDefault="00000000">
            <w:r>
              <w:rPr>
                <w:sz w:val="16"/>
              </w:rPr>
              <w:t>What can the architecture mean economically?</w:t>
            </w:r>
          </w:p>
        </w:tc>
        <w:tc>
          <w:tcPr>
            <w:tcW w:w="4608" w:type="dxa"/>
            <w:tcMar>
              <w:top w:w="70" w:type="dxa"/>
              <w:left w:w="80" w:type="dxa"/>
              <w:bottom w:w="70" w:type="dxa"/>
              <w:right w:w="80" w:type="dxa"/>
            </w:tcMar>
            <w:vAlign w:val="center"/>
          </w:tcPr>
          <w:p w14:paraId="245D2680" w14:textId="77777777" w:rsidR="00846FAB" w:rsidRDefault="00000000">
            <w:r>
              <w:rPr>
                <w:sz w:val="16"/>
              </w:rPr>
              <w:t>RTX MVP insurance calibration plus a rack-scale translation rule.</w:t>
            </w:r>
          </w:p>
        </w:tc>
      </w:tr>
      <w:tr w:rsidR="00846FAB" w14:paraId="122DBE26" w14:textId="77777777">
        <w:trPr>
          <w:jc w:val="center"/>
        </w:trPr>
        <w:tc>
          <w:tcPr>
            <w:tcW w:w="1440" w:type="dxa"/>
            <w:shd w:val="clear" w:color="auto" w:fill="F3F6F8"/>
            <w:vAlign w:val="center"/>
          </w:tcPr>
          <w:p w14:paraId="6218050B" w14:textId="77777777" w:rsidR="00846FAB" w:rsidRPr="00AE74B9" w:rsidRDefault="00000000">
            <w:pPr>
              <w:rPr>
                <w:b/>
                <w:bCs/>
              </w:rPr>
            </w:pPr>
            <w:r w:rsidRPr="00AE74B9">
              <w:rPr>
                <w:b/>
                <w:bCs/>
                <w:sz w:val="16"/>
              </w:rPr>
              <w:t>Part IV</w:t>
            </w:r>
          </w:p>
        </w:tc>
        <w:tc>
          <w:tcPr>
            <w:tcW w:w="3960" w:type="dxa"/>
            <w:shd w:val="clear" w:color="auto" w:fill="F3F6F8"/>
            <w:vAlign w:val="center"/>
          </w:tcPr>
          <w:p w14:paraId="4E866E22" w14:textId="77777777" w:rsidR="00846FAB" w:rsidRDefault="00000000">
            <w:r>
              <w:rPr>
                <w:sz w:val="16"/>
              </w:rPr>
              <w:t>What evidence is needed before product commitment?</w:t>
            </w:r>
          </w:p>
        </w:tc>
        <w:tc>
          <w:tcPr>
            <w:tcW w:w="4608" w:type="dxa"/>
            <w:shd w:val="clear" w:color="auto" w:fill="F3F6F8"/>
            <w:vAlign w:val="center"/>
          </w:tcPr>
          <w:p w14:paraId="163BE0DA" w14:textId="77777777" w:rsidR="00846FAB" w:rsidRDefault="00000000">
            <w:r>
              <w:rPr>
                <w:sz w:val="16"/>
              </w:rPr>
              <w:t>Four grouped POCs ending in NVL/Helios rack-scale qualification.</w:t>
            </w:r>
          </w:p>
        </w:tc>
      </w:tr>
    </w:tbl>
    <w:p w14:paraId="7FE47F0F" w14:textId="77777777" w:rsidR="0085422C" w:rsidRDefault="0085422C">
      <w:pPr>
        <w:spacing w:after="20"/>
      </w:pPr>
    </w:p>
    <w:p w14:paraId="7BEB58AF" w14:textId="77777777" w:rsidR="0085422C" w:rsidRDefault="0085422C"/>
    <w:p w14:paraId="0EB6238B" w14:textId="4A06D1AB" w:rsidR="0085422C" w:rsidRPr="002D0B0E" w:rsidRDefault="00FB525F" w:rsidP="002D0B0E">
      <w:pPr>
        <w:rPr>
          <w:b/>
          <w:color w:val="16324F"/>
          <w:sz w:val="36"/>
        </w:rPr>
      </w:pPr>
      <w:r>
        <w:rPr>
          <w:b/>
          <w:color w:val="16324F"/>
          <w:sz w:val="36"/>
        </w:rPr>
        <w:br w:type="page"/>
      </w:r>
      <w:r>
        <w:rPr>
          <w:b/>
          <w:color w:val="16324F"/>
          <w:sz w:val="36"/>
        </w:rPr>
        <w:lastRenderedPageBreak/>
        <w:t>Background: Why an ATMOS expert tier can matter at rack scale</w:t>
      </w:r>
    </w:p>
    <w:p w14:paraId="7C7E499C" w14:textId="77777777" w:rsidR="0085422C" w:rsidRDefault="00000000">
      <w:pPr>
        <w:spacing w:after="100" w:line="259" w:lineRule="auto"/>
      </w:pPr>
      <w:r>
        <w:t xml:space="preserve">Large Mixture-of-Experts models create a useful asymmetry: </w:t>
      </w:r>
      <w:r w:rsidRPr="00AE74B9">
        <w:rPr>
          <w:b/>
          <w:bCs/>
        </w:rPr>
        <w:t>every token activates only a subset of experts</w:t>
      </w:r>
      <w:r>
        <w:t>, yet the serving system must keep a much larger expert population resident and ready. On GPU systems, those expert tensors compete with attention weights, live KV, graph/workspace and batching headroom. At scale, Expert Parallelism can also add dispatch/combine traffic across GPUs and racks.</w:t>
      </w:r>
    </w:p>
    <w:p w14:paraId="13DAD5C5" w14:textId="77777777" w:rsidR="0085422C" w:rsidRDefault="00000000">
      <w:pPr>
        <w:spacing w:after="100" w:line="259" w:lineRule="auto"/>
      </w:pPr>
      <w:r>
        <w:t xml:space="preserve">ATMOS is not treated as a storage device. Each E3.S worker combines HBF, local LPDDR/SRAM working memory and an NPU. The </w:t>
      </w:r>
      <w:r w:rsidRPr="00AE74B9">
        <w:rPr>
          <w:b/>
          <w:bCs/>
        </w:rPr>
        <w:t>architectural bet is to keep routed-expert weights beside the NPU that executes them</w:t>
      </w:r>
      <w:r>
        <w:t xml:space="preserve">, leaving the native GPU platform to do what it already does well. </w:t>
      </w:r>
      <w:r w:rsidRPr="00AE74B9">
        <w:rPr>
          <w:b/>
          <w:bCs/>
        </w:rPr>
        <w:t>RTX is used to prove that split first</w:t>
      </w:r>
      <w:r>
        <w:t>; the production value must then be re-established against the much stronger memory, compute and scale-up fabrics of NVIDIA NVL and AMD Helios.</w:t>
      </w:r>
    </w:p>
    <w:tbl>
      <w:tblPr>
        <w:tblStyle w:val="TableGrid"/>
        <w:tblW w:w="0" w:type="auto"/>
        <w:tblLook w:val="04A0" w:firstRow="1" w:lastRow="0" w:firstColumn="1" w:lastColumn="0" w:noHBand="0" w:noVBand="1"/>
      </w:tblPr>
      <w:tblGrid>
        <w:gridCol w:w="10358"/>
      </w:tblGrid>
      <w:tr w:rsidR="005A5290" w14:paraId="010CEFEA" w14:textId="77777777" w:rsidTr="005A5290">
        <w:tc>
          <w:tcPr>
            <w:tcW w:w="10584" w:type="dxa"/>
          </w:tcPr>
          <w:p w14:paraId="6FAAA871" w14:textId="44AC3919" w:rsidR="005A5290" w:rsidRDefault="005A5290">
            <w:pPr>
              <w:spacing w:after="40"/>
              <w:jc w:val="center"/>
            </w:pPr>
            <w:r>
              <w:rPr>
                <w:noProof/>
              </w:rPr>
              <w:drawing>
                <wp:inline distT="0" distB="0" distL="0" distR="0" wp14:anchorId="1E17418F" wp14:editId="5685884A">
                  <wp:extent cx="6680569" cy="332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rrent_vs_hybrid.png"/>
                          <pic:cNvPicPr/>
                        </pic:nvPicPr>
                        <pic:blipFill>
                          <a:blip r:embed="rId9"/>
                          <a:stretch>
                            <a:fillRect/>
                          </a:stretch>
                        </pic:blipFill>
                        <pic:spPr>
                          <a:xfrm>
                            <a:off x="0" y="0"/>
                            <a:ext cx="6708851" cy="3335109"/>
                          </a:xfrm>
                          <a:prstGeom prst="rect">
                            <a:avLst/>
                          </a:prstGeom>
                        </pic:spPr>
                      </pic:pic>
                    </a:graphicData>
                  </a:graphic>
                </wp:inline>
              </w:drawing>
            </w:r>
          </w:p>
        </w:tc>
      </w:tr>
    </w:tbl>
    <w:p w14:paraId="4D478FDA" w14:textId="383891DF" w:rsidR="0085422C" w:rsidRDefault="0085422C">
      <w:pPr>
        <w:spacing w:after="40"/>
        <w:jc w:val="center"/>
      </w:pPr>
    </w:p>
    <w:p w14:paraId="7E72F37F" w14:textId="77777777" w:rsidR="0085422C" w:rsidRDefault="00000000">
      <w:pPr>
        <w:keepNext/>
        <w:spacing w:before="60" w:after="60"/>
      </w:pPr>
      <w:r>
        <w:rPr>
          <w:rFonts w:eastAsia="Noto Sans"/>
          <w:b/>
          <w:color w:val="16324F"/>
          <w:sz w:val="25"/>
        </w:rPr>
        <w:t>What we can claim — and what we cannot</w:t>
      </w:r>
    </w:p>
    <w:tbl>
      <w:tblPr>
        <w:tblStyle w:val="TableGrid"/>
        <w:tblW w:w="0" w:type="auto"/>
        <w:jc w:val="center"/>
        <w:tblLayout w:type="fixed"/>
        <w:tblLook w:val="04A0" w:firstRow="1" w:lastRow="0" w:firstColumn="1" w:lastColumn="0" w:noHBand="0" w:noVBand="1"/>
      </w:tblPr>
      <w:tblGrid>
        <w:gridCol w:w="1944"/>
        <w:gridCol w:w="4320"/>
        <w:gridCol w:w="3816"/>
      </w:tblGrid>
      <w:tr w:rsidR="0085422C" w14:paraId="5A6C1229" w14:textId="77777777">
        <w:trPr>
          <w:tblHeader/>
          <w:jc w:val="center"/>
        </w:trPr>
        <w:tc>
          <w:tcPr>
            <w:tcW w:w="1944" w:type="dxa"/>
            <w:shd w:val="clear" w:color="auto" w:fill="16324F"/>
            <w:tcMar>
              <w:top w:w="80" w:type="dxa"/>
              <w:left w:w="90" w:type="dxa"/>
              <w:bottom w:w="80" w:type="dxa"/>
              <w:right w:w="90" w:type="dxa"/>
            </w:tcMar>
            <w:vAlign w:val="center"/>
          </w:tcPr>
          <w:p w14:paraId="1AF45BDB" w14:textId="77777777" w:rsidR="0085422C" w:rsidRDefault="00000000">
            <w:r>
              <w:rPr>
                <w:rFonts w:eastAsia="Noto Sans"/>
                <w:b/>
                <w:color w:val="FFFFFF"/>
                <w:sz w:val="15"/>
              </w:rPr>
              <w:t>Expected mechanism</w:t>
            </w:r>
          </w:p>
        </w:tc>
        <w:tc>
          <w:tcPr>
            <w:tcW w:w="4320" w:type="dxa"/>
            <w:shd w:val="clear" w:color="auto" w:fill="16324F"/>
            <w:tcMar>
              <w:top w:w="80" w:type="dxa"/>
              <w:left w:w="90" w:type="dxa"/>
              <w:bottom w:w="80" w:type="dxa"/>
              <w:right w:w="90" w:type="dxa"/>
            </w:tcMar>
            <w:vAlign w:val="center"/>
          </w:tcPr>
          <w:p w14:paraId="2B7498AE" w14:textId="77777777" w:rsidR="0085422C" w:rsidRDefault="00000000">
            <w:r>
              <w:rPr>
                <w:rFonts w:eastAsia="Noto Sans"/>
                <w:b/>
                <w:color w:val="FFFFFF"/>
                <w:sz w:val="15"/>
              </w:rPr>
              <w:t>Defensible target</w:t>
            </w:r>
          </w:p>
        </w:tc>
        <w:tc>
          <w:tcPr>
            <w:tcW w:w="3816" w:type="dxa"/>
            <w:shd w:val="clear" w:color="auto" w:fill="16324F"/>
            <w:tcMar>
              <w:top w:w="80" w:type="dxa"/>
              <w:left w:w="90" w:type="dxa"/>
              <w:bottom w:w="80" w:type="dxa"/>
              <w:right w:w="90" w:type="dxa"/>
            </w:tcMar>
            <w:vAlign w:val="center"/>
          </w:tcPr>
          <w:p w14:paraId="331226ED" w14:textId="77777777" w:rsidR="0085422C" w:rsidRDefault="00000000">
            <w:r>
              <w:rPr>
                <w:rFonts w:eastAsia="Noto Sans"/>
                <w:b/>
                <w:color w:val="FFFFFF"/>
                <w:sz w:val="15"/>
              </w:rPr>
              <w:t>Not assumed</w:t>
            </w:r>
          </w:p>
        </w:tc>
      </w:tr>
      <w:tr w:rsidR="0085422C" w14:paraId="063336A6" w14:textId="77777777">
        <w:trPr>
          <w:cantSplit/>
          <w:jc w:val="center"/>
        </w:trPr>
        <w:tc>
          <w:tcPr>
            <w:tcW w:w="1944" w:type="dxa"/>
            <w:tcMar>
              <w:top w:w="70" w:type="dxa"/>
              <w:left w:w="80" w:type="dxa"/>
              <w:bottom w:w="70" w:type="dxa"/>
              <w:right w:w="80" w:type="dxa"/>
            </w:tcMar>
          </w:tcPr>
          <w:p w14:paraId="7F019458" w14:textId="77777777" w:rsidR="0085422C" w:rsidRDefault="00000000">
            <w:r>
              <w:rPr>
                <w:rFonts w:eastAsia="Noto Sans"/>
                <w:b/>
                <w:color w:val="24313D"/>
                <w:sz w:val="15"/>
              </w:rPr>
              <w:t>GPU memory relief</w:t>
            </w:r>
          </w:p>
        </w:tc>
        <w:tc>
          <w:tcPr>
            <w:tcW w:w="4320" w:type="dxa"/>
            <w:tcMar>
              <w:top w:w="70" w:type="dxa"/>
              <w:left w:w="80" w:type="dxa"/>
              <w:bottom w:w="70" w:type="dxa"/>
              <w:right w:w="80" w:type="dxa"/>
            </w:tcMar>
          </w:tcPr>
          <w:p w14:paraId="7AA4F1EC" w14:textId="76719C53" w:rsidR="0085422C" w:rsidRDefault="00000000">
            <w:r>
              <w:rPr>
                <w:rFonts w:eastAsia="Noto Sans"/>
                <w:color w:val="24313D"/>
                <w:sz w:val="15"/>
              </w:rPr>
              <w:t>ATMOS-owned expert tensors are omitted from GPU residency, creating useful GDDR</w:t>
            </w:r>
            <w:r w:rsidR="002D0B0E">
              <w:rPr>
                <w:rFonts w:eastAsia="Noto Sans"/>
                <w:color w:val="24313D"/>
                <w:sz w:val="15"/>
              </w:rPr>
              <w:t>/HBM</w:t>
            </w:r>
            <w:r>
              <w:rPr>
                <w:rFonts w:eastAsia="Noto Sans"/>
                <w:color w:val="24313D"/>
                <w:sz w:val="15"/>
              </w:rPr>
              <w:t xml:space="preserve"> headroom.</w:t>
            </w:r>
          </w:p>
        </w:tc>
        <w:tc>
          <w:tcPr>
            <w:tcW w:w="3816" w:type="dxa"/>
            <w:tcMar>
              <w:top w:w="70" w:type="dxa"/>
              <w:left w:w="80" w:type="dxa"/>
              <w:bottom w:w="70" w:type="dxa"/>
              <w:right w:w="80" w:type="dxa"/>
            </w:tcMar>
          </w:tcPr>
          <w:p w14:paraId="24E1D19D" w14:textId="77777777" w:rsidR="0085422C" w:rsidRDefault="00000000">
            <w:r>
              <w:rPr>
                <w:rFonts w:eastAsia="Noto Sans"/>
                <w:color w:val="24313D"/>
                <w:sz w:val="15"/>
              </w:rPr>
              <w:t>That every freed GB converts directly into cash savings.</w:t>
            </w:r>
          </w:p>
        </w:tc>
      </w:tr>
      <w:tr w:rsidR="0085422C" w14:paraId="79CA160D" w14:textId="77777777">
        <w:trPr>
          <w:cantSplit/>
          <w:jc w:val="center"/>
        </w:trPr>
        <w:tc>
          <w:tcPr>
            <w:tcW w:w="1944" w:type="dxa"/>
            <w:shd w:val="clear" w:color="auto" w:fill="F3F6F8"/>
            <w:tcMar>
              <w:top w:w="70" w:type="dxa"/>
              <w:left w:w="80" w:type="dxa"/>
              <w:bottom w:w="70" w:type="dxa"/>
              <w:right w:w="80" w:type="dxa"/>
            </w:tcMar>
          </w:tcPr>
          <w:p w14:paraId="75C44423" w14:textId="77777777" w:rsidR="0085422C" w:rsidRDefault="00000000">
            <w:r>
              <w:rPr>
                <w:rFonts w:eastAsia="Noto Sans"/>
                <w:b/>
                <w:color w:val="24313D"/>
                <w:sz w:val="15"/>
              </w:rPr>
              <w:t>Additional compute</w:t>
            </w:r>
          </w:p>
        </w:tc>
        <w:tc>
          <w:tcPr>
            <w:tcW w:w="4320" w:type="dxa"/>
            <w:shd w:val="clear" w:color="auto" w:fill="F3F6F8"/>
            <w:tcMar>
              <w:top w:w="70" w:type="dxa"/>
              <w:left w:w="80" w:type="dxa"/>
              <w:bottom w:w="70" w:type="dxa"/>
              <w:right w:w="80" w:type="dxa"/>
            </w:tcMar>
          </w:tcPr>
          <w:p w14:paraId="0576D7A6" w14:textId="77777777" w:rsidR="0085422C" w:rsidRDefault="00000000">
            <w:r>
              <w:rPr>
                <w:rFonts w:eastAsia="Noto Sans"/>
                <w:color w:val="24313D"/>
                <w:sz w:val="15"/>
              </w:rPr>
              <w:t>ATMOS NPU performs the expert FFN instead of returning weights to a GPU for execution.</w:t>
            </w:r>
          </w:p>
        </w:tc>
        <w:tc>
          <w:tcPr>
            <w:tcW w:w="3816" w:type="dxa"/>
            <w:shd w:val="clear" w:color="auto" w:fill="F3F6F8"/>
            <w:tcMar>
              <w:top w:w="70" w:type="dxa"/>
              <w:left w:w="80" w:type="dxa"/>
              <w:bottom w:w="70" w:type="dxa"/>
              <w:right w:w="80" w:type="dxa"/>
            </w:tcMar>
          </w:tcPr>
          <w:p w14:paraId="3B3BA231" w14:textId="77777777" w:rsidR="0085422C" w:rsidRDefault="00000000">
            <w:r>
              <w:rPr>
                <w:rFonts w:eastAsia="Noto Sans"/>
                <w:color w:val="24313D"/>
                <w:sz w:val="15"/>
              </w:rPr>
              <w:t>That NPU peak TOPS maps directly to token throughput.</w:t>
            </w:r>
          </w:p>
        </w:tc>
      </w:tr>
      <w:tr w:rsidR="0085422C" w14:paraId="071225C6" w14:textId="77777777">
        <w:trPr>
          <w:cantSplit/>
          <w:jc w:val="center"/>
        </w:trPr>
        <w:tc>
          <w:tcPr>
            <w:tcW w:w="1944" w:type="dxa"/>
            <w:tcMar>
              <w:top w:w="70" w:type="dxa"/>
              <w:left w:w="80" w:type="dxa"/>
              <w:bottom w:w="70" w:type="dxa"/>
              <w:right w:w="80" w:type="dxa"/>
            </w:tcMar>
          </w:tcPr>
          <w:p w14:paraId="58BCF246" w14:textId="77777777" w:rsidR="0085422C" w:rsidRDefault="00000000">
            <w:r>
              <w:rPr>
                <w:rFonts w:eastAsia="Noto Sans"/>
                <w:b/>
                <w:color w:val="24313D"/>
                <w:sz w:val="15"/>
              </w:rPr>
              <w:t>Throughput / node count</w:t>
            </w:r>
          </w:p>
        </w:tc>
        <w:tc>
          <w:tcPr>
            <w:tcW w:w="4320" w:type="dxa"/>
            <w:tcMar>
              <w:top w:w="70" w:type="dxa"/>
              <w:left w:w="80" w:type="dxa"/>
              <w:bottom w:w="70" w:type="dxa"/>
              <w:right w:w="80" w:type="dxa"/>
            </w:tcMar>
            <w:vAlign w:val="center"/>
          </w:tcPr>
          <w:p w14:paraId="63A74384" w14:textId="77777777" w:rsidR="00846FAB" w:rsidRDefault="00000000">
            <w:r>
              <w:rPr>
                <w:sz w:val="15"/>
              </w:rPr>
              <w:t>At fixed SLO, accepted work per GPU service unit increases enough to serve more demand or reduce required GPU nodes/trays/racks.</w:t>
            </w:r>
          </w:p>
        </w:tc>
        <w:tc>
          <w:tcPr>
            <w:tcW w:w="3816" w:type="dxa"/>
            <w:tcMar>
              <w:top w:w="70" w:type="dxa"/>
              <w:left w:w="80" w:type="dxa"/>
              <w:bottom w:w="70" w:type="dxa"/>
              <w:right w:w="80" w:type="dxa"/>
            </w:tcMar>
            <w:vAlign w:val="center"/>
          </w:tcPr>
          <w:p w14:paraId="22D601DC" w14:textId="77777777" w:rsidR="00846FAB" w:rsidRDefault="00000000">
            <w:r>
              <w:rPr>
                <w:sz w:val="15"/>
              </w:rPr>
              <w:t>A universal node- or rack-reduction ratio, or transfer of the RTX MVP result to NVL/Helios.</w:t>
            </w:r>
          </w:p>
        </w:tc>
      </w:tr>
      <w:tr w:rsidR="0085422C" w14:paraId="1D77FC9F" w14:textId="77777777">
        <w:trPr>
          <w:cantSplit/>
          <w:jc w:val="center"/>
        </w:trPr>
        <w:tc>
          <w:tcPr>
            <w:tcW w:w="1944" w:type="dxa"/>
            <w:shd w:val="clear" w:color="auto" w:fill="F3F6F8"/>
            <w:tcMar>
              <w:top w:w="70" w:type="dxa"/>
              <w:left w:w="80" w:type="dxa"/>
              <w:bottom w:w="70" w:type="dxa"/>
              <w:right w:w="80" w:type="dxa"/>
            </w:tcMar>
          </w:tcPr>
          <w:p w14:paraId="5E3FD007" w14:textId="77777777" w:rsidR="0085422C" w:rsidRDefault="00000000">
            <w:r>
              <w:rPr>
                <w:rFonts w:eastAsia="Noto Sans"/>
                <w:b/>
                <w:color w:val="24313D"/>
                <w:sz w:val="15"/>
              </w:rPr>
              <w:t>TTFT / TPOT</w:t>
            </w:r>
          </w:p>
        </w:tc>
        <w:tc>
          <w:tcPr>
            <w:tcW w:w="4320" w:type="dxa"/>
            <w:shd w:val="clear" w:color="auto" w:fill="F3F6F8"/>
            <w:tcMar>
              <w:top w:w="70" w:type="dxa"/>
              <w:left w:w="80" w:type="dxa"/>
              <w:bottom w:w="70" w:type="dxa"/>
              <w:right w:w="80" w:type="dxa"/>
            </w:tcMar>
          </w:tcPr>
          <w:p w14:paraId="511C9819" w14:textId="77777777" w:rsidR="0085422C" w:rsidRDefault="00000000">
            <w:r>
              <w:rPr>
                <w:rFonts w:eastAsia="Noto Sans"/>
                <w:color w:val="24313D"/>
                <w:sz w:val="15"/>
              </w:rPr>
              <w:t>Preserve the existing SLO; improve tails if reduced queueing/expert work is on the critical path.</w:t>
            </w:r>
          </w:p>
        </w:tc>
        <w:tc>
          <w:tcPr>
            <w:tcW w:w="3816" w:type="dxa"/>
            <w:shd w:val="clear" w:color="auto" w:fill="F3F6F8"/>
            <w:tcMar>
              <w:top w:w="70" w:type="dxa"/>
              <w:left w:w="80" w:type="dxa"/>
              <w:bottom w:w="70" w:type="dxa"/>
              <w:right w:w="80" w:type="dxa"/>
            </w:tcMar>
          </w:tcPr>
          <w:p w14:paraId="5103E513" w14:textId="77777777" w:rsidR="0085422C" w:rsidRDefault="00000000">
            <w:r>
              <w:rPr>
                <w:rFonts w:eastAsia="Noto Sans"/>
                <w:color w:val="24313D"/>
                <w:sz w:val="15"/>
              </w:rPr>
              <w:t>Automatic per-request latency improvement.</w:t>
            </w:r>
          </w:p>
        </w:tc>
      </w:tr>
      <w:tr w:rsidR="0085422C" w14:paraId="2B2DFD53" w14:textId="77777777">
        <w:trPr>
          <w:cantSplit/>
          <w:jc w:val="center"/>
        </w:trPr>
        <w:tc>
          <w:tcPr>
            <w:tcW w:w="1944" w:type="dxa"/>
            <w:tcMar>
              <w:top w:w="70" w:type="dxa"/>
              <w:left w:w="80" w:type="dxa"/>
              <w:bottom w:w="70" w:type="dxa"/>
              <w:right w:w="80" w:type="dxa"/>
            </w:tcMar>
          </w:tcPr>
          <w:p w14:paraId="1F2316C3" w14:textId="77777777" w:rsidR="0085422C" w:rsidRDefault="00000000">
            <w:r>
              <w:rPr>
                <w:rFonts w:eastAsia="Noto Sans"/>
                <w:b/>
                <w:color w:val="24313D"/>
                <w:sz w:val="15"/>
              </w:rPr>
              <w:t>Network locality</w:t>
            </w:r>
          </w:p>
        </w:tc>
        <w:tc>
          <w:tcPr>
            <w:tcW w:w="4320" w:type="dxa"/>
            <w:tcMar>
              <w:top w:w="70" w:type="dxa"/>
              <w:left w:w="80" w:type="dxa"/>
              <w:bottom w:w="70" w:type="dxa"/>
              <w:right w:w="80" w:type="dxa"/>
            </w:tcMar>
            <w:vAlign w:val="center"/>
          </w:tcPr>
          <w:p w14:paraId="202CF6C2" w14:textId="77777777" w:rsidR="00846FAB" w:rsidRDefault="00000000">
            <w:r>
              <w:rPr>
                <w:sz w:val="15"/>
              </w:rPr>
              <w:t xml:space="preserve">A larger local expert bank can reduce remote expert edges when the complete execution graph and transport path are </w:t>
            </w:r>
            <w:proofErr w:type="gramStart"/>
            <w:r>
              <w:rPr>
                <w:sz w:val="15"/>
              </w:rPr>
              <w:t>actually local</w:t>
            </w:r>
            <w:proofErr w:type="gramEnd"/>
            <w:r>
              <w:rPr>
                <w:sz w:val="15"/>
              </w:rPr>
              <w:t>.</w:t>
            </w:r>
          </w:p>
        </w:tc>
        <w:tc>
          <w:tcPr>
            <w:tcW w:w="3816" w:type="dxa"/>
            <w:tcMar>
              <w:top w:w="70" w:type="dxa"/>
              <w:left w:w="80" w:type="dxa"/>
              <w:bottom w:w="70" w:type="dxa"/>
              <w:right w:w="80" w:type="dxa"/>
            </w:tcMar>
            <w:vAlign w:val="center"/>
          </w:tcPr>
          <w:p w14:paraId="780321A0" w14:textId="77777777" w:rsidR="00846FAB" w:rsidRDefault="00000000">
            <w:r>
              <w:rPr>
                <w:sz w:val="15"/>
              </w:rPr>
              <w:t xml:space="preserve">That an E3.S switch joins </w:t>
            </w:r>
            <w:proofErr w:type="spellStart"/>
            <w:r>
              <w:rPr>
                <w:sz w:val="15"/>
              </w:rPr>
              <w:t>NVLink</w:t>
            </w:r>
            <w:proofErr w:type="spellEnd"/>
            <w:r>
              <w:rPr>
                <w:sz w:val="15"/>
              </w:rPr>
              <w:t>/</w:t>
            </w:r>
            <w:proofErr w:type="spellStart"/>
            <w:r>
              <w:rPr>
                <w:sz w:val="15"/>
              </w:rPr>
              <w:t>NVSwitch</w:t>
            </w:r>
            <w:proofErr w:type="spellEnd"/>
            <w:r>
              <w:rPr>
                <w:sz w:val="15"/>
              </w:rPr>
              <w:t xml:space="preserve"> or </w:t>
            </w:r>
            <w:proofErr w:type="spellStart"/>
            <w:proofErr w:type="gramStart"/>
            <w:r>
              <w:rPr>
                <w:sz w:val="15"/>
              </w:rPr>
              <w:t>UALink</w:t>
            </w:r>
            <w:proofErr w:type="spellEnd"/>
            <w:r>
              <w:rPr>
                <w:sz w:val="15"/>
              </w:rPr>
              <w:t>, or</w:t>
            </w:r>
            <w:proofErr w:type="gramEnd"/>
            <w:r>
              <w:rPr>
                <w:sz w:val="15"/>
              </w:rPr>
              <w:t xml:space="preserve"> eliminates scale-out communication by itself.</w:t>
            </w:r>
          </w:p>
        </w:tc>
      </w:tr>
    </w:tbl>
    <w:p w14:paraId="474970F5" w14:textId="77777777" w:rsidR="00FB525F" w:rsidRDefault="00FB525F">
      <w:pPr>
        <w:rPr>
          <w:b/>
          <w:color w:val="16324F"/>
          <w:sz w:val="36"/>
        </w:rPr>
      </w:pPr>
    </w:p>
    <w:p w14:paraId="57A82A5A" w14:textId="157D6BF3" w:rsidR="00846FAB" w:rsidRDefault="00000000">
      <w:r>
        <w:rPr>
          <w:b/>
          <w:color w:val="16324F"/>
          <w:sz w:val="36"/>
        </w:rPr>
        <w:lastRenderedPageBreak/>
        <w:t>Rack-scale is the product; RTX is the proving ground</w:t>
      </w:r>
      <w:r w:rsidR="00FB525F">
        <w:br/>
      </w:r>
      <w:r>
        <w:rPr>
          <w:sz w:val="18"/>
        </w:rPr>
        <w:t xml:space="preserve">The common </w:t>
      </w:r>
      <w:proofErr w:type="spellStart"/>
      <w:r>
        <w:rPr>
          <w:sz w:val="18"/>
        </w:rPr>
        <w:t>Sandisk</w:t>
      </w:r>
      <w:proofErr w:type="spellEnd"/>
      <w:r>
        <w:rPr>
          <w:sz w:val="18"/>
        </w:rPr>
        <w:t xml:space="preserve"> contract is intentionally independent of one GPU vendor: </w:t>
      </w:r>
      <w:proofErr w:type="spellStart"/>
      <w:r>
        <w:rPr>
          <w:sz w:val="18"/>
        </w:rPr>
        <w:t>vLLM</w:t>
      </w:r>
      <w:proofErr w:type="spellEnd"/>
      <w:r>
        <w:rPr>
          <w:sz w:val="18"/>
        </w:rPr>
        <w:t xml:space="preserve"> selects the same neural experts, the </w:t>
      </w:r>
      <w:proofErr w:type="spellStart"/>
      <w:r>
        <w:rPr>
          <w:sz w:val="18"/>
        </w:rPr>
        <w:t>Sandisk</w:t>
      </w:r>
      <w:proofErr w:type="spellEnd"/>
      <w:r>
        <w:rPr>
          <w:sz w:val="18"/>
        </w:rPr>
        <w:t xml:space="preserve"> adapter maps those experts to ATMOS workers, and the ATMOS runtime executes them. What changes by platform is the GPU framework seam, transport path, host architecture, rack topology and lifecycle integration.</w:t>
      </w:r>
    </w:p>
    <w:tbl>
      <w:tblPr>
        <w:tblStyle w:val="TableGrid"/>
        <w:tblW w:w="0" w:type="auto"/>
        <w:jc w:val="center"/>
        <w:tblLayout w:type="fixed"/>
        <w:tblLook w:val="04A0" w:firstRow="1" w:lastRow="0" w:firstColumn="1" w:lastColumn="0" w:noHBand="0" w:noVBand="1"/>
      </w:tblPr>
      <w:tblGrid>
        <w:gridCol w:w="2785"/>
        <w:gridCol w:w="3070"/>
        <w:gridCol w:w="4220"/>
      </w:tblGrid>
      <w:tr w:rsidR="00167EA5" w14:paraId="6EEDAD00" w14:textId="77777777" w:rsidTr="00167EA5">
        <w:trPr>
          <w:tblHeader/>
          <w:jc w:val="center"/>
        </w:trPr>
        <w:tc>
          <w:tcPr>
            <w:tcW w:w="2785" w:type="dxa"/>
            <w:shd w:val="clear" w:color="auto" w:fill="16324F"/>
            <w:vAlign w:val="center"/>
          </w:tcPr>
          <w:p w14:paraId="696DA3FF" w14:textId="77777777" w:rsidR="00167EA5" w:rsidRDefault="00167EA5">
            <w:bookmarkStart w:id="1" w:name="OLE_LINK28"/>
            <w:r>
              <w:rPr>
                <w:b/>
                <w:color w:val="FFFFFF"/>
                <w:sz w:val="14"/>
              </w:rPr>
              <w:t>Stage</w:t>
            </w:r>
          </w:p>
        </w:tc>
        <w:tc>
          <w:tcPr>
            <w:tcW w:w="3070" w:type="dxa"/>
            <w:shd w:val="clear" w:color="auto" w:fill="16324F"/>
            <w:vAlign w:val="center"/>
          </w:tcPr>
          <w:p w14:paraId="2E395DA8" w14:textId="5A09E125" w:rsidR="00167EA5" w:rsidRDefault="00167EA5">
            <w:r>
              <w:rPr>
                <w:b/>
                <w:color w:val="FFFFFF"/>
                <w:sz w:val="14"/>
              </w:rPr>
              <w:t>Target GPU</w:t>
            </w:r>
          </w:p>
        </w:tc>
        <w:tc>
          <w:tcPr>
            <w:tcW w:w="4220" w:type="dxa"/>
            <w:shd w:val="clear" w:color="auto" w:fill="16324F"/>
            <w:vAlign w:val="center"/>
          </w:tcPr>
          <w:p w14:paraId="22032D4D" w14:textId="68B85954" w:rsidR="00167EA5" w:rsidRDefault="00167EA5">
            <w:r>
              <w:rPr>
                <w:b/>
                <w:color w:val="FFFFFF"/>
                <w:sz w:val="14"/>
              </w:rPr>
              <w:t>Significance</w:t>
            </w:r>
          </w:p>
        </w:tc>
      </w:tr>
      <w:tr w:rsidR="00167EA5" w14:paraId="227FAC83" w14:textId="77777777" w:rsidTr="00167EA5">
        <w:trPr>
          <w:jc w:val="center"/>
        </w:trPr>
        <w:tc>
          <w:tcPr>
            <w:tcW w:w="2785" w:type="dxa"/>
            <w:vAlign w:val="center"/>
          </w:tcPr>
          <w:p w14:paraId="2F12C486" w14:textId="77777777" w:rsidR="00167EA5" w:rsidRDefault="00167EA5">
            <w:r>
              <w:rPr>
                <w:sz w:val="14"/>
              </w:rPr>
              <w:t>POC / MVP</w:t>
            </w:r>
          </w:p>
        </w:tc>
        <w:tc>
          <w:tcPr>
            <w:tcW w:w="3070" w:type="dxa"/>
            <w:vAlign w:val="center"/>
          </w:tcPr>
          <w:p w14:paraId="7E0A1554" w14:textId="77777777" w:rsidR="00167EA5" w:rsidRDefault="00167EA5">
            <w:r>
              <w:rPr>
                <w:sz w:val="14"/>
              </w:rPr>
              <w:t>8 × RTX PRO 6000-class server + 8 ATMOS E</w:t>
            </w:r>
            <w:proofErr w:type="gramStart"/>
            <w:r>
              <w:rPr>
                <w:sz w:val="14"/>
              </w:rPr>
              <w:t>3.S</w:t>
            </w:r>
            <w:proofErr w:type="gramEnd"/>
          </w:p>
        </w:tc>
        <w:tc>
          <w:tcPr>
            <w:tcW w:w="4220" w:type="dxa"/>
            <w:vAlign w:val="center"/>
          </w:tcPr>
          <w:p w14:paraId="51180B8B" w14:textId="77777777" w:rsidR="00167EA5" w:rsidRDefault="00167EA5">
            <w:r>
              <w:rPr>
                <w:sz w:val="14"/>
              </w:rPr>
              <w:t xml:space="preserve">Prove expert ABI, switched E3.S, DMA, </w:t>
            </w:r>
            <w:proofErr w:type="spellStart"/>
            <w:r>
              <w:rPr>
                <w:sz w:val="14"/>
              </w:rPr>
              <w:t>vLLM</w:t>
            </w:r>
            <w:proofErr w:type="spellEnd"/>
            <w:r>
              <w:rPr>
                <w:sz w:val="14"/>
              </w:rPr>
              <w:t xml:space="preserve"> integration and economic threshold. Not the final product claim.</w:t>
            </w:r>
          </w:p>
        </w:tc>
      </w:tr>
      <w:tr w:rsidR="00167EA5" w14:paraId="7C1D52C1" w14:textId="77777777" w:rsidTr="00167EA5">
        <w:trPr>
          <w:jc w:val="center"/>
        </w:trPr>
        <w:tc>
          <w:tcPr>
            <w:tcW w:w="2785" w:type="dxa"/>
            <w:shd w:val="clear" w:color="auto" w:fill="F3F6F8"/>
            <w:vAlign w:val="center"/>
          </w:tcPr>
          <w:p w14:paraId="79187DAF" w14:textId="6E7CCE7A" w:rsidR="00167EA5" w:rsidRDefault="00167EA5">
            <w:pPr>
              <w:rPr>
                <w:sz w:val="14"/>
              </w:rPr>
            </w:pPr>
            <w:r w:rsidRPr="00167EA5">
              <w:rPr>
                <w:sz w:val="14"/>
              </w:rPr>
              <w:t xml:space="preserve">Supermicro DCBBS / </w:t>
            </w:r>
            <w:proofErr w:type="spellStart"/>
            <w:r w:rsidRPr="00167EA5">
              <w:rPr>
                <w:sz w:val="14"/>
              </w:rPr>
              <w:t>SuperCluster</w:t>
            </w:r>
            <w:proofErr w:type="spellEnd"/>
          </w:p>
        </w:tc>
        <w:tc>
          <w:tcPr>
            <w:tcW w:w="3070" w:type="dxa"/>
            <w:shd w:val="clear" w:color="auto" w:fill="F3F6F8"/>
            <w:vAlign w:val="center"/>
          </w:tcPr>
          <w:p w14:paraId="3B9A9092" w14:textId="27A66ECA" w:rsidR="00167EA5" w:rsidRDefault="00167EA5">
            <w:pPr>
              <w:rPr>
                <w:sz w:val="14"/>
              </w:rPr>
            </w:pPr>
            <w:bookmarkStart w:id="2" w:name="OLE_LINK32"/>
            <w:r>
              <w:rPr>
                <w:sz w:val="14"/>
              </w:rPr>
              <w:t>NVIDIA</w:t>
            </w:r>
            <w:r>
              <w:rPr>
                <w:sz w:val="14"/>
              </w:rPr>
              <w:t xml:space="preserve"> </w:t>
            </w:r>
            <w:r>
              <w:rPr>
                <w:sz w:val="14"/>
              </w:rPr>
              <w:t>GB300</w:t>
            </w:r>
            <w:r>
              <w:rPr>
                <w:sz w:val="14"/>
              </w:rPr>
              <w:t xml:space="preserve"> &amp; AMD </w:t>
            </w:r>
            <w:r>
              <w:rPr>
                <w:sz w:val="14"/>
              </w:rPr>
              <w:t>MI455X</w:t>
            </w:r>
            <w:bookmarkEnd w:id="2"/>
          </w:p>
        </w:tc>
        <w:tc>
          <w:tcPr>
            <w:tcW w:w="4220" w:type="dxa"/>
            <w:shd w:val="clear" w:color="auto" w:fill="F3F6F8"/>
            <w:vAlign w:val="center"/>
          </w:tcPr>
          <w:p w14:paraId="2E9B96FC" w14:textId="77777777" w:rsidR="00167EA5" w:rsidRPr="00167EA5" w:rsidRDefault="00167EA5" w:rsidP="00167EA5">
            <w:pPr>
              <w:rPr>
                <w:sz w:val="14"/>
              </w:rPr>
            </w:pPr>
            <w:r w:rsidRPr="00167EA5">
              <w:rPr>
                <w:sz w:val="14"/>
              </w:rPr>
              <w:t>Broad system/rack portfolio, rack integration, liquid cooling, networking/cabling, L11/L12 validation and deployment</w:t>
            </w:r>
          </w:p>
          <w:p w14:paraId="787D5B1D" w14:textId="77777777" w:rsidR="00167EA5" w:rsidRDefault="00167EA5">
            <w:pPr>
              <w:rPr>
                <w:sz w:val="14"/>
              </w:rPr>
            </w:pPr>
          </w:p>
        </w:tc>
      </w:tr>
      <w:tr w:rsidR="00167EA5" w14:paraId="0FDF5175" w14:textId="77777777" w:rsidTr="00167EA5">
        <w:trPr>
          <w:jc w:val="center"/>
        </w:trPr>
        <w:tc>
          <w:tcPr>
            <w:tcW w:w="2785" w:type="dxa"/>
            <w:vAlign w:val="center"/>
          </w:tcPr>
          <w:p w14:paraId="710C4F3D" w14:textId="75CFB594" w:rsidR="00167EA5" w:rsidRDefault="00167EA5">
            <w:pPr>
              <w:rPr>
                <w:sz w:val="14"/>
              </w:rPr>
            </w:pPr>
            <w:r w:rsidRPr="00167EA5">
              <w:rPr>
                <w:sz w:val="14"/>
              </w:rPr>
              <w:t>Dell AI Factory</w:t>
            </w:r>
          </w:p>
        </w:tc>
        <w:tc>
          <w:tcPr>
            <w:tcW w:w="3070" w:type="dxa"/>
            <w:vAlign w:val="center"/>
          </w:tcPr>
          <w:p w14:paraId="0048CBD4" w14:textId="4C0172AF" w:rsidR="00167EA5" w:rsidRDefault="00167EA5">
            <w:pPr>
              <w:rPr>
                <w:sz w:val="14"/>
              </w:rPr>
            </w:pPr>
            <w:r>
              <w:rPr>
                <w:sz w:val="14"/>
              </w:rPr>
              <w:t xml:space="preserve">NVIDIA GB300 &amp; </w:t>
            </w:r>
            <w:bookmarkStart w:id="3" w:name="OLE_LINK33"/>
            <w:r>
              <w:rPr>
                <w:sz w:val="14"/>
              </w:rPr>
              <w:t>AMD MI455X</w:t>
            </w:r>
            <w:bookmarkEnd w:id="3"/>
          </w:p>
        </w:tc>
        <w:tc>
          <w:tcPr>
            <w:tcW w:w="4220" w:type="dxa"/>
            <w:vAlign w:val="center"/>
          </w:tcPr>
          <w:p w14:paraId="7F0F7A9A" w14:textId="6CA513A1" w:rsidR="00167EA5" w:rsidRDefault="00167EA5">
            <w:pPr>
              <w:rPr>
                <w:sz w:val="14"/>
              </w:rPr>
            </w:pPr>
            <w:r w:rsidRPr="00167EA5">
              <w:rPr>
                <w:sz w:val="14"/>
              </w:rPr>
              <w:t>NVIDIA all-in-one path, AMD open architecture, broad lifecycle/services, financing, and enterprise support</w:t>
            </w:r>
          </w:p>
        </w:tc>
      </w:tr>
      <w:tr w:rsidR="00167EA5" w14:paraId="6731BE69" w14:textId="77777777" w:rsidTr="00167EA5">
        <w:trPr>
          <w:jc w:val="center"/>
        </w:trPr>
        <w:tc>
          <w:tcPr>
            <w:tcW w:w="2785" w:type="dxa"/>
            <w:shd w:val="clear" w:color="auto" w:fill="DBE5F1" w:themeFill="accent1" w:themeFillTint="33"/>
            <w:vAlign w:val="center"/>
          </w:tcPr>
          <w:p w14:paraId="0130FDD7" w14:textId="62624D4B" w:rsidR="00167EA5" w:rsidRDefault="00167EA5">
            <w:r>
              <w:rPr>
                <w:sz w:val="14"/>
              </w:rPr>
              <w:t>AMD</w:t>
            </w:r>
          </w:p>
        </w:tc>
        <w:tc>
          <w:tcPr>
            <w:tcW w:w="3070" w:type="dxa"/>
            <w:shd w:val="clear" w:color="auto" w:fill="DBE5F1" w:themeFill="accent1" w:themeFillTint="33"/>
            <w:vAlign w:val="center"/>
          </w:tcPr>
          <w:p w14:paraId="4F86D182" w14:textId="2A6521E9" w:rsidR="00167EA5" w:rsidRDefault="00167EA5">
            <w:r>
              <w:rPr>
                <w:sz w:val="14"/>
              </w:rPr>
              <w:t>AMD MI455X</w:t>
            </w:r>
          </w:p>
        </w:tc>
        <w:tc>
          <w:tcPr>
            <w:tcW w:w="4220" w:type="dxa"/>
            <w:shd w:val="clear" w:color="auto" w:fill="DBE5F1" w:themeFill="accent1" w:themeFillTint="33"/>
            <w:vAlign w:val="center"/>
          </w:tcPr>
          <w:p w14:paraId="2C878CCF" w14:textId="5EF27D94" w:rsidR="00167EA5" w:rsidRDefault="00167EA5"/>
        </w:tc>
      </w:tr>
      <w:bookmarkEnd w:id="1"/>
    </w:tbl>
    <w:p w14:paraId="285EC86E" w14:textId="77777777" w:rsidR="0085422C" w:rsidRDefault="0085422C">
      <w:pPr>
        <w:spacing w:after="20"/>
      </w:pPr>
    </w:p>
    <w:p w14:paraId="573BF196" w14:textId="77777777" w:rsidR="009E7494" w:rsidRDefault="009E7494">
      <w:r>
        <w:br w:type="page"/>
      </w:r>
    </w:p>
    <w:p w14:paraId="31AFE83A" w14:textId="77777777" w:rsidR="009E7494" w:rsidRDefault="009E7494" w:rsidP="009E7494">
      <w:pPr>
        <w:keepNext/>
        <w:spacing w:before="80" w:after="40"/>
      </w:pPr>
      <w:r>
        <w:rPr>
          <w:rFonts w:eastAsia="Noto Sans"/>
          <w:b/>
          <w:color w:val="A73545"/>
          <w:sz w:val="17"/>
        </w:rPr>
        <w:lastRenderedPageBreak/>
        <w:t>HARDWARE PLATFORM</w:t>
      </w:r>
    </w:p>
    <w:p w14:paraId="446CBFA7" w14:textId="77777777" w:rsidR="009E7494" w:rsidRDefault="009E7494" w:rsidP="009E7494">
      <w:pPr>
        <w:keepNext/>
        <w:spacing w:before="100" w:after="100"/>
        <w:rPr>
          <w:b/>
          <w:color w:val="16324F"/>
          <w:sz w:val="36"/>
        </w:rPr>
      </w:pPr>
      <w:r>
        <w:rPr>
          <w:b/>
          <w:color w:val="16324F"/>
          <w:sz w:val="36"/>
        </w:rPr>
        <w:t>Part I — Switched E3.S subsystem: one building block from RTX MVP to rack scale</w:t>
      </w:r>
    </w:p>
    <w:tbl>
      <w:tblPr>
        <w:tblStyle w:val="TableGrid"/>
        <w:tblW w:w="0" w:type="auto"/>
        <w:jc w:val="center"/>
        <w:tblLayout w:type="fixed"/>
        <w:tblLook w:val="04A0" w:firstRow="1" w:lastRow="0" w:firstColumn="1" w:lastColumn="0" w:noHBand="0" w:noVBand="1"/>
      </w:tblPr>
      <w:tblGrid>
        <w:gridCol w:w="1800"/>
        <w:gridCol w:w="4176"/>
        <w:gridCol w:w="4248"/>
      </w:tblGrid>
      <w:tr w:rsidR="00FB525F" w14:paraId="5FA6CD3D" w14:textId="77777777" w:rsidTr="002E7283">
        <w:trPr>
          <w:tblHeader/>
          <w:jc w:val="center"/>
        </w:trPr>
        <w:tc>
          <w:tcPr>
            <w:tcW w:w="1800" w:type="dxa"/>
            <w:shd w:val="clear" w:color="auto" w:fill="16324F"/>
            <w:tcMar>
              <w:top w:w="80" w:type="dxa"/>
              <w:left w:w="90" w:type="dxa"/>
              <w:bottom w:w="80" w:type="dxa"/>
              <w:right w:w="90" w:type="dxa"/>
            </w:tcMar>
            <w:vAlign w:val="center"/>
          </w:tcPr>
          <w:p w14:paraId="6EE97713" w14:textId="77777777" w:rsidR="00FB525F" w:rsidRDefault="00FB525F" w:rsidP="002E7283">
            <w:r>
              <w:rPr>
                <w:rFonts w:eastAsia="Noto Sans"/>
                <w:b/>
                <w:color w:val="FFFFFF"/>
                <w:sz w:val="15"/>
              </w:rPr>
              <w:t>Topology</w:t>
            </w:r>
          </w:p>
        </w:tc>
        <w:tc>
          <w:tcPr>
            <w:tcW w:w="4176" w:type="dxa"/>
            <w:shd w:val="clear" w:color="auto" w:fill="16324F"/>
            <w:tcMar>
              <w:top w:w="80" w:type="dxa"/>
              <w:left w:w="90" w:type="dxa"/>
              <w:bottom w:w="80" w:type="dxa"/>
              <w:right w:w="90" w:type="dxa"/>
            </w:tcMar>
            <w:vAlign w:val="center"/>
          </w:tcPr>
          <w:p w14:paraId="0D8A0D24" w14:textId="142C8254" w:rsidR="00FB525F" w:rsidRDefault="005835B4" w:rsidP="002E7283">
            <w:r>
              <w:rPr>
                <w:rFonts w:eastAsia="Noto Sans"/>
                <w:b/>
                <w:color w:val="FFFFFF"/>
                <w:sz w:val="15"/>
              </w:rPr>
              <w:t>Pros</w:t>
            </w:r>
          </w:p>
        </w:tc>
        <w:tc>
          <w:tcPr>
            <w:tcW w:w="4248" w:type="dxa"/>
            <w:shd w:val="clear" w:color="auto" w:fill="16324F"/>
            <w:tcMar>
              <w:top w:w="80" w:type="dxa"/>
              <w:left w:w="90" w:type="dxa"/>
              <w:bottom w:w="80" w:type="dxa"/>
              <w:right w:w="90" w:type="dxa"/>
            </w:tcMar>
            <w:vAlign w:val="center"/>
          </w:tcPr>
          <w:p w14:paraId="0426CD83" w14:textId="67D939D4" w:rsidR="00FB525F" w:rsidRDefault="005835B4" w:rsidP="002E7283">
            <w:r>
              <w:rPr>
                <w:rFonts w:eastAsia="Noto Sans"/>
                <w:b/>
                <w:color w:val="FFFFFF"/>
                <w:sz w:val="15"/>
              </w:rPr>
              <w:t>Cons</w:t>
            </w:r>
          </w:p>
        </w:tc>
      </w:tr>
      <w:tr w:rsidR="00FB525F" w14:paraId="6E222097" w14:textId="77777777" w:rsidTr="002E7283">
        <w:trPr>
          <w:cantSplit/>
          <w:jc w:val="center"/>
        </w:trPr>
        <w:tc>
          <w:tcPr>
            <w:tcW w:w="1800" w:type="dxa"/>
            <w:tcMar>
              <w:top w:w="70" w:type="dxa"/>
              <w:left w:w="80" w:type="dxa"/>
              <w:bottom w:w="70" w:type="dxa"/>
              <w:right w:w="80" w:type="dxa"/>
            </w:tcMar>
          </w:tcPr>
          <w:p w14:paraId="1D1C9546" w14:textId="77777777" w:rsidR="00FB525F" w:rsidRDefault="00FB525F" w:rsidP="002E7283">
            <w:r>
              <w:rPr>
                <w:rFonts w:eastAsia="Noto Sans"/>
                <w:b/>
                <w:color w:val="24313D"/>
                <w:sz w:val="15"/>
              </w:rPr>
              <w:t>Direct E3.S reference</w:t>
            </w:r>
          </w:p>
        </w:tc>
        <w:tc>
          <w:tcPr>
            <w:tcW w:w="4176" w:type="dxa"/>
            <w:tcMar>
              <w:top w:w="70" w:type="dxa"/>
              <w:left w:w="80" w:type="dxa"/>
              <w:bottom w:w="70" w:type="dxa"/>
              <w:right w:w="80" w:type="dxa"/>
            </w:tcMar>
            <w:vAlign w:val="center"/>
          </w:tcPr>
          <w:p w14:paraId="6C97586C" w14:textId="77777777" w:rsidR="00FB525F" w:rsidRDefault="00FB525F" w:rsidP="002E7283">
            <w:r>
              <w:rPr>
                <w:sz w:val="15"/>
              </w:rPr>
              <w:t>No shared switch/uplink; simple endpoint debugging; useful POC control when host lanes are readily available.</w:t>
            </w:r>
          </w:p>
        </w:tc>
        <w:tc>
          <w:tcPr>
            <w:tcW w:w="4248" w:type="dxa"/>
            <w:tcMar>
              <w:top w:w="70" w:type="dxa"/>
              <w:left w:w="80" w:type="dxa"/>
              <w:bottom w:w="70" w:type="dxa"/>
              <w:right w:w="80" w:type="dxa"/>
            </w:tcMar>
            <w:vAlign w:val="center"/>
          </w:tcPr>
          <w:p w14:paraId="052817B5" w14:textId="77777777" w:rsidR="00FB525F" w:rsidRDefault="00FB525F" w:rsidP="002E7283">
            <w:r>
              <w:rPr>
                <w:sz w:val="15"/>
              </w:rPr>
              <w:t>Within an eight-device local design, consumes 32 host lanes; not the production rack-scale baseline; no common managed fabric.</w:t>
            </w:r>
          </w:p>
        </w:tc>
      </w:tr>
      <w:tr w:rsidR="00FB525F" w14:paraId="015CACB6" w14:textId="77777777" w:rsidTr="002E7283">
        <w:trPr>
          <w:cantSplit/>
          <w:jc w:val="center"/>
        </w:trPr>
        <w:tc>
          <w:tcPr>
            <w:tcW w:w="1800" w:type="dxa"/>
            <w:shd w:val="clear" w:color="auto" w:fill="F3F6F8"/>
            <w:tcMar>
              <w:top w:w="70" w:type="dxa"/>
              <w:left w:w="80" w:type="dxa"/>
              <w:bottom w:w="70" w:type="dxa"/>
              <w:right w:w="80" w:type="dxa"/>
            </w:tcMar>
          </w:tcPr>
          <w:p w14:paraId="2E4936A5" w14:textId="77777777" w:rsidR="00FB525F" w:rsidRDefault="00FB525F" w:rsidP="002E7283">
            <w:r>
              <w:rPr>
                <w:rFonts w:eastAsia="Noto Sans"/>
                <w:b/>
                <w:color w:val="24313D"/>
                <w:sz w:val="15"/>
              </w:rPr>
              <w:t>Switched E3.S baseline</w:t>
            </w:r>
          </w:p>
        </w:tc>
        <w:tc>
          <w:tcPr>
            <w:tcW w:w="4176" w:type="dxa"/>
            <w:shd w:val="clear" w:color="auto" w:fill="F3F6F8"/>
            <w:tcMar>
              <w:top w:w="70" w:type="dxa"/>
              <w:left w:w="80" w:type="dxa"/>
              <w:bottom w:w="70" w:type="dxa"/>
              <w:right w:w="80" w:type="dxa"/>
            </w:tcMar>
            <w:vAlign w:val="center"/>
          </w:tcPr>
          <w:p w14:paraId="49C22019" w14:textId="77777777" w:rsidR="00FB525F" w:rsidRDefault="00FB525F" w:rsidP="002E7283">
            <w:r>
              <w:rPr>
                <w:sz w:val="15"/>
              </w:rPr>
              <w:t>One host-facing uplink fans out to eight x4 ATMOS devices; common diagnostics/reset domain; manageable E3.S subsystem for MVP and rack integration.</w:t>
            </w:r>
          </w:p>
        </w:tc>
        <w:tc>
          <w:tcPr>
            <w:tcW w:w="4248" w:type="dxa"/>
            <w:shd w:val="clear" w:color="auto" w:fill="F3F6F8"/>
            <w:tcMar>
              <w:top w:w="70" w:type="dxa"/>
              <w:left w:w="80" w:type="dxa"/>
              <w:bottom w:w="70" w:type="dxa"/>
              <w:right w:w="80" w:type="dxa"/>
            </w:tcMar>
            <w:vAlign w:val="center"/>
          </w:tcPr>
          <w:p w14:paraId="375635DA" w14:textId="77777777" w:rsidR="00FB525F" w:rsidRDefault="00FB525F" w:rsidP="002E7283">
            <w:r>
              <w:rPr>
                <w:sz w:val="15"/>
              </w:rPr>
              <w:t xml:space="preserve">Adds cost/power and a shared failure domain. It does not place ATMOS in </w:t>
            </w:r>
            <w:proofErr w:type="spellStart"/>
            <w:r>
              <w:rPr>
                <w:sz w:val="15"/>
              </w:rPr>
              <w:t>NVLink</w:t>
            </w:r>
            <w:proofErr w:type="spellEnd"/>
            <w:r>
              <w:rPr>
                <w:sz w:val="15"/>
              </w:rPr>
              <w:t>/</w:t>
            </w:r>
            <w:proofErr w:type="spellStart"/>
            <w:r>
              <w:rPr>
                <w:sz w:val="15"/>
              </w:rPr>
              <w:t>NVSwitch</w:t>
            </w:r>
            <w:proofErr w:type="spellEnd"/>
            <w:r>
              <w:rPr>
                <w:sz w:val="15"/>
              </w:rPr>
              <w:t xml:space="preserve"> or </w:t>
            </w:r>
            <w:proofErr w:type="spellStart"/>
            <w:r>
              <w:rPr>
                <w:sz w:val="15"/>
              </w:rPr>
              <w:t>UALink</w:t>
            </w:r>
            <w:proofErr w:type="spellEnd"/>
            <w:r>
              <w:rPr>
                <w:sz w:val="15"/>
              </w:rPr>
              <w:t>, and the rack OEM must expose a supported host path.</w:t>
            </w:r>
          </w:p>
        </w:tc>
      </w:tr>
    </w:tbl>
    <w:p w14:paraId="5F73A6E4" w14:textId="77777777" w:rsidR="00FB525F" w:rsidRDefault="00FB525F" w:rsidP="009E7494">
      <w:pPr>
        <w:keepNext/>
        <w:spacing w:before="100" w:after="100"/>
        <w:rPr>
          <w:b/>
          <w:color w:val="16324F"/>
          <w:sz w:val="24"/>
          <w:szCs w:val="10"/>
        </w:rPr>
      </w:pPr>
    </w:p>
    <w:p w14:paraId="68747885" w14:textId="3DD8F762" w:rsidR="00FB525F" w:rsidRPr="00FB525F" w:rsidRDefault="00FB525F" w:rsidP="009E7494">
      <w:pPr>
        <w:keepNext/>
        <w:spacing w:before="100" w:after="100"/>
        <w:rPr>
          <w:b/>
          <w:color w:val="16324F"/>
          <w:sz w:val="24"/>
          <w:szCs w:val="10"/>
        </w:rPr>
      </w:pPr>
      <w:r>
        <w:rPr>
          <w:b/>
          <w:color w:val="16324F"/>
          <w:sz w:val="24"/>
          <w:szCs w:val="10"/>
        </w:rPr>
        <w:t xml:space="preserve">Topology </w:t>
      </w:r>
      <w:proofErr w:type="gramStart"/>
      <w:r>
        <w:rPr>
          <w:b/>
          <w:color w:val="16324F"/>
          <w:sz w:val="24"/>
          <w:szCs w:val="10"/>
        </w:rPr>
        <w:t>1:-</w:t>
      </w:r>
      <w:proofErr w:type="gramEnd"/>
      <w:r>
        <w:rPr>
          <w:b/>
          <w:color w:val="16324F"/>
          <w:sz w:val="24"/>
          <w:szCs w:val="10"/>
        </w:rPr>
        <w:t xml:space="preserve"> </w:t>
      </w:r>
      <w:r w:rsidRPr="00FB525F">
        <w:rPr>
          <w:b/>
          <w:color w:val="16324F"/>
          <w:sz w:val="24"/>
          <w:szCs w:val="10"/>
        </w:rPr>
        <w:t>Direct-attached E3.S pool</w:t>
      </w:r>
    </w:p>
    <w:tbl>
      <w:tblPr>
        <w:tblStyle w:val="TableGrid"/>
        <w:tblW w:w="0" w:type="auto"/>
        <w:jc w:val="center"/>
        <w:tblLook w:val="04A0" w:firstRow="1" w:lastRow="0" w:firstColumn="1" w:lastColumn="0" w:noHBand="0" w:noVBand="1"/>
      </w:tblPr>
      <w:tblGrid>
        <w:gridCol w:w="8472"/>
      </w:tblGrid>
      <w:tr w:rsidR="005A5290" w14:paraId="5AF19947" w14:textId="77777777" w:rsidTr="005A5290">
        <w:trPr>
          <w:jc w:val="center"/>
        </w:trPr>
        <w:tc>
          <w:tcPr>
            <w:tcW w:w="8472" w:type="dxa"/>
          </w:tcPr>
          <w:p w14:paraId="33262F4E" w14:textId="1C943C97" w:rsidR="005A5290" w:rsidRDefault="005A5290" w:rsidP="009E7494">
            <w:pPr>
              <w:keepNext/>
              <w:spacing w:before="100" w:after="100"/>
            </w:pPr>
            <w:r>
              <w:rPr>
                <w:noProof/>
              </w:rPr>
              <w:drawing>
                <wp:inline distT="0" distB="0" distL="0" distR="0" wp14:anchorId="7DE5396E" wp14:editId="5DD9233A">
                  <wp:extent cx="5232400" cy="3139440"/>
                  <wp:effectExtent l="0" t="0" r="0" b="0"/>
                  <wp:docPr id="1213420729" name="Picture 1213420729" descr="B: one module per bay-mounted device, routed to host ports without a required common switch AIC. [I1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png"/>
                          <pic:cNvPicPr/>
                        </pic:nvPicPr>
                        <pic:blipFill>
                          <a:blip r:embed="rId10"/>
                          <a:stretch>
                            <a:fillRect/>
                          </a:stretch>
                        </pic:blipFill>
                        <pic:spPr>
                          <a:xfrm>
                            <a:off x="0" y="0"/>
                            <a:ext cx="5255418" cy="3153251"/>
                          </a:xfrm>
                          <a:prstGeom prst="rect">
                            <a:avLst/>
                          </a:prstGeom>
                        </pic:spPr>
                      </pic:pic>
                    </a:graphicData>
                  </a:graphic>
                </wp:inline>
              </w:drawing>
            </w:r>
          </w:p>
        </w:tc>
      </w:tr>
    </w:tbl>
    <w:p w14:paraId="4EEEEF88" w14:textId="2E8D1890" w:rsidR="00FB525F" w:rsidRDefault="00FB525F" w:rsidP="009E7494">
      <w:pPr>
        <w:keepNext/>
        <w:spacing w:before="100" w:after="100"/>
      </w:pPr>
    </w:p>
    <w:p w14:paraId="1B01478E" w14:textId="77777777" w:rsidR="009E7494" w:rsidRDefault="009E7494" w:rsidP="009E7494">
      <w:pPr>
        <w:spacing w:after="100" w:line="259" w:lineRule="auto"/>
      </w:pPr>
      <w:r>
        <w:t>Direct attachment remains useful for early endpoint bring-up because it removes the switch from the debug path. In any local eight-device design, however, eight x4 E3.S endpoints consume 32 host lanes and create eight separately managed paths. The proposed product building block is therefore a switched ATMOS E3.S subsystem with one host-facing uplink and eight x4 downstream endpoints. RTX uses this as the MVP fixture; NVL and Helios use it only when their OEM exposes an approved local PCIe integration boundary.</w:t>
      </w:r>
    </w:p>
    <w:p w14:paraId="1636ED3C" w14:textId="77777777" w:rsidR="009E7494" w:rsidRDefault="009E7494" w:rsidP="009E7494">
      <w:pPr>
        <w:spacing w:after="20"/>
      </w:pPr>
    </w:p>
    <w:tbl>
      <w:tblPr>
        <w:tblW w:w="0" w:type="auto"/>
        <w:jc w:val="center"/>
        <w:tblLook w:val="04A0" w:firstRow="1" w:lastRow="0" w:firstColumn="1" w:lastColumn="0" w:noHBand="0" w:noVBand="1"/>
      </w:tblPr>
      <w:tblGrid>
        <w:gridCol w:w="10368"/>
      </w:tblGrid>
      <w:tr w:rsidR="009E7494" w14:paraId="7E824CA1" w14:textId="77777777" w:rsidTr="002E7283">
        <w:trPr>
          <w:jc w:val="center"/>
        </w:trPr>
        <w:tc>
          <w:tcPr>
            <w:tcW w:w="10368" w:type="dxa"/>
            <w:shd w:val="clear" w:color="auto" w:fill="F9ECEF"/>
            <w:tcMar>
              <w:top w:w="120" w:type="dxa"/>
              <w:left w:w="150" w:type="dxa"/>
              <w:bottom w:w="120" w:type="dxa"/>
              <w:right w:w="150" w:type="dxa"/>
            </w:tcMar>
            <w:vAlign w:val="center"/>
          </w:tcPr>
          <w:p w14:paraId="5437DF67" w14:textId="77777777" w:rsidR="00846FAB" w:rsidRDefault="00000000">
            <w:pPr>
              <w:spacing w:after="0"/>
            </w:pPr>
            <w:r>
              <w:rPr>
                <w:b/>
                <w:color w:val="A73545"/>
                <w:sz w:val="17"/>
              </w:rPr>
              <w:t xml:space="preserve">ARCHITECTURE </w:t>
            </w:r>
            <w:proofErr w:type="gramStart"/>
            <w:r>
              <w:rPr>
                <w:b/>
                <w:color w:val="A73545"/>
                <w:sz w:val="17"/>
              </w:rPr>
              <w:t>DECISION  Keep</w:t>
            </w:r>
            <w:proofErr w:type="gramEnd"/>
            <w:r>
              <w:rPr>
                <w:b/>
                <w:color w:val="A73545"/>
                <w:sz w:val="17"/>
              </w:rPr>
              <w:t xml:space="preserve"> direct attachment only as a bring-up/reference path. The reusable hardware building block is a switched E3.S ATMOS subsystem. RTX is the POC/MVP host; production requires an independently qualified NVIDIA NVL or AMD Helios integration. The fully integrated eight-module ATMOS card remains out of scope.</w:t>
            </w:r>
          </w:p>
        </w:tc>
      </w:tr>
    </w:tbl>
    <w:p w14:paraId="67C2B100" w14:textId="77777777" w:rsidR="009E7494" w:rsidRDefault="009E7494" w:rsidP="009E7494">
      <w:pPr>
        <w:spacing w:after="20"/>
      </w:pPr>
    </w:p>
    <w:p w14:paraId="3EB04653" w14:textId="77777777" w:rsidR="005835B4" w:rsidRDefault="005835B4" w:rsidP="009E7494">
      <w:pPr>
        <w:spacing w:after="20"/>
      </w:pPr>
    </w:p>
    <w:p w14:paraId="4B2D92DC" w14:textId="77777777" w:rsidR="005835B4" w:rsidRDefault="005835B4" w:rsidP="009E7494">
      <w:pPr>
        <w:spacing w:after="20"/>
      </w:pPr>
    </w:p>
    <w:p w14:paraId="5F27B360" w14:textId="77777777" w:rsidR="005835B4" w:rsidRDefault="005835B4" w:rsidP="009E7494">
      <w:pPr>
        <w:spacing w:after="20"/>
      </w:pPr>
    </w:p>
    <w:p w14:paraId="13FF35DC" w14:textId="77777777" w:rsidR="005835B4" w:rsidRDefault="005835B4" w:rsidP="009E7494">
      <w:pPr>
        <w:spacing w:after="20"/>
      </w:pPr>
    </w:p>
    <w:p w14:paraId="6A8B573E" w14:textId="27B784B5" w:rsidR="005835B4" w:rsidRPr="005835B4" w:rsidRDefault="005835B4" w:rsidP="005835B4">
      <w:pPr>
        <w:keepNext/>
        <w:spacing w:before="100" w:after="100"/>
        <w:rPr>
          <w:b/>
          <w:color w:val="16324F"/>
          <w:sz w:val="24"/>
          <w:szCs w:val="10"/>
        </w:rPr>
      </w:pPr>
      <w:r>
        <w:rPr>
          <w:b/>
          <w:color w:val="16324F"/>
          <w:sz w:val="24"/>
          <w:szCs w:val="10"/>
        </w:rPr>
        <w:t xml:space="preserve">Topology </w:t>
      </w:r>
      <w:proofErr w:type="gramStart"/>
      <w:r>
        <w:rPr>
          <w:b/>
          <w:color w:val="16324F"/>
          <w:sz w:val="24"/>
          <w:szCs w:val="10"/>
        </w:rPr>
        <w:t>2 :</w:t>
      </w:r>
      <w:proofErr w:type="gramEnd"/>
      <w:r>
        <w:rPr>
          <w:b/>
          <w:color w:val="16324F"/>
          <w:sz w:val="24"/>
          <w:szCs w:val="10"/>
        </w:rPr>
        <w:t>- Switched</w:t>
      </w:r>
      <w:r w:rsidRPr="00FB525F">
        <w:rPr>
          <w:b/>
          <w:color w:val="16324F"/>
          <w:sz w:val="24"/>
          <w:szCs w:val="10"/>
        </w:rPr>
        <w:t xml:space="preserve"> E3.S pool</w:t>
      </w:r>
    </w:p>
    <w:tbl>
      <w:tblPr>
        <w:tblStyle w:val="TableGrid"/>
        <w:tblW w:w="0" w:type="auto"/>
        <w:jc w:val="center"/>
        <w:tblLook w:val="04A0" w:firstRow="1" w:lastRow="0" w:firstColumn="1" w:lastColumn="0" w:noHBand="0" w:noVBand="1"/>
      </w:tblPr>
      <w:tblGrid>
        <w:gridCol w:w="9464"/>
      </w:tblGrid>
      <w:tr w:rsidR="005A5290" w14:paraId="44D2B9EF" w14:textId="77777777" w:rsidTr="005A5290">
        <w:trPr>
          <w:jc w:val="center"/>
        </w:trPr>
        <w:tc>
          <w:tcPr>
            <w:tcW w:w="9464" w:type="dxa"/>
          </w:tcPr>
          <w:p w14:paraId="277B6B5E" w14:textId="6E200549" w:rsidR="005A5290" w:rsidRDefault="005A5290" w:rsidP="009E7494">
            <w:pPr>
              <w:spacing w:after="40"/>
              <w:jc w:val="center"/>
            </w:pPr>
            <w:r w:rsidRPr="0065212C">
              <w:rPr>
                <w:noProof/>
              </w:rPr>
              <w:drawing>
                <wp:inline distT="0" distB="0" distL="0" distR="0" wp14:anchorId="5D77A746" wp14:editId="52590C75">
                  <wp:extent cx="5567680" cy="3389337"/>
                  <wp:effectExtent l="0" t="0" r="0" b="1905"/>
                  <wp:docPr id="15688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8653" name=""/>
                          <pic:cNvPicPr/>
                        </pic:nvPicPr>
                        <pic:blipFill>
                          <a:blip r:embed="rId11"/>
                          <a:stretch>
                            <a:fillRect/>
                          </a:stretch>
                        </pic:blipFill>
                        <pic:spPr>
                          <a:xfrm>
                            <a:off x="0" y="0"/>
                            <a:ext cx="5591899" cy="3404080"/>
                          </a:xfrm>
                          <a:prstGeom prst="rect">
                            <a:avLst/>
                          </a:prstGeom>
                        </pic:spPr>
                      </pic:pic>
                    </a:graphicData>
                  </a:graphic>
                </wp:inline>
              </w:drawing>
            </w:r>
          </w:p>
        </w:tc>
      </w:tr>
    </w:tbl>
    <w:p w14:paraId="330D3839" w14:textId="76C7B15B" w:rsidR="009E7494" w:rsidRDefault="009E7494" w:rsidP="009E7494">
      <w:pPr>
        <w:spacing w:after="40"/>
        <w:jc w:val="center"/>
      </w:pPr>
    </w:p>
    <w:p w14:paraId="1D32B9C7" w14:textId="77777777" w:rsidR="009E7494" w:rsidRDefault="009E7494" w:rsidP="009E7494">
      <w:pPr>
        <w:spacing w:after="100"/>
        <w:jc w:val="center"/>
      </w:pPr>
      <w:r>
        <w:rPr>
          <w:i/>
          <w:color w:val="66727D"/>
          <w:sz w:val="16"/>
        </w:rPr>
        <w:t>Figure 5. The switch is an ATMOS branch, not a replacement for the GPU platform fabric. The GPU compute domain and NICs remain on their native platform paths. The drawing represents the local-PCIe attachment option; a companion ATMOS tray/service is a separate topology when the rack does not expose a suitable local route.</w:t>
      </w:r>
    </w:p>
    <w:p w14:paraId="3E0DBD51" w14:textId="77777777" w:rsidR="009E7494" w:rsidRDefault="009E7494" w:rsidP="009E7494">
      <w:pPr>
        <w:keepNext/>
        <w:spacing w:before="60" w:after="60"/>
      </w:pPr>
      <w:r>
        <w:rPr>
          <w:rFonts w:eastAsia="Noto Sans"/>
          <w:b/>
          <w:color w:val="16324F"/>
          <w:sz w:val="25"/>
        </w:rPr>
        <w:t>Gen5 baseline: settle the 48-lane fan-out first</w:t>
      </w:r>
    </w:p>
    <w:tbl>
      <w:tblPr>
        <w:tblStyle w:val="TableGrid"/>
        <w:tblW w:w="0" w:type="auto"/>
        <w:jc w:val="center"/>
        <w:tblLayout w:type="fixed"/>
        <w:tblLook w:val="04A0" w:firstRow="1" w:lastRow="0" w:firstColumn="1" w:lastColumn="0" w:noHBand="0" w:noVBand="1"/>
      </w:tblPr>
      <w:tblGrid>
        <w:gridCol w:w="1944"/>
        <w:gridCol w:w="2664"/>
        <w:gridCol w:w="3240"/>
        <w:gridCol w:w="3240"/>
      </w:tblGrid>
      <w:tr w:rsidR="009E7494" w14:paraId="79B56C33" w14:textId="77777777" w:rsidTr="002E7283">
        <w:trPr>
          <w:tblHeader/>
          <w:jc w:val="center"/>
        </w:trPr>
        <w:tc>
          <w:tcPr>
            <w:tcW w:w="1944" w:type="dxa"/>
            <w:shd w:val="clear" w:color="auto" w:fill="16324F"/>
            <w:tcMar>
              <w:top w:w="80" w:type="dxa"/>
              <w:left w:w="90" w:type="dxa"/>
              <w:bottom w:w="80" w:type="dxa"/>
              <w:right w:w="90" w:type="dxa"/>
            </w:tcMar>
            <w:vAlign w:val="center"/>
          </w:tcPr>
          <w:p w14:paraId="3024A4D8" w14:textId="77777777" w:rsidR="009E7494" w:rsidRDefault="009E7494" w:rsidP="002E7283">
            <w:r>
              <w:rPr>
                <w:rFonts w:eastAsia="Noto Sans"/>
                <w:b/>
                <w:color w:val="FFFFFF"/>
                <w:sz w:val="14"/>
              </w:rPr>
              <w:t>Candidate</w:t>
            </w:r>
          </w:p>
        </w:tc>
        <w:tc>
          <w:tcPr>
            <w:tcW w:w="2664" w:type="dxa"/>
            <w:shd w:val="clear" w:color="auto" w:fill="16324F"/>
            <w:tcMar>
              <w:top w:w="80" w:type="dxa"/>
              <w:left w:w="90" w:type="dxa"/>
              <w:bottom w:w="80" w:type="dxa"/>
              <w:right w:w="90" w:type="dxa"/>
            </w:tcMar>
            <w:vAlign w:val="center"/>
          </w:tcPr>
          <w:p w14:paraId="08D4B2D6" w14:textId="77777777" w:rsidR="009E7494" w:rsidRDefault="009E7494" w:rsidP="002E7283">
            <w:r>
              <w:rPr>
                <w:rFonts w:eastAsia="Noto Sans"/>
                <w:b/>
                <w:color w:val="FFFFFF"/>
                <w:sz w:val="14"/>
              </w:rPr>
              <w:t>Public fit</w:t>
            </w:r>
          </w:p>
        </w:tc>
        <w:tc>
          <w:tcPr>
            <w:tcW w:w="3240" w:type="dxa"/>
            <w:shd w:val="clear" w:color="auto" w:fill="16324F"/>
            <w:tcMar>
              <w:top w:w="80" w:type="dxa"/>
              <w:left w:w="90" w:type="dxa"/>
              <w:bottom w:w="80" w:type="dxa"/>
              <w:right w:w="90" w:type="dxa"/>
            </w:tcMar>
            <w:vAlign w:val="center"/>
          </w:tcPr>
          <w:p w14:paraId="62DD7057" w14:textId="77777777" w:rsidR="009E7494" w:rsidRDefault="009E7494" w:rsidP="002E7283">
            <w:r>
              <w:rPr>
                <w:rFonts w:eastAsia="Noto Sans"/>
                <w:b/>
                <w:color w:val="FFFFFF"/>
                <w:sz w:val="14"/>
              </w:rPr>
              <w:t>Role in the program</w:t>
            </w:r>
          </w:p>
        </w:tc>
        <w:tc>
          <w:tcPr>
            <w:tcW w:w="3240" w:type="dxa"/>
            <w:shd w:val="clear" w:color="auto" w:fill="16324F"/>
            <w:tcMar>
              <w:top w:w="80" w:type="dxa"/>
              <w:left w:w="90" w:type="dxa"/>
              <w:bottom w:w="80" w:type="dxa"/>
              <w:right w:w="90" w:type="dxa"/>
            </w:tcMar>
            <w:vAlign w:val="center"/>
          </w:tcPr>
          <w:p w14:paraId="642BA713" w14:textId="77777777" w:rsidR="009E7494" w:rsidRDefault="009E7494" w:rsidP="002E7283">
            <w:r>
              <w:rPr>
                <w:rFonts w:eastAsia="Noto Sans"/>
                <w:b/>
                <w:color w:val="FFFFFF"/>
                <w:sz w:val="14"/>
              </w:rPr>
              <w:t>Adoption gate</w:t>
            </w:r>
          </w:p>
        </w:tc>
      </w:tr>
      <w:tr w:rsidR="009E7494" w14:paraId="48A4070C" w14:textId="77777777" w:rsidTr="002E7283">
        <w:trPr>
          <w:cantSplit/>
          <w:jc w:val="center"/>
        </w:trPr>
        <w:tc>
          <w:tcPr>
            <w:tcW w:w="1944" w:type="dxa"/>
            <w:tcMar>
              <w:top w:w="70" w:type="dxa"/>
              <w:left w:w="80" w:type="dxa"/>
              <w:bottom w:w="70" w:type="dxa"/>
              <w:right w:w="80" w:type="dxa"/>
            </w:tcMar>
          </w:tcPr>
          <w:p w14:paraId="4004DABC" w14:textId="77777777" w:rsidR="009E7494" w:rsidRDefault="009E7494" w:rsidP="002E7283">
            <w:r>
              <w:rPr>
                <w:rFonts w:eastAsia="Noto Sans"/>
                <w:b/>
                <w:color w:val="24313D"/>
                <w:sz w:val="14"/>
              </w:rPr>
              <w:t>Microchip PM50052</w:t>
            </w:r>
          </w:p>
        </w:tc>
        <w:tc>
          <w:tcPr>
            <w:tcW w:w="2664" w:type="dxa"/>
            <w:tcMar>
              <w:top w:w="70" w:type="dxa"/>
              <w:left w:w="80" w:type="dxa"/>
              <w:bottom w:w="70" w:type="dxa"/>
              <w:right w:w="80" w:type="dxa"/>
            </w:tcMar>
          </w:tcPr>
          <w:p w14:paraId="15484208" w14:textId="77777777" w:rsidR="009E7494" w:rsidRDefault="009E7494" w:rsidP="002E7283">
            <w:proofErr w:type="spellStart"/>
            <w:r>
              <w:rPr>
                <w:rFonts w:eastAsia="Noto Sans"/>
                <w:color w:val="24313D"/>
                <w:sz w:val="14"/>
              </w:rPr>
              <w:t>Switchtec</w:t>
            </w:r>
            <w:proofErr w:type="spellEnd"/>
            <w:r>
              <w:rPr>
                <w:rFonts w:eastAsia="Noto Sans"/>
                <w:color w:val="24313D"/>
                <w:sz w:val="14"/>
              </w:rPr>
              <w:t xml:space="preserve"> PFX Gen5, 52 lanes. Microchip publishes a 52-lane reference design and </w:t>
            </w:r>
            <w:proofErr w:type="spellStart"/>
            <w:r>
              <w:rPr>
                <w:rFonts w:eastAsia="Noto Sans"/>
                <w:color w:val="24313D"/>
                <w:sz w:val="14"/>
              </w:rPr>
              <w:t>ChipLink</w:t>
            </w:r>
            <w:proofErr w:type="spellEnd"/>
            <w:r>
              <w:rPr>
                <w:rFonts w:eastAsia="Noto Sans"/>
                <w:color w:val="24313D"/>
                <w:sz w:val="14"/>
              </w:rPr>
              <w:t>-based enablement path.</w:t>
            </w:r>
          </w:p>
        </w:tc>
        <w:tc>
          <w:tcPr>
            <w:tcW w:w="3240" w:type="dxa"/>
            <w:tcMar>
              <w:top w:w="70" w:type="dxa"/>
              <w:left w:w="80" w:type="dxa"/>
              <w:bottom w:w="70" w:type="dxa"/>
              <w:right w:w="80" w:type="dxa"/>
            </w:tcMar>
          </w:tcPr>
          <w:p w14:paraId="1019D752" w14:textId="77777777" w:rsidR="009E7494" w:rsidRDefault="009E7494" w:rsidP="002E7283">
            <w:r>
              <w:rPr>
                <w:rFonts w:eastAsia="Noto Sans"/>
                <w:color w:val="24313D"/>
                <w:sz w:val="14"/>
              </w:rPr>
              <w:t>Primary engineering-enablement inquiry because the 48-lane target map leaves four lanes of arithmetic margin.</w:t>
            </w:r>
          </w:p>
        </w:tc>
        <w:tc>
          <w:tcPr>
            <w:tcW w:w="3240" w:type="dxa"/>
            <w:tcMar>
              <w:top w:w="70" w:type="dxa"/>
              <w:left w:w="80" w:type="dxa"/>
              <w:bottom w:w="70" w:type="dxa"/>
              <w:right w:w="80" w:type="dxa"/>
            </w:tcMar>
          </w:tcPr>
          <w:p w14:paraId="4A6610EC" w14:textId="77777777" w:rsidR="009E7494" w:rsidRDefault="009E7494" w:rsidP="002E7283">
            <w:r>
              <w:rPr>
                <w:rFonts w:eastAsia="Noto Sans"/>
                <w:color w:val="24313D"/>
                <w:sz w:val="14"/>
              </w:rPr>
              <w:t>Vendor-confirmed x16 upstream + 8×x4 downstream map, non-</w:t>
            </w:r>
            <w:proofErr w:type="spellStart"/>
            <w:r>
              <w:rPr>
                <w:rFonts w:eastAsia="Noto Sans"/>
                <w:color w:val="24313D"/>
                <w:sz w:val="14"/>
              </w:rPr>
              <w:t>NVMe</w:t>
            </w:r>
            <w:proofErr w:type="spellEnd"/>
            <w:r>
              <w:rPr>
                <w:rFonts w:eastAsia="Noto Sans"/>
                <w:color w:val="24313D"/>
                <w:sz w:val="14"/>
              </w:rPr>
              <w:t xml:space="preserve"> endpoint interoperability, board/firmware support, quote and lifecycle owner.</w:t>
            </w:r>
          </w:p>
        </w:tc>
      </w:tr>
      <w:tr w:rsidR="009E7494" w14:paraId="10E7F7B3" w14:textId="77777777" w:rsidTr="002E7283">
        <w:trPr>
          <w:cantSplit/>
          <w:jc w:val="center"/>
        </w:trPr>
        <w:tc>
          <w:tcPr>
            <w:tcW w:w="1944" w:type="dxa"/>
            <w:shd w:val="clear" w:color="auto" w:fill="F6F8FA"/>
            <w:tcMar>
              <w:top w:w="70" w:type="dxa"/>
              <w:left w:w="80" w:type="dxa"/>
              <w:bottom w:w="70" w:type="dxa"/>
              <w:right w:w="80" w:type="dxa"/>
            </w:tcMar>
          </w:tcPr>
          <w:p w14:paraId="57AF44FA" w14:textId="77777777" w:rsidR="009E7494" w:rsidRDefault="009E7494" w:rsidP="002E7283">
            <w:r>
              <w:rPr>
                <w:rFonts w:eastAsia="Noto Sans"/>
                <w:b/>
                <w:color w:val="24313D"/>
                <w:sz w:val="14"/>
              </w:rPr>
              <w:t>Broadcom PEX89048</w:t>
            </w:r>
          </w:p>
        </w:tc>
        <w:tc>
          <w:tcPr>
            <w:tcW w:w="2664" w:type="dxa"/>
            <w:shd w:val="clear" w:color="auto" w:fill="F6F8FA"/>
            <w:tcMar>
              <w:top w:w="70" w:type="dxa"/>
              <w:left w:w="80" w:type="dxa"/>
              <w:bottom w:w="70" w:type="dxa"/>
              <w:right w:w="80" w:type="dxa"/>
            </w:tcMar>
          </w:tcPr>
          <w:p w14:paraId="79F6210E" w14:textId="77777777" w:rsidR="009E7494" w:rsidRDefault="009E7494" w:rsidP="002E7283">
            <w:r>
              <w:rPr>
                <w:rFonts w:eastAsia="Noto Sans"/>
                <w:color w:val="24313D"/>
                <w:sz w:val="14"/>
              </w:rPr>
              <w:t xml:space="preserve">48-lane PCIe Gen5 </w:t>
            </w:r>
            <w:proofErr w:type="spellStart"/>
            <w:r>
              <w:rPr>
                <w:rFonts w:eastAsia="Noto Sans"/>
                <w:color w:val="24313D"/>
                <w:sz w:val="14"/>
              </w:rPr>
              <w:t>ExpressFabric</w:t>
            </w:r>
            <w:proofErr w:type="spellEnd"/>
            <w:r>
              <w:rPr>
                <w:rFonts w:eastAsia="Noto Sans"/>
                <w:color w:val="24313D"/>
                <w:sz w:val="14"/>
              </w:rPr>
              <w:t xml:space="preserve"> switch; exact arithmetic for x16 + 8×x4.</w:t>
            </w:r>
          </w:p>
        </w:tc>
        <w:tc>
          <w:tcPr>
            <w:tcW w:w="3240" w:type="dxa"/>
            <w:shd w:val="clear" w:color="auto" w:fill="F6F8FA"/>
            <w:tcMar>
              <w:top w:w="70" w:type="dxa"/>
              <w:left w:w="80" w:type="dxa"/>
              <w:bottom w:w="70" w:type="dxa"/>
              <w:right w:w="80" w:type="dxa"/>
            </w:tcMar>
          </w:tcPr>
          <w:p w14:paraId="725F080D" w14:textId="77777777" w:rsidR="009E7494" w:rsidRDefault="009E7494" w:rsidP="002E7283">
            <w:r>
              <w:rPr>
                <w:rFonts w:eastAsia="Noto Sans"/>
                <w:color w:val="24313D"/>
                <w:sz w:val="14"/>
              </w:rPr>
              <w:t>Parallel fixed-eight-device alternative to avoid vendor lock-in and compare OEM-supported board availability.</w:t>
            </w:r>
          </w:p>
        </w:tc>
        <w:tc>
          <w:tcPr>
            <w:tcW w:w="3240" w:type="dxa"/>
            <w:shd w:val="clear" w:color="auto" w:fill="F6F8FA"/>
            <w:tcMar>
              <w:top w:w="70" w:type="dxa"/>
              <w:left w:w="80" w:type="dxa"/>
              <w:bottom w:w="70" w:type="dxa"/>
              <w:right w:w="80" w:type="dxa"/>
            </w:tcMar>
          </w:tcPr>
          <w:p w14:paraId="42C4BF34" w14:textId="77777777" w:rsidR="009E7494" w:rsidRDefault="009E7494" w:rsidP="002E7283">
            <w:r>
              <w:rPr>
                <w:rFonts w:eastAsia="Noto Sans"/>
                <w:color w:val="24313D"/>
                <w:sz w:val="14"/>
              </w:rPr>
              <w:t>Exact port grouping/configuration, board support, peer/ACS/DPC/reset behavior, diagnostics, quote and support owner.</w:t>
            </w:r>
          </w:p>
        </w:tc>
      </w:tr>
      <w:tr w:rsidR="009E7494" w14:paraId="20768326" w14:textId="77777777" w:rsidTr="002E7283">
        <w:trPr>
          <w:cantSplit/>
          <w:jc w:val="center"/>
        </w:trPr>
        <w:tc>
          <w:tcPr>
            <w:tcW w:w="1944" w:type="dxa"/>
            <w:tcMar>
              <w:top w:w="70" w:type="dxa"/>
              <w:left w:w="80" w:type="dxa"/>
              <w:bottom w:w="70" w:type="dxa"/>
              <w:right w:w="80" w:type="dxa"/>
            </w:tcMar>
          </w:tcPr>
          <w:p w14:paraId="2E163E48" w14:textId="77777777" w:rsidR="009E7494" w:rsidRDefault="009E7494" w:rsidP="002E7283">
            <w:r>
              <w:rPr>
                <w:rFonts w:eastAsia="Noto Sans"/>
                <w:b/>
                <w:color w:val="24313D"/>
                <w:sz w:val="14"/>
              </w:rPr>
              <w:t>Microchip PM50100 / larger Gen5</w:t>
            </w:r>
          </w:p>
        </w:tc>
        <w:tc>
          <w:tcPr>
            <w:tcW w:w="2664" w:type="dxa"/>
            <w:tcMar>
              <w:top w:w="70" w:type="dxa"/>
              <w:left w:w="80" w:type="dxa"/>
              <w:bottom w:w="70" w:type="dxa"/>
              <w:right w:w="80" w:type="dxa"/>
            </w:tcMar>
          </w:tcPr>
          <w:p w14:paraId="26602919" w14:textId="77777777" w:rsidR="009E7494" w:rsidRDefault="009E7494" w:rsidP="002E7283">
            <w:r>
              <w:rPr>
                <w:rFonts w:eastAsia="Noto Sans"/>
                <w:color w:val="24313D"/>
                <w:sz w:val="14"/>
              </w:rPr>
              <w:t xml:space="preserve">Up to 100 lanes in the Gen5 </w:t>
            </w:r>
            <w:proofErr w:type="spellStart"/>
            <w:r>
              <w:rPr>
                <w:rFonts w:eastAsia="Noto Sans"/>
                <w:color w:val="24313D"/>
                <w:sz w:val="14"/>
              </w:rPr>
              <w:t>Switchtec</w:t>
            </w:r>
            <w:proofErr w:type="spellEnd"/>
            <w:r>
              <w:rPr>
                <w:rFonts w:eastAsia="Noto Sans"/>
                <w:color w:val="24313D"/>
                <w:sz w:val="14"/>
              </w:rPr>
              <w:t xml:space="preserve"> family.</w:t>
            </w:r>
          </w:p>
        </w:tc>
        <w:tc>
          <w:tcPr>
            <w:tcW w:w="3240" w:type="dxa"/>
            <w:tcMar>
              <w:top w:w="70" w:type="dxa"/>
              <w:left w:w="80" w:type="dxa"/>
              <w:bottom w:w="70" w:type="dxa"/>
              <w:right w:w="80" w:type="dxa"/>
            </w:tcMar>
          </w:tcPr>
          <w:p w14:paraId="52156EDC" w14:textId="77777777" w:rsidR="009E7494" w:rsidRDefault="009E7494" w:rsidP="002E7283">
            <w:r>
              <w:rPr>
                <w:rFonts w:eastAsia="Noto Sans"/>
                <w:color w:val="24313D"/>
                <w:sz w:val="14"/>
              </w:rPr>
              <w:t>Only when the actual server port map needs wider uplinks, more endpoints or additional fabrics.</w:t>
            </w:r>
          </w:p>
        </w:tc>
        <w:tc>
          <w:tcPr>
            <w:tcW w:w="3240" w:type="dxa"/>
            <w:tcMar>
              <w:top w:w="70" w:type="dxa"/>
              <w:left w:w="80" w:type="dxa"/>
              <w:bottom w:w="70" w:type="dxa"/>
              <w:right w:w="80" w:type="dxa"/>
            </w:tcMar>
          </w:tcPr>
          <w:p w14:paraId="1B4AD267" w14:textId="77777777" w:rsidR="009E7494" w:rsidRDefault="009E7494" w:rsidP="002E7283">
            <w:r>
              <w:rPr>
                <w:rFonts w:eastAsia="Noto Sans"/>
                <w:color w:val="24313D"/>
                <w:sz w:val="14"/>
              </w:rPr>
              <w:t>Concrete extra-port requirement; do not pay area/power/cost merely because a larger switch exists.</w:t>
            </w:r>
          </w:p>
        </w:tc>
      </w:tr>
    </w:tbl>
    <w:p w14:paraId="7D921873" w14:textId="77777777" w:rsidR="009E7494" w:rsidRDefault="009E7494" w:rsidP="009E7494">
      <w:pPr>
        <w:spacing w:after="20"/>
      </w:pPr>
    </w:p>
    <w:p w14:paraId="4DD8504B" w14:textId="77777777" w:rsidR="009E7494" w:rsidRDefault="009E7494" w:rsidP="009E7494">
      <w:pPr>
        <w:keepNext/>
        <w:spacing w:before="60" w:after="60"/>
      </w:pPr>
      <w:r>
        <w:rPr>
          <w:b/>
          <w:color w:val="16324F"/>
          <w:sz w:val="25"/>
        </w:rPr>
        <w:t>Gen5 first for the subsystem; Gen6 when the rack path earns it</w:t>
      </w:r>
    </w:p>
    <w:p w14:paraId="7E8D353E" w14:textId="77777777" w:rsidR="009E7494" w:rsidRDefault="009E7494" w:rsidP="009E7494">
      <w:pPr>
        <w:pStyle w:val="ListBullet"/>
        <w:spacing w:after="40" w:line="252" w:lineRule="auto"/>
        <w:ind w:left="259" w:hanging="173"/>
      </w:pPr>
      <w:r>
        <w:t>A Gen6 x16 host uplink can approximately match the headline line rate of eight Gen5 x4 downstream links, but only when the selected NVL/Helios host path, switch, board/channel and firmware all support the combination. Gen6 is therefore a platform qualification, not a paper upgrade.</w:t>
      </w:r>
    </w:p>
    <w:p w14:paraId="0A40903A" w14:textId="77777777" w:rsidR="009E7494" w:rsidRDefault="009E7494" w:rsidP="009E7494">
      <w:pPr>
        <w:pStyle w:val="ListBullet"/>
        <w:spacing w:after="40" w:line="252" w:lineRule="auto"/>
        <w:ind w:left="259" w:hanging="173"/>
      </w:pPr>
      <w:r>
        <w:t xml:space="preserve">Microchip publicly describes Gen6 </w:t>
      </w:r>
      <w:proofErr w:type="spellStart"/>
      <w:r>
        <w:t>Switchtec</w:t>
      </w:r>
      <w:proofErr w:type="spellEnd"/>
      <w:r>
        <w:t xml:space="preserve"> low-lane-count 48/64-lane families with x2/x4/x8/x16 flexibility. Keep this as the first Gen6 engineering inquiry after the Gen5 subsystem behavior is understood.</w:t>
      </w:r>
    </w:p>
    <w:p w14:paraId="69E9A88E" w14:textId="77777777" w:rsidR="009E7494" w:rsidRDefault="009E7494" w:rsidP="009E7494">
      <w:pPr>
        <w:pStyle w:val="ListBullet"/>
        <w:spacing w:after="40" w:line="252" w:lineRule="auto"/>
        <w:ind w:left="259" w:hanging="173"/>
      </w:pPr>
      <w:r>
        <w:t>Do not choose Gen6 simply to upgrade a Gen5 endpoint. ATMOS endpoint generation, host/root generation and switch uplink/downlink configuration are independent decisions.</w:t>
      </w:r>
    </w:p>
    <w:p w14:paraId="43F44539" w14:textId="77777777" w:rsidR="009E7494" w:rsidRDefault="009E7494" w:rsidP="009E7494">
      <w:pPr>
        <w:pStyle w:val="ListBullet"/>
        <w:spacing w:after="40" w:line="252" w:lineRule="auto"/>
        <w:ind w:left="259" w:hanging="173"/>
      </w:pPr>
      <w:r>
        <w:t>Treat any larger Gen6 switch as a vendor/OEM roadmap item until an exact orderable part, x4 grouping, board path, firmware profile, supply plan and support owner are returned.</w:t>
      </w:r>
    </w:p>
    <w:p w14:paraId="72BE6DF4" w14:textId="55D4E779" w:rsidR="009E7494" w:rsidRDefault="009E7494" w:rsidP="005A5290">
      <w:r>
        <w:br w:type="page"/>
      </w:r>
      <w:r>
        <w:rPr>
          <w:b/>
          <w:color w:val="16324F"/>
          <w:sz w:val="36"/>
        </w:rPr>
        <w:lastRenderedPageBreak/>
        <w:t>GPU-to-ATMOS DMA qualification: host staging first, peer path optional</w:t>
      </w:r>
    </w:p>
    <w:p w14:paraId="0E8D1996" w14:textId="77777777" w:rsidR="009E7494" w:rsidRDefault="009E7494" w:rsidP="009E7494">
      <w:pPr>
        <w:spacing w:after="100" w:line="259" w:lineRule="auto"/>
      </w:pPr>
      <w:r>
        <w:rPr>
          <w:sz w:val="18"/>
        </w:rPr>
        <w:t xml:space="preserve">The initial </w:t>
      </w:r>
      <w:proofErr w:type="spellStart"/>
      <w:r>
        <w:rPr>
          <w:sz w:val="18"/>
        </w:rPr>
        <w:t>MoE</w:t>
      </w:r>
      <w:proofErr w:type="spellEnd"/>
      <w:r>
        <w:rPr>
          <w:sz w:val="18"/>
        </w:rPr>
        <w:t xml:space="preserve"> architecture </w:t>
      </w:r>
      <w:r w:rsidRPr="005835B4">
        <w:rPr>
          <w:b/>
          <w:bCs/>
          <w:sz w:val="18"/>
        </w:rPr>
        <w:t>does not require ATMOS-to-ATMOS P2P</w:t>
      </w:r>
      <w:r>
        <w:rPr>
          <w:sz w:val="18"/>
        </w:rPr>
        <w:t xml:space="preserve">. The </w:t>
      </w:r>
      <w:r w:rsidRPr="005835B4">
        <w:rPr>
          <w:b/>
          <w:bCs/>
          <w:sz w:val="18"/>
        </w:rPr>
        <w:t>critical data path is GPU-to-ATMOS activation dispatch and ATMOS-to-GPU result return</w:t>
      </w:r>
      <w:r>
        <w:rPr>
          <w:sz w:val="18"/>
        </w:rPr>
        <w:t>. A host-staged path using stock vendor APIs is the mandatory functional baseline. Direct GPU-memory peer DMA is enabled only when documented NVIDIA or AMD interfaces, Linux/IOMMU policy, the ATMOS endpoint and the runtime all support the exact route; lack of that path must never force a proprietary GPU driver or firmware modification.</w:t>
      </w:r>
    </w:p>
    <w:tbl>
      <w:tblPr>
        <w:tblStyle w:val="TableGrid"/>
        <w:tblW w:w="0" w:type="auto"/>
        <w:jc w:val="center"/>
        <w:tblLayout w:type="fixed"/>
        <w:tblLook w:val="04A0" w:firstRow="1" w:lastRow="0" w:firstColumn="1" w:lastColumn="0" w:noHBand="0" w:noVBand="1"/>
      </w:tblPr>
      <w:tblGrid>
        <w:gridCol w:w="1655"/>
        <w:gridCol w:w="6623"/>
        <w:gridCol w:w="1944"/>
      </w:tblGrid>
      <w:tr w:rsidR="009E7494" w14:paraId="1612D10C" w14:textId="77777777" w:rsidTr="002E7283">
        <w:trPr>
          <w:tblHeader/>
          <w:jc w:val="center"/>
        </w:trPr>
        <w:tc>
          <w:tcPr>
            <w:tcW w:w="1655" w:type="dxa"/>
            <w:shd w:val="clear" w:color="auto" w:fill="16324F"/>
            <w:tcMar>
              <w:top w:w="80" w:type="dxa"/>
              <w:left w:w="90" w:type="dxa"/>
              <w:bottom w:w="80" w:type="dxa"/>
              <w:right w:w="90" w:type="dxa"/>
            </w:tcMar>
            <w:vAlign w:val="center"/>
          </w:tcPr>
          <w:p w14:paraId="561B5134" w14:textId="77777777" w:rsidR="00846FAB" w:rsidRDefault="00000000">
            <w:r>
              <w:rPr>
                <w:b/>
                <w:color w:val="FFFFFF"/>
                <w:sz w:val="14"/>
              </w:rPr>
              <w:t>Gate</w:t>
            </w:r>
          </w:p>
        </w:tc>
        <w:tc>
          <w:tcPr>
            <w:tcW w:w="6623" w:type="dxa"/>
            <w:shd w:val="clear" w:color="auto" w:fill="16324F"/>
            <w:tcMar>
              <w:top w:w="80" w:type="dxa"/>
              <w:left w:w="90" w:type="dxa"/>
              <w:bottom w:w="80" w:type="dxa"/>
              <w:right w:w="90" w:type="dxa"/>
            </w:tcMar>
            <w:vAlign w:val="center"/>
          </w:tcPr>
          <w:p w14:paraId="71071D31" w14:textId="77777777" w:rsidR="00846FAB" w:rsidRDefault="00000000">
            <w:r>
              <w:rPr>
                <w:b/>
                <w:color w:val="FFFFFF"/>
                <w:sz w:val="14"/>
              </w:rPr>
              <w:t>What must be proven</w:t>
            </w:r>
          </w:p>
        </w:tc>
        <w:tc>
          <w:tcPr>
            <w:tcW w:w="1944" w:type="dxa"/>
            <w:shd w:val="clear" w:color="auto" w:fill="16324F"/>
            <w:tcMar>
              <w:top w:w="80" w:type="dxa"/>
              <w:left w:w="90" w:type="dxa"/>
              <w:bottom w:w="80" w:type="dxa"/>
              <w:right w:w="90" w:type="dxa"/>
            </w:tcMar>
            <w:vAlign w:val="center"/>
          </w:tcPr>
          <w:p w14:paraId="38F7D0D2" w14:textId="77777777" w:rsidR="00846FAB" w:rsidRDefault="00000000">
            <w:r>
              <w:rPr>
                <w:b/>
                <w:color w:val="FFFFFF"/>
                <w:sz w:val="14"/>
              </w:rPr>
              <w:t>Owner(s)</w:t>
            </w:r>
          </w:p>
        </w:tc>
      </w:tr>
      <w:tr w:rsidR="009E7494" w14:paraId="441D4261" w14:textId="77777777" w:rsidTr="002E7283">
        <w:trPr>
          <w:cantSplit/>
          <w:jc w:val="center"/>
        </w:trPr>
        <w:tc>
          <w:tcPr>
            <w:tcW w:w="1655" w:type="dxa"/>
            <w:tcMar>
              <w:top w:w="70" w:type="dxa"/>
              <w:left w:w="80" w:type="dxa"/>
              <w:bottom w:w="70" w:type="dxa"/>
              <w:right w:w="80" w:type="dxa"/>
            </w:tcMar>
            <w:vAlign w:val="center"/>
          </w:tcPr>
          <w:p w14:paraId="6AEA7B25" w14:textId="77777777" w:rsidR="00846FAB" w:rsidRDefault="00000000">
            <w:r>
              <w:rPr>
                <w:sz w:val="14"/>
              </w:rPr>
              <w:t>1. ATMOS endpoint</w:t>
            </w:r>
          </w:p>
        </w:tc>
        <w:tc>
          <w:tcPr>
            <w:tcW w:w="6623" w:type="dxa"/>
            <w:tcMar>
              <w:top w:w="70" w:type="dxa"/>
              <w:left w:w="80" w:type="dxa"/>
              <w:bottom w:w="70" w:type="dxa"/>
              <w:right w:w="80" w:type="dxa"/>
            </w:tcMar>
            <w:vAlign w:val="center"/>
          </w:tcPr>
          <w:p w14:paraId="408326B7" w14:textId="77777777" w:rsidR="00846FAB" w:rsidRDefault="00000000">
            <w:r>
              <w:rPr>
                <w:sz w:val="14"/>
              </w:rPr>
              <w:t>Registered-buffer mechanism; programmable DMA; ordering/completion; reset invalidation; bounded access. Peer-visible aperture only if required by a supported route.</w:t>
            </w:r>
          </w:p>
        </w:tc>
        <w:tc>
          <w:tcPr>
            <w:tcW w:w="1944" w:type="dxa"/>
            <w:tcMar>
              <w:top w:w="70" w:type="dxa"/>
              <w:left w:w="80" w:type="dxa"/>
              <w:bottom w:w="70" w:type="dxa"/>
              <w:right w:w="80" w:type="dxa"/>
            </w:tcMar>
            <w:vAlign w:val="center"/>
          </w:tcPr>
          <w:p w14:paraId="02710018" w14:textId="77777777" w:rsidR="00846FAB" w:rsidRDefault="00000000">
            <w:proofErr w:type="spellStart"/>
            <w:r>
              <w:rPr>
                <w:sz w:val="14"/>
              </w:rPr>
              <w:t>Sandisk</w:t>
            </w:r>
            <w:proofErr w:type="spellEnd"/>
            <w:r>
              <w:rPr>
                <w:sz w:val="14"/>
              </w:rPr>
              <w:t xml:space="preserve"> silicon/FW + driver</w:t>
            </w:r>
          </w:p>
        </w:tc>
      </w:tr>
      <w:tr w:rsidR="009E7494" w14:paraId="2F4A689D" w14:textId="77777777" w:rsidTr="002E7283">
        <w:trPr>
          <w:cantSplit/>
          <w:jc w:val="center"/>
        </w:trPr>
        <w:tc>
          <w:tcPr>
            <w:tcW w:w="1655" w:type="dxa"/>
            <w:shd w:val="clear" w:color="auto" w:fill="F3F6F8"/>
            <w:tcMar>
              <w:top w:w="70" w:type="dxa"/>
              <w:left w:w="80" w:type="dxa"/>
              <w:bottom w:w="70" w:type="dxa"/>
              <w:right w:w="80" w:type="dxa"/>
            </w:tcMar>
            <w:vAlign w:val="center"/>
          </w:tcPr>
          <w:p w14:paraId="31885CC8" w14:textId="77777777" w:rsidR="00846FAB" w:rsidRDefault="00000000">
            <w:r>
              <w:rPr>
                <w:sz w:val="14"/>
              </w:rPr>
              <w:t>2. Switch fabric</w:t>
            </w:r>
          </w:p>
        </w:tc>
        <w:tc>
          <w:tcPr>
            <w:tcW w:w="6623" w:type="dxa"/>
            <w:shd w:val="clear" w:color="auto" w:fill="F3F6F8"/>
            <w:tcMar>
              <w:top w:w="70" w:type="dxa"/>
              <w:left w:w="80" w:type="dxa"/>
              <w:bottom w:w="70" w:type="dxa"/>
              <w:right w:w="80" w:type="dxa"/>
            </w:tcMar>
            <w:vAlign w:val="center"/>
          </w:tcPr>
          <w:p w14:paraId="575C3175" w14:textId="77777777" w:rsidR="00846FAB" w:rsidRDefault="00000000">
            <w:r>
              <w:rPr>
                <w:sz w:val="14"/>
              </w:rPr>
              <w:t>Required x16 + 8×x4 map; diagnostics; ACS/DPC/security policy; containment and firmware profile. ATMOS-to-ATMOS P2P is optional for the first product.</w:t>
            </w:r>
          </w:p>
        </w:tc>
        <w:tc>
          <w:tcPr>
            <w:tcW w:w="1944" w:type="dxa"/>
            <w:shd w:val="clear" w:color="auto" w:fill="F3F6F8"/>
            <w:tcMar>
              <w:top w:w="70" w:type="dxa"/>
              <w:left w:w="80" w:type="dxa"/>
              <w:bottom w:w="70" w:type="dxa"/>
              <w:right w:w="80" w:type="dxa"/>
            </w:tcMar>
            <w:vAlign w:val="center"/>
          </w:tcPr>
          <w:p w14:paraId="06E23651" w14:textId="77777777" w:rsidR="00846FAB" w:rsidRDefault="00000000">
            <w:r>
              <w:rPr>
                <w:sz w:val="14"/>
              </w:rPr>
              <w:t>Microchip/Broadcom FAE + OEM</w:t>
            </w:r>
          </w:p>
        </w:tc>
      </w:tr>
      <w:tr w:rsidR="009E7494" w14:paraId="2A7CB7C6" w14:textId="77777777" w:rsidTr="002E7283">
        <w:trPr>
          <w:cantSplit/>
          <w:jc w:val="center"/>
        </w:trPr>
        <w:tc>
          <w:tcPr>
            <w:tcW w:w="1655" w:type="dxa"/>
            <w:tcMar>
              <w:top w:w="70" w:type="dxa"/>
              <w:left w:w="80" w:type="dxa"/>
              <w:bottom w:w="70" w:type="dxa"/>
              <w:right w:w="80" w:type="dxa"/>
            </w:tcMar>
            <w:vAlign w:val="center"/>
          </w:tcPr>
          <w:p w14:paraId="549C28CC" w14:textId="77777777" w:rsidR="00846FAB" w:rsidRDefault="00000000">
            <w:r>
              <w:rPr>
                <w:sz w:val="14"/>
              </w:rPr>
              <w:t>3. OEM / OS</w:t>
            </w:r>
          </w:p>
        </w:tc>
        <w:tc>
          <w:tcPr>
            <w:tcW w:w="6623" w:type="dxa"/>
            <w:tcMar>
              <w:top w:w="70" w:type="dxa"/>
              <w:left w:w="80" w:type="dxa"/>
              <w:bottom w:w="70" w:type="dxa"/>
              <w:right w:w="80" w:type="dxa"/>
            </w:tcMar>
            <w:vAlign w:val="center"/>
          </w:tcPr>
          <w:p w14:paraId="05D60B2E" w14:textId="77777777" w:rsidR="00846FAB" w:rsidRDefault="00000000">
            <w:r>
              <w:rPr>
                <w:sz w:val="14"/>
              </w:rPr>
              <w:t>BIOS address windows, IOMMU mapping, NUMA/root reachability, security policy, reset and failure containment for the selected host/rack.</w:t>
            </w:r>
          </w:p>
        </w:tc>
        <w:tc>
          <w:tcPr>
            <w:tcW w:w="1944" w:type="dxa"/>
            <w:tcMar>
              <w:top w:w="70" w:type="dxa"/>
              <w:left w:w="80" w:type="dxa"/>
              <w:bottom w:w="70" w:type="dxa"/>
              <w:right w:w="80" w:type="dxa"/>
            </w:tcMar>
            <w:vAlign w:val="center"/>
          </w:tcPr>
          <w:p w14:paraId="7F779ADB" w14:textId="77777777" w:rsidR="00846FAB" w:rsidRDefault="00000000">
            <w:r>
              <w:rPr>
                <w:sz w:val="14"/>
              </w:rPr>
              <w:t>OEM + Linux/platform</w:t>
            </w:r>
          </w:p>
        </w:tc>
      </w:tr>
      <w:tr w:rsidR="009E7494" w14:paraId="03994B11" w14:textId="77777777" w:rsidTr="002E7283">
        <w:trPr>
          <w:cantSplit/>
          <w:jc w:val="center"/>
        </w:trPr>
        <w:tc>
          <w:tcPr>
            <w:tcW w:w="1655" w:type="dxa"/>
            <w:shd w:val="clear" w:color="auto" w:fill="F3F6F8"/>
            <w:tcMar>
              <w:top w:w="70" w:type="dxa"/>
              <w:left w:w="80" w:type="dxa"/>
              <w:bottom w:w="70" w:type="dxa"/>
              <w:right w:w="80" w:type="dxa"/>
            </w:tcMar>
            <w:vAlign w:val="center"/>
          </w:tcPr>
          <w:p w14:paraId="0DA2F648" w14:textId="77777777" w:rsidR="00846FAB" w:rsidRDefault="00000000">
            <w:r>
              <w:rPr>
                <w:sz w:val="14"/>
              </w:rPr>
              <w:t>4. NVIDIA GPU path</w:t>
            </w:r>
          </w:p>
        </w:tc>
        <w:tc>
          <w:tcPr>
            <w:tcW w:w="6623" w:type="dxa"/>
            <w:shd w:val="clear" w:color="auto" w:fill="F3F6F8"/>
            <w:tcMar>
              <w:top w:w="70" w:type="dxa"/>
              <w:left w:w="80" w:type="dxa"/>
              <w:bottom w:w="70" w:type="dxa"/>
              <w:right w:w="80" w:type="dxa"/>
            </w:tcMar>
            <w:vAlign w:val="center"/>
          </w:tcPr>
          <w:p w14:paraId="3FCEE958" w14:textId="77777777" w:rsidR="00846FAB" w:rsidRDefault="00000000">
            <w:r>
              <w:rPr>
                <w:sz w:val="14"/>
              </w:rPr>
              <w:t>Stock vendor-supported CUDA/driver path. Host-staged pinned memory is sufficient for baseline; optional peer DMA only through documented interfaces. No NVIDIA firmware/driver patch.</w:t>
            </w:r>
          </w:p>
        </w:tc>
        <w:tc>
          <w:tcPr>
            <w:tcW w:w="1944" w:type="dxa"/>
            <w:shd w:val="clear" w:color="auto" w:fill="F3F6F8"/>
            <w:tcMar>
              <w:top w:w="70" w:type="dxa"/>
              <w:left w:w="80" w:type="dxa"/>
              <w:bottom w:w="70" w:type="dxa"/>
              <w:right w:w="80" w:type="dxa"/>
            </w:tcMar>
            <w:vAlign w:val="center"/>
          </w:tcPr>
          <w:p w14:paraId="7FDAAFDA" w14:textId="77777777" w:rsidR="00846FAB" w:rsidRDefault="00000000">
            <w:proofErr w:type="spellStart"/>
            <w:r>
              <w:rPr>
                <w:sz w:val="14"/>
              </w:rPr>
              <w:t>Sandisk</w:t>
            </w:r>
            <w:proofErr w:type="spellEnd"/>
            <w:r>
              <w:rPr>
                <w:sz w:val="14"/>
              </w:rPr>
              <w:t xml:space="preserve"> runtime/driver + OEM</w:t>
            </w:r>
          </w:p>
        </w:tc>
      </w:tr>
      <w:tr w:rsidR="009E7494" w14:paraId="28797755" w14:textId="77777777" w:rsidTr="002E7283">
        <w:trPr>
          <w:cantSplit/>
          <w:jc w:val="center"/>
        </w:trPr>
        <w:tc>
          <w:tcPr>
            <w:tcW w:w="1655" w:type="dxa"/>
            <w:tcMar>
              <w:top w:w="70" w:type="dxa"/>
              <w:left w:w="80" w:type="dxa"/>
              <w:bottom w:w="70" w:type="dxa"/>
              <w:right w:w="80" w:type="dxa"/>
            </w:tcMar>
            <w:vAlign w:val="center"/>
          </w:tcPr>
          <w:p w14:paraId="2AE16ADF" w14:textId="77777777" w:rsidR="00846FAB" w:rsidRDefault="00000000">
            <w:r>
              <w:rPr>
                <w:sz w:val="14"/>
              </w:rPr>
              <w:t>5. AMD GPU path</w:t>
            </w:r>
          </w:p>
        </w:tc>
        <w:tc>
          <w:tcPr>
            <w:tcW w:w="6623" w:type="dxa"/>
            <w:tcMar>
              <w:top w:w="70" w:type="dxa"/>
              <w:left w:w="80" w:type="dxa"/>
              <w:bottom w:w="70" w:type="dxa"/>
              <w:right w:w="80" w:type="dxa"/>
            </w:tcMar>
            <w:vAlign w:val="center"/>
          </w:tcPr>
          <w:p w14:paraId="24CDC07C" w14:textId="77777777" w:rsidR="00846FAB" w:rsidRDefault="00000000">
            <w:r>
              <w:rPr>
                <w:sz w:val="14"/>
              </w:rPr>
              <w:t xml:space="preserve">Stock </w:t>
            </w:r>
            <w:proofErr w:type="spellStart"/>
            <w:r>
              <w:rPr>
                <w:sz w:val="14"/>
              </w:rPr>
              <w:t>ROCm</w:t>
            </w:r>
            <w:proofErr w:type="spellEnd"/>
            <w:r>
              <w:rPr>
                <w:sz w:val="14"/>
              </w:rPr>
              <w:t>/HIP/</w:t>
            </w:r>
            <w:proofErr w:type="spellStart"/>
            <w:r>
              <w:rPr>
                <w:sz w:val="14"/>
              </w:rPr>
              <w:t>amdgpu</w:t>
            </w:r>
            <w:proofErr w:type="spellEnd"/>
            <w:r>
              <w:rPr>
                <w:sz w:val="14"/>
              </w:rPr>
              <w:t xml:space="preserve"> path. Host-staged pinned memory is sufficient for baseline; optional peer path uses documented/open interfaces. No private AMD extension is required.</w:t>
            </w:r>
          </w:p>
        </w:tc>
        <w:tc>
          <w:tcPr>
            <w:tcW w:w="1944" w:type="dxa"/>
            <w:tcMar>
              <w:top w:w="70" w:type="dxa"/>
              <w:left w:w="80" w:type="dxa"/>
              <w:bottom w:w="70" w:type="dxa"/>
              <w:right w:w="80" w:type="dxa"/>
            </w:tcMar>
            <w:vAlign w:val="center"/>
          </w:tcPr>
          <w:p w14:paraId="045E15DD" w14:textId="77777777" w:rsidR="00846FAB" w:rsidRDefault="00000000">
            <w:proofErr w:type="spellStart"/>
            <w:r>
              <w:rPr>
                <w:sz w:val="14"/>
              </w:rPr>
              <w:t>Sandisk</w:t>
            </w:r>
            <w:proofErr w:type="spellEnd"/>
            <w:r>
              <w:rPr>
                <w:sz w:val="14"/>
              </w:rPr>
              <w:t xml:space="preserve"> runtime/driver + OEM</w:t>
            </w:r>
          </w:p>
        </w:tc>
      </w:tr>
      <w:tr w:rsidR="009E7494" w14:paraId="1EDAC67C" w14:textId="77777777" w:rsidTr="002E7283">
        <w:trPr>
          <w:cantSplit/>
          <w:jc w:val="center"/>
        </w:trPr>
        <w:tc>
          <w:tcPr>
            <w:tcW w:w="1655" w:type="dxa"/>
            <w:shd w:val="clear" w:color="auto" w:fill="F3F6F8"/>
            <w:tcMar>
              <w:top w:w="70" w:type="dxa"/>
              <w:left w:w="80" w:type="dxa"/>
              <w:bottom w:w="70" w:type="dxa"/>
              <w:right w:w="80" w:type="dxa"/>
            </w:tcMar>
            <w:vAlign w:val="center"/>
          </w:tcPr>
          <w:p w14:paraId="56E3CC9F" w14:textId="77777777" w:rsidR="00846FAB" w:rsidRDefault="00000000">
            <w:r>
              <w:rPr>
                <w:sz w:val="14"/>
              </w:rPr>
              <w:t>6. Runtime semantics</w:t>
            </w:r>
          </w:p>
        </w:tc>
        <w:tc>
          <w:tcPr>
            <w:tcW w:w="6623" w:type="dxa"/>
            <w:shd w:val="clear" w:color="auto" w:fill="F3F6F8"/>
            <w:tcMar>
              <w:top w:w="70" w:type="dxa"/>
              <w:left w:w="80" w:type="dxa"/>
              <w:bottom w:w="70" w:type="dxa"/>
              <w:right w:w="80" w:type="dxa"/>
            </w:tcMar>
            <w:vAlign w:val="center"/>
          </w:tcPr>
          <w:p w14:paraId="7C2DDA4E" w14:textId="77777777" w:rsidR="00846FAB" w:rsidRDefault="00000000">
            <w:r>
              <w:rPr>
                <w:sz w:val="14"/>
              </w:rPr>
              <w:t>Pinned lifetime, token/expert identity, fences, cancellation, timeout, retry, backpressure and generation-safe cleanup. DMA and NPU completions remain separate.</w:t>
            </w:r>
          </w:p>
        </w:tc>
        <w:tc>
          <w:tcPr>
            <w:tcW w:w="1944" w:type="dxa"/>
            <w:shd w:val="clear" w:color="auto" w:fill="F3F6F8"/>
            <w:tcMar>
              <w:top w:w="70" w:type="dxa"/>
              <w:left w:w="80" w:type="dxa"/>
              <w:bottom w:w="70" w:type="dxa"/>
              <w:right w:w="80" w:type="dxa"/>
            </w:tcMar>
            <w:vAlign w:val="center"/>
          </w:tcPr>
          <w:p w14:paraId="061CEDC8" w14:textId="77777777" w:rsidR="00846FAB" w:rsidRDefault="00000000">
            <w:proofErr w:type="spellStart"/>
            <w:r>
              <w:rPr>
                <w:sz w:val="14"/>
              </w:rPr>
              <w:t>Sandisk</w:t>
            </w:r>
            <w:proofErr w:type="spellEnd"/>
            <w:r>
              <w:rPr>
                <w:sz w:val="14"/>
              </w:rPr>
              <w:t xml:space="preserve"> runtime + </w:t>
            </w:r>
            <w:proofErr w:type="spellStart"/>
            <w:r>
              <w:rPr>
                <w:sz w:val="14"/>
              </w:rPr>
              <w:t>Tenstorrent</w:t>
            </w:r>
            <w:proofErr w:type="spellEnd"/>
          </w:p>
        </w:tc>
      </w:tr>
      <w:tr w:rsidR="00846FAB" w14:paraId="32CF1219" w14:textId="77777777">
        <w:trPr>
          <w:jc w:val="center"/>
        </w:trPr>
        <w:tc>
          <w:tcPr>
            <w:tcW w:w="1655" w:type="dxa"/>
            <w:vAlign w:val="center"/>
          </w:tcPr>
          <w:p w14:paraId="49FD38B2" w14:textId="77777777" w:rsidR="00846FAB" w:rsidRDefault="00000000">
            <w:r>
              <w:rPr>
                <w:sz w:val="14"/>
              </w:rPr>
              <w:t>7. Service evidence</w:t>
            </w:r>
          </w:p>
        </w:tc>
        <w:tc>
          <w:tcPr>
            <w:tcW w:w="6623" w:type="dxa"/>
            <w:vAlign w:val="center"/>
          </w:tcPr>
          <w:p w14:paraId="1274E09B" w14:textId="77777777" w:rsidR="00846FAB" w:rsidRDefault="00000000">
            <w:r>
              <w:rPr>
                <w:sz w:val="14"/>
              </w:rPr>
              <w:t xml:space="preserve">Measure </w:t>
            </w:r>
            <w:proofErr w:type="spellStart"/>
            <w:r>
              <w:rPr>
                <w:sz w:val="14"/>
              </w:rPr>
              <w:t>producer→expert→continuation</w:t>
            </w:r>
            <w:proofErr w:type="spellEnd"/>
            <w:r>
              <w:rPr>
                <w:sz w:val="14"/>
              </w:rPr>
              <w:t xml:space="preserve"> latency, bandwidth and queueing under all-eight-device load; compare host-staged and any qualified peer path at identical model/SLO.</w:t>
            </w:r>
          </w:p>
        </w:tc>
        <w:tc>
          <w:tcPr>
            <w:tcW w:w="1944" w:type="dxa"/>
            <w:vAlign w:val="center"/>
          </w:tcPr>
          <w:p w14:paraId="28D948EA" w14:textId="77777777" w:rsidR="00846FAB" w:rsidRDefault="00000000">
            <w:r>
              <w:rPr>
                <w:sz w:val="14"/>
              </w:rPr>
              <w:t>Performance + validation</w:t>
            </w:r>
          </w:p>
        </w:tc>
      </w:tr>
    </w:tbl>
    <w:p w14:paraId="4CF621CC" w14:textId="77777777" w:rsidR="009E7494" w:rsidRDefault="009E7494" w:rsidP="009E7494">
      <w:pPr>
        <w:spacing w:after="20"/>
      </w:pPr>
    </w:p>
    <w:tbl>
      <w:tblPr>
        <w:tblW w:w="0" w:type="auto"/>
        <w:jc w:val="center"/>
        <w:tblLook w:val="04A0" w:firstRow="1" w:lastRow="0" w:firstColumn="1" w:lastColumn="0" w:noHBand="0" w:noVBand="1"/>
      </w:tblPr>
      <w:tblGrid>
        <w:gridCol w:w="10368"/>
      </w:tblGrid>
      <w:tr w:rsidR="009E7494" w14:paraId="2ED1FFD0" w14:textId="77777777" w:rsidTr="002E7283">
        <w:trPr>
          <w:jc w:val="center"/>
        </w:trPr>
        <w:tc>
          <w:tcPr>
            <w:tcW w:w="10368" w:type="dxa"/>
            <w:shd w:val="clear" w:color="auto" w:fill="F9ECEF"/>
            <w:tcMar>
              <w:top w:w="120" w:type="dxa"/>
              <w:left w:w="150" w:type="dxa"/>
              <w:bottom w:w="120" w:type="dxa"/>
              <w:right w:w="150" w:type="dxa"/>
            </w:tcMar>
            <w:vAlign w:val="center"/>
          </w:tcPr>
          <w:p w14:paraId="197B6B59" w14:textId="77777777" w:rsidR="00846FAB" w:rsidRDefault="00000000">
            <w:pPr>
              <w:spacing w:after="0"/>
            </w:pPr>
            <w:r>
              <w:rPr>
                <w:b/>
                <w:color w:val="A73545"/>
                <w:sz w:val="16"/>
              </w:rPr>
              <w:t xml:space="preserve">DESIGN </w:t>
            </w:r>
            <w:proofErr w:type="gramStart"/>
            <w:r>
              <w:rPr>
                <w:b/>
                <w:color w:val="A73545"/>
                <w:sz w:val="16"/>
              </w:rPr>
              <w:t>RULE  The</w:t>
            </w:r>
            <w:proofErr w:type="gramEnd"/>
            <w:r>
              <w:rPr>
                <w:b/>
                <w:color w:val="A73545"/>
                <w:sz w:val="16"/>
              </w:rPr>
              <w:t xml:space="preserve"> switch is useful for ATMOS fan-out and lifecycle even if no peer DMA is enabled. ATMOS-to-ATMOS P2P is not required for the initial expert architecture. Preserve the native GPU scale-up fabric; if a direct GPU peer route is unavailable, use host staging or change the physical integration rather than modifying proprietary GPU software.</w:t>
            </w:r>
          </w:p>
        </w:tc>
      </w:tr>
    </w:tbl>
    <w:p w14:paraId="494F972B" w14:textId="77777777" w:rsidR="009E7494" w:rsidRDefault="009E7494" w:rsidP="009E7494">
      <w:pPr>
        <w:spacing w:after="20"/>
      </w:pPr>
    </w:p>
    <w:p w14:paraId="0D6726D7" w14:textId="77777777" w:rsidR="009E7494" w:rsidRDefault="009E7494" w:rsidP="009E7494">
      <w:r>
        <w:br w:type="page"/>
      </w:r>
    </w:p>
    <w:p w14:paraId="4949ADE4" w14:textId="77777777" w:rsidR="009E7494" w:rsidRDefault="009E7494" w:rsidP="009E7494">
      <w:pPr>
        <w:keepNext/>
        <w:spacing w:before="60" w:after="60"/>
      </w:pPr>
      <w:r>
        <w:rPr>
          <w:rFonts w:eastAsia="Noto Sans"/>
          <w:b/>
          <w:color w:val="16324F"/>
          <w:sz w:val="25"/>
        </w:rPr>
        <w:lastRenderedPageBreak/>
        <w:t>OEM deliverable required before the switch is “settled”</w:t>
      </w:r>
    </w:p>
    <w:tbl>
      <w:tblPr>
        <w:tblStyle w:val="TableGrid"/>
        <w:tblW w:w="0" w:type="auto"/>
        <w:jc w:val="center"/>
        <w:tblLayout w:type="fixed"/>
        <w:tblLook w:val="04A0" w:firstRow="1" w:lastRow="0" w:firstColumn="1" w:lastColumn="0" w:noHBand="0" w:noVBand="1"/>
      </w:tblPr>
      <w:tblGrid>
        <w:gridCol w:w="2376"/>
        <w:gridCol w:w="7848"/>
      </w:tblGrid>
      <w:tr w:rsidR="009E7494" w14:paraId="4CE863E1" w14:textId="77777777" w:rsidTr="002E7283">
        <w:trPr>
          <w:tblHeader/>
          <w:jc w:val="center"/>
        </w:trPr>
        <w:tc>
          <w:tcPr>
            <w:tcW w:w="2376" w:type="dxa"/>
            <w:shd w:val="clear" w:color="auto" w:fill="16324F"/>
            <w:tcMar>
              <w:top w:w="80" w:type="dxa"/>
              <w:left w:w="90" w:type="dxa"/>
              <w:bottom w:w="80" w:type="dxa"/>
              <w:right w:w="90" w:type="dxa"/>
            </w:tcMar>
            <w:vAlign w:val="center"/>
          </w:tcPr>
          <w:p w14:paraId="2AA0EEFA" w14:textId="77777777" w:rsidR="009E7494" w:rsidRDefault="009E7494" w:rsidP="002E7283">
            <w:r>
              <w:rPr>
                <w:rFonts w:eastAsia="Noto Sans"/>
                <w:b/>
                <w:color w:val="FFFFFF"/>
                <w:sz w:val="15"/>
              </w:rPr>
              <w:t>Returned artifact</w:t>
            </w:r>
          </w:p>
        </w:tc>
        <w:tc>
          <w:tcPr>
            <w:tcW w:w="7848" w:type="dxa"/>
            <w:shd w:val="clear" w:color="auto" w:fill="16324F"/>
            <w:tcMar>
              <w:top w:w="80" w:type="dxa"/>
              <w:left w:w="90" w:type="dxa"/>
              <w:bottom w:w="80" w:type="dxa"/>
              <w:right w:w="90" w:type="dxa"/>
            </w:tcMar>
            <w:vAlign w:val="center"/>
          </w:tcPr>
          <w:p w14:paraId="7AFCBCEA" w14:textId="77777777" w:rsidR="009E7494" w:rsidRDefault="009E7494" w:rsidP="002E7283">
            <w:r>
              <w:rPr>
                <w:rFonts w:eastAsia="Noto Sans"/>
                <w:b/>
                <w:color w:val="FFFFFF"/>
                <w:sz w:val="15"/>
              </w:rPr>
              <w:t>Required content</w:t>
            </w:r>
          </w:p>
        </w:tc>
      </w:tr>
      <w:tr w:rsidR="009E7494" w14:paraId="60931FB3" w14:textId="77777777" w:rsidTr="002E7283">
        <w:trPr>
          <w:cantSplit/>
          <w:jc w:val="center"/>
        </w:trPr>
        <w:tc>
          <w:tcPr>
            <w:tcW w:w="2376" w:type="dxa"/>
            <w:tcMar>
              <w:top w:w="70" w:type="dxa"/>
              <w:left w:w="80" w:type="dxa"/>
              <w:bottom w:w="70" w:type="dxa"/>
              <w:right w:w="80" w:type="dxa"/>
            </w:tcMar>
          </w:tcPr>
          <w:p w14:paraId="0A4C86C8" w14:textId="77777777" w:rsidR="009E7494" w:rsidRDefault="009E7494" w:rsidP="002E7283">
            <w:r>
              <w:rPr>
                <w:rFonts w:eastAsia="Noto Sans"/>
                <w:b/>
                <w:color w:val="24313D"/>
                <w:sz w:val="15"/>
              </w:rPr>
              <w:t>Qualified BOM / configuration ID</w:t>
            </w:r>
          </w:p>
        </w:tc>
        <w:tc>
          <w:tcPr>
            <w:tcW w:w="7848" w:type="dxa"/>
            <w:tcMar>
              <w:top w:w="70" w:type="dxa"/>
              <w:left w:w="80" w:type="dxa"/>
              <w:bottom w:w="70" w:type="dxa"/>
              <w:right w:w="80" w:type="dxa"/>
            </w:tcMar>
            <w:vAlign w:val="center"/>
          </w:tcPr>
          <w:p w14:paraId="34DB6A8B" w14:textId="77777777" w:rsidR="00846FAB" w:rsidRDefault="00000000">
            <w:r>
              <w:rPr>
                <w:sz w:val="15"/>
              </w:rPr>
              <w:t>One exact configuration per stage: RTX POC/MVP fixture, then NVIDIA NVL and/or AMD Helios rack integration. Include ATMOS switch/board, cables/</w:t>
            </w:r>
            <w:proofErr w:type="spellStart"/>
            <w:r>
              <w:rPr>
                <w:sz w:val="15"/>
              </w:rPr>
              <w:t>retimers</w:t>
            </w:r>
            <w:proofErr w:type="spellEnd"/>
            <w:r>
              <w:rPr>
                <w:sz w:val="15"/>
              </w:rPr>
              <w:t>, NICs, boot/storage and spare strategy.</w:t>
            </w:r>
          </w:p>
        </w:tc>
      </w:tr>
      <w:tr w:rsidR="009E7494" w14:paraId="3984D044" w14:textId="77777777" w:rsidTr="002E7283">
        <w:trPr>
          <w:cantSplit/>
          <w:jc w:val="center"/>
        </w:trPr>
        <w:tc>
          <w:tcPr>
            <w:tcW w:w="2376" w:type="dxa"/>
            <w:shd w:val="clear" w:color="auto" w:fill="F3F6F8"/>
            <w:tcMar>
              <w:top w:w="70" w:type="dxa"/>
              <w:left w:w="80" w:type="dxa"/>
              <w:bottom w:w="70" w:type="dxa"/>
              <w:right w:w="80" w:type="dxa"/>
            </w:tcMar>
          </w:tcPr>
          <w:p w14:paraId="073401A1" w14:textId="77777777" w:rsidR="009E7494" w:rsidRDefault="009E7494" w:rsidP="002E7283">
            <w:r>
              <w:rPr>
                <w:rFonts w:eastAsia="Noto Sans"/>
                <w:b/>
                <w:color w:val="24313D"/>
                <w:sz w:val="15"/>
              </w:rPr>
              <w:t>Lane + NUMA map</w:t>
            </w:r>
          </w:p>
        </w:tc>
        <w:tc>
          <w:tcPr>
            <w:tcW w:w="7848" w:type="dxa"/>
            <w:shd w:val="clear" w:color="auto" w:fill="F3F6F8"/>
            <w:tcMar>
              <w:top w:w="70" w:type="dxa"/>
              <w:left w:w="80" w:type="dxa"/>
              <w:bottom w:w="70" w:type="dxa"/>
              <w:right w:w="80" w:type="dxa"/>
            </w:tcMar>
            <w:vAlign w:val="center"/>
          </w:tcPr>
          <w:p w14:paraId="712F2AAB" w14:textId="77777777" w:rsidR="00846FAB" w:rsidRDefault="00000000">
            <w:r>
              <w:rPr>
                <w:sz w:val="15"/>
              </w:rPr>
              <w:t>CPU/root path, native GPU scale-up fabric boundary, ATMOS switch uplink, all eight x4 endpoints, generations, oversubscription and any root/rack crossing.</w:t>
            </w:r>
          </w:p>
        </w:tc>
      </w:tr>
      <w:tr w:rsidR="009E7494" w14:paraId="1A27FE5B" w14:textId="77777777" w:rsidTr="002E7283">
        <w:trPr>
          <w:cantSplit/>
          <w:jc w:val="center"/>
        </w:trPr>
        <w:tc>
          <w:tcPr>
            <w:tcW w:w="2376" w:type="dxa"/>
            <w:tcMar>
              <w:top w:w="70" w:type="dxa"/>
              <w:left w:w="80" w:type="dxa"/>
              <w:bottom w:w="70" w:type="dxa"/>
              <w:right w:w="80" w:type="dxa"/>
            </w:tcMar>
          </w:tcPr>
          <w:p w14:paraId="37369AFE" w14:textId="77777777" w:rsidR="009E7494" w:rsidRDefault="009E7494" w:rsidP="002E7283">
            <w:r>
              <w:rPr>
                <w:rFonts w:eastAsia="Noto Sans"/>
                <w:b/>
                <w:color w:val="24313D"/>
                <w:sz w:val="15"/>
              </w:rPr>
              <w:t>Power / cooling envelope</w:t>
            </w:r>
          </w:p>
        </w:tc>
        <w:tc>
          <w:tcPr>
            <w:tcW w:w="7848" w:type="dxa"/>
            <w:tcMar>
              <w:top w:w="70" w:type="dxa"/>
              <w:left w:w="80" w:type="dxa"/>
              <w:bottom w:w="70" w:type="dxa"/>
              <w:right w:w="80" w:type="dxa"/>
            </w:tcMar>
            <w:vAlign w:val="center"/>
          </w:tcPr>
          <w:p w14:paraId="44E4D764" w14:textId="77777777" w:rsidR="00846FAB" w:rsidRDefault="00000000">
            <w:r>
              <w:rPr>
                <w:sz w:val="15"/>
              </w:rPr>
              <w:t>ATMOS device/switch budget plus simultaneous GPU workload, airflow/liquid-cooling interaction, BMC telemetry, throttling and service access.</w:t>
            </w:r>
          </w:p>
        </w:tc>
      </w:tr>
      <w:tr w:rsidR="009E7494" w14:paraId="1C46AD21" w14:textId="77777777" w:rsidTr="002E7283">
        <w:trPr>
          <w:cantSplit/>
          <w:jc w:val="center"/>
        </w:trPr>
        <w:tc>
          <w:tcPr>
            <w:tcW w:w="2376" w:type="dxa"/>
            <w:shd w:val="clear" w:color="auto" w:fill="F3F6F8"/>
            <w:tcMar>
              <w:top w:w="70" w:type="dxa"/>
              <w:left w:w="80" w:type="dxa"/>
              <w:bottom w:w="70" w:type="dxa"/>
              <w:right w:w="80" w:type="dxa"/>
            </w:tcMar>
          </w:tcPr>
          <w:p w14:paraId="0B55B989" w14:textId="77777777" w:rsidR="009E7494" w:rsidRDefault="009E7494" w:rsidP="002E7283">
            <w:r>
              <w:rPr>
                <w:rFonts w:eastAsia="Noto Sans"/>
                <w:b/>
                <w:color w:val="24313D"/>
                <w:sz w:val="15"/>
              </w:rPr>
              <w:t>BIOS / BMC / reset contract</w:t>
            </w:r>
          </w:p>
        </w:tc>
        <w:tc>
          <w:tcPr>
            <w:tcW w:w="7848" w:type="dxa"/>
            <w:shd w:val="clear" w:color="auto" w:fill="F3F6F8"/>
            <w:tcMar>
              <w:top w:w="70" w:type="dxa"/>
              <w:left w:w="80" w:type="dxa"/>
              <w:bottom w:w="70" w:type="dxa"/>
              <w:right w:w="80" w:type="dxa"/>
            </w:tcMar>
            <w:vAlign w:val="center"/>
          </w:tcPr>
          <w:p w14:paraId="72BB7364" w14:textId="77777777" w:rsidR="00846FAB" w:rsidRDefault="00000000">
            <w:r>
              <w:rPr>
                <w:sz w:val="15"/>
              </w:rPr>
              <w:t>Enumeration, address windows, IOMMU/ACS, DPC/AER, FLR/reset domains, secure boot/update sequence and failure recovery for the selected platform.</w:t>
            </w:r>
          </w:p>
        </w:tc>
      </w:tr>
      <w:tr w:rsidR="009E7494" w14:paraId="5B47A0A1" w14:textId="77777777" w:rsidTr="002E7283">
        <w:trPr>
          <w:cantSplit/>
          <w:jc w:val="center"/>
        </w:trPr>
        <w:tc>
          <w:tcPr>
            <w:tcW w:w="2376" w:type="dxa"/>
            <w:tcMar>
              <w:top w:w="70" w:type="dxa"/>
              <w:left w:w="80" w:type="dxa"/>
              <w:bottom w:w="70" w:type="dxa"/>
              <w:right w:w="80" w:type="dxa"/>
            </w:tcMar>
          </w:tcPr>
          <w:p w14:paraId="5E6C90BF" w14:textId="77777777" w:rsidR="009E7494" w:rsidRDefault="009E7494" w:rsidP="002E7283">
            <w:r>
              <w:rPr>
                <w:rFonts w:eastAsia="Noto Sans"/>
                <w:b/>
                <w:color w:val="24313D"/>
                <w:sz w:val="15"/>
              </w:rPr>
              <w:t>Support boundary</w:t>
            </w:r>
          </w:p>
        </w:tc>
        <w:tc>
          <w:tcPr>
            <w:tcW w:w="7848" w:type="dxa"/>
            <w:tcMar>
              <w:top w:w="70" w:type="dxa"/>
              <w:left w:w="80" w:type="dxa"/>
              <w:bottom w:w="70" w:type="dxa"/>
              <w:right w:w="80" w:type="dxa"/>
            </w:tcMar>
            <w:vAlign w:val="center"/>
          </w:tcPr>
          <w:p w14:paraId="05F9CD5A" w14:textId="77777777" w:rsidR="00846FAB" w:rsidRDefault="00000000">
            <w:r>
              <w:rPr>
                <w:sz w:val="15"/>
              </w:rPr>
              <w:t xml:space="preserve">Who owns ATMOS switch board/firmware, field replacement, diagnostics, spares and escalation. </w:t>
            </w:r>
            <w:proofErr w:type="spellStart"/>
            <w:r>
              <w:rPr>
                <w:sz w:val="15"/>
              </w:rPr>
              <w:t>Sandisk</w:t>
            </w:r>
            <w:proofErr w:type="spellEnd"/>
            <w:r>
              <w:rPr>
                <w:sz w:val="15"/>
              </w:rPr>
              <w:t xml:space="preserve"> owns the ATMOS service boundary; native GPU stack ownership stays with its vendor/platform.</w:t>
            </w:r>
          </w:p>
        </w:tc>
      </w:tr>
      <w:tr w:rsidR="009E7494" w14:paraId="22063259" w14:textId="77777777" w:rsidTr="002E7283">
        <w:trPr>
          <w:cantSplit/>
          <w:jc w:val="center"/>
        </w:trPr>
        <w:tc>
          <w:tcPr>
            <w:tcW w:w="2376" w:type="dxa"/>
            <w:shd w:val="clear" w:color="auto" w:fill="F3F6F8"/>
            <w:tcMar>
              <w:top w:w="70" w:type="dxa"/>
              <w:left w:w="80" w:type="dxa"/>
              <w:bottom w:w="70" w:type="dxa"/>
              <w:right w:w="80" w:type="dxa"/>
            </w:tcMar>
          </w:tcPr>
          <w:p w14:paraId="65EA1D66" w14:textId="77777777" w:rsidR="009E7494" w:rsidRDefault="009E7494" w:rsidP="002E7283">
            <w:r>
              <w:rPr>
                <w:rFonts w:eastAsia="Noto Sans"/>
                <w:b/>
                <w:color w:val="24313D"/>
                <w:sz w:val="15"/>
              </w:rPr>
              <w:t>Measured route matrix</w:t>
            </w:r>
          </w:p>
        </w:tc>
        <w:tc>
          <w:tcPr>
            <w:tcW w:w="7848" w:type="dxa"/>
            <w:shd w:val="clear" w:color="auto" w:fill="F3F6F8"/>
            <w:tcMar>
              <w:top w:w="70" w:type="dxa"/>
              <w:left w:w="80" w:type="dxa"/>
              <w:bottom w:w="70" w:type="dxa"/>
              <w:right w:w="80" w:type="dxa"/>
            </w:tcMar>
            <w:vAlign w:val="center"/>
          </w:tcPr>
          <w:p w14:paraId="6176B4E2" w14:textId="77777777" w:rsidR="00846FAB" w:rsidRDefault="00000000">
            <w:r>
              <w:rPr>
                <w:sz w:val="15"/>
              </w:rPr>
              <w:t>Host-staged and any qualified peer paths, with payload, latency, queueing, root/rack crossings and unsupported combinations explicitly listed for each target platform.</w:t>
            </w:r>
          </w:p>
        </w:tc>
      </w:tr>
    </w:tbl>
    <w:p w14:paraId="62C6378D" w14:textId="77777777" w:rsidR="009E7494" w:rsidRDefault="009E7494" w:rsidP="009E7494">
      <w:pPr>
        <w:spacing w:after="20"/>
      </w:pPr>
    </w:p>
    <w:p w14:paraId="694E1767" w14:textId="77777777" w:rsidR="009E7494" w:rsidRDefault="009E7494" w:rsidP="009E7494">
      <w:pPr>
        <w:keepNext/>
        <w:spacing w:before="60" w:after="60"/>
      </w:pPr>
      <w:r>
        <w:rPr>
          <w:rFonts w:eastAsia="Noto Sans"/>
          <w:b/>
          <w:color w:val="16324F"/>
          <w:sz w:val="25"/>
        </w:rPr>
        <w:t>Production selection rule</w:t>
      </w:r>
    </w:p>
    <w:p w14:paraId="73E4BBEE" w14:textId="77777777" w:rsidR="009E7494" w:rsidRDefault="009E7494" w:rsidP="009E7494">
      <w:pPr>
        <w:pStyle w:val="ListBullet"/>
        <w:spacing w:after="40" w:line="252" w:lineRule="auto"/>
        <w:ind w:left="259" w:hanging="173"/>
      </w:pPr>
      <w:r>
        <w:t xml:space="preserve">Choose the production Gen5 </w:t>
      </w:r>
      <w:proofErr w:type="gramStart"/>
      <w:r>
        <w:t>switch</w:t>
      </w:r>
      <w:proofErr w:type="gramEnd"/>
      <w:r>
        <w:t xml:space="preserve"> only after POC 2 proves the required port map, fault/reset behavior and sustained DMA behavior, and POC 3 confirms that the subsystem can support the end-to-end MVP service rate. Lane </w:t>
      </w:r>
      <w:proofErr w:type="spellStart"/>
      <w:r>
        <w:t>count</w:t>
      </w:r>
      <w:proofErr w:type="spellEnd"/>
      <w:r>
        <w:t xml:space="preserve"> alone is not a winner criterion.</w:t>
      </w:r>
    </w:p>
    <w:p w14:paraId="290AA0C8" w14:textId="77777777" w:rsidR="009E7494" w:rsidRDefault="009E7494" w:rsidP="009E7494">
      <w:pPr>
        <w:pStyle w:val="ListBullet"/>
        <w:spacing w:after="40" w:line="252" w:lineRule="auto"/>
        <w:ind w:left="259" w:hanging="173"/>
      </w:pPr>
      <w:r>
        <w:t>A separate switch AIC is acceptable as the POC/MVP engineering fixture when it shortens bring-up. For rack-scale deployment, prefer the OEM-integrated or companion-tray path that produces the clearest BOM, lifecycle and support boundary.</w:t>
      </w:r>
    </w:p>
    <w:p w14:paraId="17C6F425" w14:textId="77777777" w:rsidR="009E7494" w:rsidRDefault="009E7494" w:rsidP="009E7494">
      <w:pPr>
        <w:pStyle w:val="ListBullet"/>
        <w:spacing w:after="40" w:line="252" w:lineRule="auto"/>
        <w:ind w:left="259" w:hanging="173"/>
      </w:pPr>
      <w:r>
        <w:t>Gen6 is a later platform qualification delta, not an MVP blocker. Promote it when the Gen5 uplink is a measured bottleneck and the selected NVL/Helios integration exposes a supported Gen6 root path.</w:t>
      </w:r>
    </w:p>
    <w:tbl>
      <w:tblPr>
        <w:tblW w:w="0" w:type="auto"/>
        <w:jc w:val="center"/>
        <w:tblLook w:val="04A0" w:firstRow="1" w:lastRow="0" w:firstColumn="1" w:lastColumn="0" w:noHBand="0" w:noVBand="1"/>
      </w:tblPr>
      <w:tblGrid>
        <w:gridCol w:w="10368"/>
      </w:tblGrid>
      <w:tr w:rsidR="009E7494" w14:paraId="43DECF2F" w14:textId="77777777" w:rsidTr="002E7283">
        <w:trPr>
          <w:jc w:val="center"/>
        </w:trPr>
        <w:tc>
          <w:tcPr>
            <w:tcW w:w="10368" w:type="dxa"/>
            <w:shd w:val="clear" w:color="auto" w:fill="F9ECEF"/>
            <w:tcMar>
              <w:top w:w="120" w:type="dxa"/>
              <w:left w:w="150" w:type="dxa"/>
              <w:bottom w:w="120" w:type="dxa"/>
              <w:right w:w="150" w:type="dxa"/>
            </w:tcMar>
            <w:vAlign w:val="center"/>
          </w:tcPr>
          <w:p w14:paraId="469100F7" w14:textId="77777777" w:rsidR="00846FAB" w:rsidRDefault="00000000">
            <w:pPr>
              <w:spacing w:after="0"/>
            </w:pPr>
            <w:r>
              <w:rPr>
                <w:b/>
                <w:color w:val="A73545"/>
                <w:sz w:val="16"/>
              </w:rPr>
              <w:t xml:space="preserve">WHAT “SETTLED” </w:t>
            </w:r>
            <w:proofErr w:type="gramStart"/>
            <w:r>
              <w:rPr>
                <w:b/>
                <w:color w:val="A73545"/>
                <w:sz w:val="16"/>
              </w:rPr>
              <w:t>MEANS  One</w:t>
            </w:r>
            <w:proofErr w:type="gramEnd"/>
            <w:r>
              <w:rPr>
                <w:b/>
                <w:color w:val="A73545"/>
                <w:sz w:val="16"/>
              </w:rPr>
              <w:t xml:space="preserve"> exact ATMOS switch/board revision and E3.S population, plus a platform-specific integration record for RTX MVP and each rack-scale target: lane/route map, reset/security contract, supported software stack, power/cooling envelope and accountable first-response owner.</w:t>
            </w:r>
          </w:p>
        </w:tc>
      </w:tr>
    </w:tbl>
    <w:p w14:paraId="55BF148A" w14:textId="77777777" w:rsidR="009E7494" w:rsidRDefault="009E7494" w:rsidP="009E7494">
      <w:pPr>
        <w:spacing w:after="20"/>
      </w:pPr>
    </w:p>
    <w:p w14:paraId="1E83E380" w14:textId="77777777" w:rsidR="009E7494" w:rsidRDefault="009E7494">
      <w:r>
        <w:br w:type="page"/>
      </w:r>
    </w:p>
    <w:p w14:paraId="44BB7885" w14:textId="77777777" w:rsidR="0085422C" w:rsidRDefault="00000000" w:rsidP="009E7494">
      <w:r>
        <w:rPr>
          <w:b/>
          <w:color w:val="16324F"/>
          <w:sz w:val="36"/>
        </w:rPr>
        <w:lastRenderedPageBreak/>
        <w:t xml:space="preserve">Part II — One workstream: Heterogeneous </w:t>
      </w:r>
      <w:proofErr w:type="spellStart"/>
      <w:r>
        <w:rPr>
          <w:b/>
          <w:color w:val="16324F"/>
          <w:sz w:val="36"/>
        </w:rPr>
        <w:t>MoE</w:t>
      </w:r>
      <w:proofErr w:type="spellEnd"/>
      <w:r>
        <w:rPr>
          <w:b/>
          <w:color w:val="16324F"/>
          <w:sz w:val="36"/>
        </w:rPr>
        <w:t xml:space="preserve"> Execution &amp; Infrastructure Efficiency</w:t>
      </w:r>
    </w:p>
    <w:p w14:paraId="670B6A0B" w14:textId="77777777" w:rsidR="0085422C" w:rsidRDefault="00000000">
      <w:pPr>
        <w:spacing w:after="100" w:line="259" w:lineRule="auto"/>
      </w:pPr>
      <w:r>
        <w:t>The proposal intentionally uses one workstream because expert execution, reclaimed GPU memory, locality and infrastructure reduction are one economic chain. The same execution architecture can spend its headroom on more throughput, more KV/concurrency, fewer GPU service units or less remote expert traffic. The software contract is common across NVIDIA and AMD; only the GPU-facing seam and physical platform integration change.</w:t>
      </w:r>
    </w:p>
    <w:tbl>
      <w:tblPr>
        <w:tblStyle w:val="TableGrid"/>
        <w:tblW w:w="0" w:type="auto"/>
        <w:tblLook w:val="04A0" w:firstRow="1" w:lastRow="0" w:firstColumn="1" w:lastColumn="0" w:noHBand="0" w:noVBand="1"/>
      </w:tblPr>
      <w:tblGrid>
        <w:gridCol w:w="10358"/>
      </w:tblGrid>
      <w:tr w:rsidR="005A5290" w14:paraId="48666CA2" w14:textId="77777777" w:rsidTr="005A5290">
        <w:tc>
          <w:tcPr>
            <w:tcW w:w="10584" w:type="dxa"/>
          </w:tcPr>
          <w:p w14:paraId="49727E5C" w14:textId="05D3AAF0" w:rsidR="005A5290" w:rsidRDefault="005A5290">
            <w:pPr>
              <w:spacing w:after="40"/>
              <w:jc w:val="center"/>
            </w:pPr>
            <w:r w:rsidRPr="00020EED">
              <w:rPr>
                <w:noProof/>
              </w:rPr>
              <w:drawing>
                <wp:inline distT="0" distB="0" distL="0" distR="0" wp14:anchorId="24515DAE" wp14:editId="1A3E870A">
                  <wp:extent cx="5782145" cy="4336610"/>
                  <wp:effectExtent l="0" t="0" r="0" b="0"/>
                  <wp:docPr id="6306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0056" name=""/>
                          <pic:cNvPicPr/>
                        </pic:nvPicPr>
                        <pic:blipFill>
                          <a:blip r:embed="rId12"/>
                          <a:stretch>
                            <a:fillRect/>
                          </a:stretch>
                        </pic:blipFill>
                        <pic:spPr>
                          <a:xfrm>
                            <a:off x="0" y="0"/>
                            <a:ext cx="5894821" cy="4421117"/>
                          </a:xfrm>
                          <a:prstGeom prst="rect">
                            <a:avLst/>
                          </a:prstGeom>
                        </pic:spPr>
                      </pic:pic>
                    </a:graphicData>
                  </a:graphic>
                </wp:inline>
              </w:drawing>
            </w:r>
          </w:p>
        </w:tc>
      </w:tr>
    </w:tbl>
    <w:p w14:paraId="3BF01F22" w14:textId="38A3F7FB" w:rsidR="0085422C" w:rsidRDefault="0085422C">
      <w:pPr>
        <w:spacing w:after="40"/>
        <w:jc w:val="center"/>
      </w:pPr>
    </w:p>
    <w:p w14:paraId="05E72DDA" w14:textId="77777777" w:rsidR="00020EED" w:rsidRPr="000E731F" w:rsidRDefault="00000000">
      <w:pPr>
        <w:keepNext/>
        <w:spacing w:before="60" w:after="60"/>
        <w:rPr>
          <w:rFonts w:eastAsia="Noto Sans"/>
          <w:b/>
          <w:color w:val="16324F"/>
          <w:sz w:val="25"/>
        </w:rPr>
      </w:pPr>
      <w:r>
        <w:rPr>
          <w:rFonts w:eastAsia="Noto Sans"/>
          <w:b/>
          <w:color w:val="16324F"/>
          <w:sz w:val="25"/>
        </w:rPr>
        <w:t>Execution sequence</w:t>
      </w:r>
    </w:p>
    <w:p w14:paraId="10D6B726" w14:textId="77777777" w:rsidR="0085422C" w:rsidRDefault="00000000">
      <w:pPr>
        <w:pStyle w:val="ListBullet"/>
        <w:spacing w:after="40" w:line="252" w:lineRule="auto"/>
        <w:ind w:left="259" w:hanging="173"/>
      </w:pPr>
      <w:r>
        <w:t xml:space="preserve">1. </w:t>
      </w:r>
      <w:proofErr w:type="spellStart"/>
      <w:r>
        <w:t>vLLM</w:t>
      </w:r>
      <w:proofErr w:type="spellEnd"/>
      <w:r>
        <w:t>/</w:t>
      </w:r>
      <w:proofErr w:type="spellStart"/>
      <w:r>
        <w:t>PyTorch</w:t>
      </w:r>
      <w:proofErr w:type="spellEnd"/>
      <w:r>
        <w:t xml:space="preserve"> runs the existing attention and shared/non-expert GPU path on the stock platform stack: CUDA/NCCL for NVIDIA or </w:t>
      </w:r>
      <w:proofErr w:type="spellStart"/>
      <w:r>
        <w:t>ROCm</w:t>
      </w:r>
      <w:proofErr w:type="spellEnd"/>
      <w:r>
        <w:t xml:space="preserve">/HIP/RCCL for AMD. The learned </w:t>
      </w:r>
      <w:proofErr w:type="spellStart"/>
      <w:r>
        <w:t>MoE</w:t>
      </w:r>
      <w:proofErr w:type="spellEnd"/>
      <w:r>
        <w:t xml:space="preserve"> router computes the same top-k expert IDs and gate weights as the GPU-only reference.</w:t>
      </w:r>
    </w:p>
    <w:p w14:paraId="183CF410" w14:textId="77777777" w:rsidR="0085422C" w:rsidRDefault="00000000">
      <w:pPr>
        <w:pStyle w:val="ListBullet"/>
        <w:spacing w:after="40" w:line="252" w:lineRule="auto"/>
        <w:ind w:left="259" w:hanging="173"/>
      </w:pPr>
      <w:r>
        <w:t xml:space="preserve">2. The </w:t>
      </w:r>
      <w:proofErr w:type="spellStart"/>
      <w:r>
        <w:t>Sandisk</w:t>
      </w:r>
      <w:proofErr w:type="spellEnd"/>
      <w:r>
        <w:t xml:space="preserve"> heterogeneous expert adapter, in-process with the LLM runtime, groups routed tokens by model version, layer, expert and physical destination. Placement is deployment-time state; it does not predict future “hot” experts.</w:t>
      </w:r>
    </w:p>
    <w:p w14:paraId="756BD9AF" w14:textId="77777777" w:rsidR="0085422C" w:rsidRDefault="00000000">
      <w:pPr>
        <w:pStyle w:val="ListBullet"/>
        <w:spacing w:after="40" w:line="252" w:lineRule="auto"/>
        <w:ind w:left="259" w:hanging="173"/>
      </w:pPr>
      <w:r>
        <w:t xml:space="preserve">3. For an ATMOS-owned expert, the adapter submits hidden activations through the </w:t>
      </w:r>
      <w:proofErr w:type="spellStart"/>
      <w:r>
        <w:t>Sandisk</w:t>
      </w:r>
      <w:proofErr w:type="spellEnd"/>
      <w:r>
        <w:t xml:space="preserve"> transport abstraction into registered ATMOS buffers. Host-staged transport is always supported; direct peer DMA is a platform-specific optimization.</w:t>
      </w:r>
    </w:p>
    <w:p w14:paraId="458B008A" w14:textId="77777777" w:rsidR="0085422C" w:rsidRDefault="00000000">
      <w:pPr>
        <w:pStyle w:val="ListBullet"/>
        <w:spacing w:after="40" w:line="252" w:lineRule="auto"/>
        <w:ind w:left="259" w:hanging="173"/>
      </w:pPr>
      <w:r>
        <w:t>4. ATMOS moves the required working tiles through HBF/LPDDR/</w:t>
      </w:r>
      <w:proofErr w:type="gramStart"/>
      <w:r>
        <w:t>SRAM</w:t>
      </w:r>
      <w:proofErr w:type="gramEnd"/>
      <w:r>
        <w:t xml:space="preserve"> and the NPU executes the expert FFN. Expert weights stay resident in ATMOS; no request-time weight copy to GPU is required.</w:t>
      </w:r>
    </w:p>
    <w:p w14:paraId="00A0929E" w14:textId="77777777" w:rsidR="0085422C" w:rsidRDefault="00000000">
      <w:pPr>
        <w:pStyle w:val="ListBullet"/>
        <w:spacing w:after="40" w:line="252" w:lineRule="auto"/>
        <w:ind w:left="259" w:hanging="173"/>
      </w:pPr>
      <w:r>
        <w:t>5. The GPU continuation path restores token order, applies the learned gate exactly once, combines all required top-k contributions and advances to the next dependent layer. The native GPU collective stack remains untouched.</w:t>
      </w:r>
    </w:p>
    <w:p w14:paraId="2B255AC4" w14:textId="77777777" w:rsidR="0085422C" w:rsidRDefault="00000000">
      <w:pPr>
        <w:pStyle w:val="ListBullet"/>
        <w:spacing w:after="40" w:line="252" w:lineRule="auto"/>
        <w:ind w:left="259" w:hanging="173"/>
      </w:pPr>
      <w:r>
        <w:t>6. At deployment scale, complete expert coverage and replica placement are optimized against the actual rack topology, demand and failure policy. RTX POC/MVP placement is not assumed to be optimal for NVL or Helios.</w:t>
      </w:r>
    </w:p>
    <w:tbl>
      <w:tblPr>
        <w:tblStyle w:val="TableGrid"/>
        <w:tblW w:w="0" w:type="auto"/>
        <w:tblLook w:val="04A0" w:firstRow="1" w:lastRow="0" w:firstColumn="1" w:lastColumn="0" w:noHBand="0" w:noVBand="1"/>
      </w:tblPr>
      <w:tblGrid>
        <w:gridCol w:w="10358"/>
      </w:tblGrid>
      <w:tr w:rsidR="005A5290" w14:paraId="783FA3E9" w14:textId="77777777" w:rsidTr="005A5290">
        <w:tc>
          <w:tcPr>
            <w:tcW w:w="10584" w:type="dxa"/>
          </w:tcPr>
          <w:p w14:paraId="7952CAEB" w14:textId="7A79A921" w:rsidR="005A5290" w:rsidRDefault="005A5290" w:rsidP="000E731F">
            <w:pPr>
              <w:spacing w:after="20"/>
              <w:jc w:val="center"/>
            </w:pPr>
            <w:r w:rsidRPr="00020EED">
              <w:rPr>
                <w:noProof/>
              </w:rPr>
              <w:lastRenderedPageBreak/>
              <w:drawing>
                <wp:inline distT="0" distB="0" distL="0" distR="0" wp14:anchorId="285A54A5" wp14:editId="52D08A6C">
                  <wp:extent cx="5776109" cy="4332083"/>
                  <wp:effectExtent l="0" t="0" r="2540" b="0"/>
                  <wp:docPr id="20119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5270" name=""/>
                          <pic:cNvPicPr/>
                        </pic:nvPicPr>
                        <pic:blipFill>
                          <a:blip r:embed="rId8"/>
                          <a:stretch>
                            <a:fillRect/>
                          </a:stretch>
                        </pic:blipFill>
                        <pic:spPr>
                          <a:xfrm>
                            <a:off x="0" y="0"/>
                            <a:ext cx="5862857" cy="4397144"/>
                          </a:xfrm>
                          <a:prstGeom prst="rect">
                            <a:avLst/>
                          </a:prstGeom>
                        </pic:spPr>
                      </pic:pic>
                    </a:graphicData>
                  </a:graphic>
                </wp:inline>
              </w:drawing>
            </w:r>
          </w:p>
        </w:tc>
      </w:tr>
    </w:tbl>
    <w:p w14:paraId="5317E0DA" w14:textId="33074BFF" w:rsidR="0085422C" w:rsidRDefault="0085422C" w:rsidP="000E731F">
      <w:pPr>
        <w:spacing w:after="20"/>
        <w:jc w:val="center"/>
      </w:pPr>
    </w:p>
    <w:p w14:paraId="5619F3C2" w14:textId="77777777" w:rsidR="0085422C" w:rsidRDefault="00000000">
      <w:pPr>
        <w:keepNext/>
        <w:spacing w:before="60" w:after="60"/>
        <w:rPr>
          <w:b/>
          <w:color w:val="16324F"/>
          <w:sz w:val="25"/>
        </w:rPr>
      </w:pPr>
      <w:r>
        <w:rPr>
          <w:b/>
          <w:color w:val="16324F"/>
          <w:sz w:val="25"/>
        </w:rPr>
        <w:t xml:space="preserve">Serving-stack impact: common </w:t>
      </w:r>
      <w:proofErr w:type="spellStart"/>
      <w:r>
        <w:rPr>
          <w:b/>
          <w:color w:val="16324F"/>
          <w:sz w:val="25"/>
        </w:rPr>
        <w:t>Sandisk</w:t>
      </w:r>
      <w:proofErr w:type="spellEnd"/>
      <w:r>
        <w:rPr>
          <w:b/>
          <w:color w:val="16324F"/>
          <w:sz w:val="25"/>
        </w:rPr>
        <w:t xml:space="preserve"> core with NVIDIA and AMD platform seams</w:t>
      </w:r>
    </w:p>
    <w:p w14:paraId="050951D0" w14:textId="77777777" w:rsidR="002451E4" w:rsidRDefault="002451E4" w:rsidP="002451E4">
      <w:pPr>
        <w:spacing w:before="20" w:after="80"/>
      </w:pPr>
      <w:r>
        <w:rPr>
          <w:i/>
          <w:color w:val="66727D"/>
          <w:sz w:val="16"/>
        </w:rPr>
        <w:t xml:space="preserve">Source / note: V = verify/reuse; M = configure/modify; N = new </w:t>
      </w:r>
      <w:proofErr w:type="spellStart"/>
      <w:r>
        <w:rPr>
          <w:i/>
          <w:color w:val="66727D"/>
          <w:sz w:val="16"/>
        </w:rPr>
        <w:t>Sandisk</w:t>
      </w:r>
      <w:proofErr w:type="spellEnd"/>
      <w:r>
        <w:rPr>
          <w:i/>
          <w:color w:val="66727D"/>
          <w:sz w:val="16"/>
        </w:rPr>
        <w:t>/partner artifact. The architecture is deliberately built around stock vendor-supported GPU software. No product feature is allowed to depend on a proprietary NVIDIA or AMD firmware/driver modification; if a peer path is unavailable, the system retains host staging or changes the physical integration.</w:t>
      </w:r>
    </w:p>
    <w:p w14:paraId="47CFAC14" w14:textId="77777777" w:rsidR="002451E4" w:rsidRDefault="002451E4">
      <w:pPr>
        <w:keepNext/>
        <w:spacing w:before="60" w:after="60"/>
      </w:pPr>
    </w:p>
    <w:tbl>
      <w:tblPr>
        <w:tblStyle w:val="TableGrid"/>
        <w:tblW w:w="0" w:type="auto"/>
        <w:jc w:val="center"/>
        <w:tblLayout w:type="fixed"/>
        <w:tblLook w:val="04A0" w:firstRow="1" w:lastRow="0" w:firstColumn="1" w:lastColumn="0" w:noHBand="0" w:noVBand="1"/>
      </w:tblPr>
      <w:tblGrid>
        <w:gridCol w:w="1004"/>
        <w:gridCol w:w="1228"/>
        <w:gridCol w:w="604"/>
        <w:gridCol w:w="3096"/>
        <w:gridCol w:w="2951"/>
        <w:gridCol w:w="1224"/>
      </w:tblGrid>
      <w:tr w:rsidR="0085422C" w14:paraId="7850599C" w14:textId="77777777" w:rsidTr="002451E4">
        <w:trPr>
          <w:tblHeader/>
          <w:jc w:val="center"/>
        </w:trPr>
        <w:tc>
          <w:tcPr>
            <w:tcW w:w="1004" w:type="dxa"/>
            <w:shd w:val="clear" w:color="auto" w:fill="16324F"/>
            <w:tcMar>
              <w:top w:w="80" w:type="dxa"/>
              <w:left w:w="90" w:type="dxa"/>
              <w:bottom w:w="80" w:type="dxa"/>
              <w:right w:w="90" w:type="dxa"/>
            </w:tcMar>
            <w:vAlign w:val="center"/>
          </w:tcPr>
          <w:p w14:paraId="3CA93291" w14:textId="77777777" w:rsidR="00846FAB" w:rsidRDefault="00000000">
            <w:r>
              <w:rPr>
                <w:b/>
                <w:color w:val="FFFFFF"/>
                <w:sz w:val="14"/>
              </w:rPr>
              <w:t>Domain</w:t>
            </w:r>
          </w:p>
        </w:tc>
        <w:tc>
          <w:tcPr>
            <w:tcW w:w="1228" w:type="dxa"/>
            <w:shd w:val="clear" w:color="auto" w:fill="16324F"/>
            <w:tcMar>
              <w:top w:w="80" w:type="dxa"/>
              <w:left w:w="90" w:type="dxa"/>
              <w:bottom w:w="80" w:type="dxa"/>
              <w:right w:w="90" w:type="dxa"/>
            </w:tcMar>
            <w:vAlign w:val="center"/>
          </w:tcPr>
          <w:p w14:paraId="4205BD64" w14:textId="77777777" w:rsidR="00846FAB" w:rsidRDefault="00000000">
            <w:r>
              <w:rPr>
                <w:b/>
                <w:color w:val="FFFFFF"/>
                <w:sz w:val="14"/>
              </w:rPr>
              <w:t>Artifact</w:t>
            </w:r>
          </w:p>
        </w:tc>
        <w:tc>
          <w:tcPr>
            <w:tcW w:w="604" w:type="dxa"/>
            <w:shd w:val="clear" w:color="auto" w:fill="16324F"/>
            <w:tcMar>
              <w:top w:w="80" w:type="dxa"/>
              <w:left w:w="90" w:type="dxa"/>
              <w:bottom w:w="80" w:type="dxa"/>
              <w:right w:w="90" w:type="dxa"/>
            </w:tcMar>
            <w:vAlign w:val="center"/>
          </w:tcPr>
          <w:p w14:paraId="713F8190" w14:textId="77777777" w:rsidR="00846FAB" w:rsidRDefault="00000000">
            <w:r>
              <w:rPr>
                <w:b/>
                <w:color w:val="FFFFFF"/>
                <w:sz w:val="14"/>
              </w:rPr>
              <w:t>Action</w:t>
            </w:r>
          </w:p>
        </w:tc>
        <w:tc>
          <w:tcPr>
            <w:tcW w:w="3096" w:type="dxa"/>
            <w:shd w:val="clear" w:color="auto" w:fill="16324F"/>
            <w:tcMar>
              <w:top w:w="80" w:type="dxa"/>
              <w:left w:w="90" w:type="dxa"/>
              <w:bottom w:w="80" w:type="dxa"/>
              <w:right w:w="90" w:type="dxa"/>
            </w:tcMar>
            <w:vAlign w:val="center"/>
          </w:tcPr>
          <w:p w14:paraId="2C5A6228" w14:textId="77777777" w:rsidR="00846FAB" w:rsidRDefault="00000000">
            <w:r>
              <w:rPr>
                <w:b/>
                <w:color w:val="FFFFFF"/>
                <w:sz w:val="14"/>
              </w:rPr>
              <w:t xml:space="preserve">Common </w:t>
            </w:r>
            <w:proofErr w:type="spellStart"/>
            <w:r>
              <w:rPr>
                <w:b/>
                <w:color w:val="FFFFFF"/>
                <w:sz w:val="14"/>
              </w:rPr>
              <w:t>Sandisk</w:t>
            </w:r>
            <w:proofErr w:type="spellEnd"/>
            <w:r>
              <w:rPr>
                <w:b/>
                <w:color w:val="FFFFFF"/>
                <w:sz w:val="14"/>
              </w:rPr>
              <w:t xml:space="preserve"> requirement</w:t>
            </w:r>
          </w:p>
        </w:tc>
        <w:tc>
          <w:tcPr>
            <w:tcW w:w="2951" w:type="dxa"/>
            <w:shd w:val="clear" w:color="auto" w:fill="16324F"/>
            <w:tcMar>
              <w:top w:w="80" w:type="dxa"/>
              <w:left w:w="90" w:type="dxa"/>
              <w:bottom w:w="80" w:type="dxa"/>
              <w:right w:w="90" w:type="dxa"/>
            </w:tcMar>
            <w:vAlign w:val="center"/>
          </w:tcPr>
          <w:p w14:paraId="22746124" w14:textId="77777777" w:rsidR="00846FAB" w:rsidRDefault="00000000">
            <w:r>
              <w:rPr>
                <w:b/>
                <w:color w:val="FFFFFF"/>
                <w:sz w:val="14"/>
              </w:rPr>
              <w:t>GPU-platform path (NVIDIA / AMD)</w:t>
            </w:r>
          </w:p>
        </w:tc>
        <w:tc>
          <w:tcPr>
            <w:tcW w:w="1224" w:type="dxa"/>
            <w:shd w:val="clear" w:color="auto" w:fill="16324F"/>
            <w:vAlign w:val="center"/>
          </w:tcPr>
          <w:p w14:paraId="65BF55ED" w14:textId="77777777" w:rsidR="00846FAB" w:rsidRDefault="00000000">
            <w:r>
              <w:rPr>
                <w:b/>
                <w:color w:val="FFFFFF"/>
                <w:sz w:val="14"/>
              </w:rPr>
              <w:t>Primary owner</w:t>
            </w:r>
          </w:p>
        </w:tc>
      </w:tr>
      <w:tr w:rsidR="0085422C" w14:paraId="45BDDFB8" w14:textId="77777777" w:rsidTr="002451E4">
        <w:trPr>
          <w:cantSplit/>
          <w:jc w:val="center"/>
        </w:trPr>
        <w:tc>
          <w:tcPr>
            <w:tcW w:w="1004" w:type="dxa"/>
            <w:tcMar>
              <w:top w:w="70" w:type="dxa"/>
              <w:left w:w="80" w:type="dxa"/>
              <w:bottom w:w="70" w:type="dxa"/>
              <w:right w:w="80" w:type="dxa"/>
            </w:tcMar>
            <w:vAlign w:val="center"/>
          </w:tcPr>
          <w:p w14:paraId="3D8AA0D2" w14:textId="77777777" w:rsidR="00846FAB" w:rsidRDefault="00000000">
            <w:r>
              <w:rPr>
                <w:sz w:val="14"/>
              </w:rPr>
              <w:t>Software</w:t>
            </w:r>
          </w:p>
        </w:tc>
        <w:tc>
          <w:tcPr>
            <w:tcW w:w="1228" w:type="dxa"/>
            <w:tcMar>
              <w:top w:w="70" w:type="dxa"/>
              <w:left w:w="80" w:type="dxa"/>
              <w:bottom w:w="70" w:type="dxa"/>
              <w:right w:w="80" w:type="dxa"/>
            </w:tcMar>
            <w:vAlign w:val="center"/>
          </w:tcPr>
          <w:p w14:paraId="0A486864" w14:textId="77777777" w:rsidR="00846FAB" w:rsidRDefault="00000000">
            <w:r>
              <w:rPr>
                <w:sz w:val="14"/>
              </w:rPr>
              <w:t>Model contract / learned router</w:t>
            </w:r>
          </w:p>
        </w:tc>
        <w:tc>
          <w:tcPr>
            <w:tcW w:w="604" w:type="dxa"/>
            <w:tcMar>
              <w:top w:w="70" w:type="dxa"/>
              <w:left w:w="80" w:type="dxa"/>
              <w:bottom w:w="70" w:type="dxa"/>
              <w:right w:w="80" w:type="dxa"/>
            </w:tcMar>
            <w:vAlign w:val="center"/>
          </w:tcPr>
          <w:p w14:paraId="16D97E7A" w14:textId="77777777" w:rsidR="00846FAB" w:rsidRDefault="00000000">
            <w:r>
              <w:rPr>
                <w:sz w:val="14"/>
              </w:rPr>
              <w:t>V</w:t>
            </w:r>
          </w:p>
        </w:tc>
        <w:tc>
          <w:tcPr>
            <w:tcW w:w="3096" w:type="dxa"/>
            <w:tcMar>
              <w:top w:w="70" w:type="dxa"/>
              <w:left w:w="80" w:type="dxa"/>
              <w:bottom w:w="70" w:type="dxa"/>
              <w:right w:w="80" w:type="dxa"/>
            </w:tcMar>
            <w:vAlign w:val="center"/>
          </w:tcPr>
          <w:p w14:paraId="30D5C000" w14:textId="77777777" w:rsidR="00846FAB" w:rsidRDefault="00000000">
            <w:r>
              <w:rPr>
                <w:sz w:val="14"/>
              </w:rPr>
              <w:t>Freeze checkpoint, tokenizer, expert function, top-k and gate normalization. Trace export only; neural expert selection is unchanged.</w:t>
            </w:r>
          </w:p>
        </w:tc>
        <w:tc>
          <w:tcPr>
            <w:tcW w:w="2951" w:type="dxa"/>
            <w:tcMar>
              <w:top w:w="70" w:type="dxa"/>
              <w:left w:w="80" w:type="dxa"/>
              <w:bottom w:w="70" w:type="dxa"/>
              <w:right w:w="80" w:type="dxa"/>
            </w:tcMar>
            <w:vAlign w:val="center"/>
          </w:tcPr>
          <w:p w14:paraId="133383E3" w14:textId="77777777" w:rsidR="00846FAB" w:rsidRDefault="00000000">
            <w:r>
              <w:rPr>
                <w:sz w:val="14"/>
              </w:rPr>
              <w:t>NVIDIA: unchanged model semantics.</w:t>
            </w:r>
            <w:r>
              <w:rPr>
                <w:sz w:val="14"/>
              </w:rPr>
              <w:br/>
              <w:t>AMD: unchanged model semantics.</w:t>
            </w:r>
          </w:p>
        </w:tc>
        <w:tc>
          <w:tcPr>
            <w:tcW w:w="1224" w:type="dxa"/>
            <w:vAlign w:val="center"/>
          </w:tcPr>
          <w:p w14:paraId="3A5764AC" w14:textId="77777777" w:rsidR="00846FAB" w:rsidRDefault="00000000">
            <w:proofErr w:type="spellStart"/>
            <w:r>
              <w:rPr>
                <w:sz w:val="14"/>
              </w:rPr>
              <w:t>Sandisk</w:t>
            </w:r>
            <w:proofErr w:type="spellEnd"/>
          </w:p>
        </w:tc>
      </w:tr>
      <w:tr w:rsidR="0085422C" w14:paraId="0394135D" w14:textId="77777777" w:rsidTr="002451E4">
        <w:trPr>
          <w:cantSplit/>
          <w:jc w:val="center"/>
        </w:trPr>
        <w:tc>
          <w:tcPr>
            <w:tcW w:w="1004" w:type="dxa"/>
            <w:shd w:val="clear" w:color="auto" w:fill="F3F6F8"/>
            <w:tcMar>
              <w:top w:w="70" w:type="dxa"/>
              <w:left w:w="80" w:type="dxa"/>
              <w:bottom w:w="70" w:type="dxa"/>
              <w:right w:w="80" w:type="dxa"/>
            </w:tcMar>
            <w:vAlign w:val="center"/>
          </w:tcPr>
          <w:p w14:paraId="203C6964"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48A3E91C" w14:textId="77777777" w:rsidR="00846FAB" w:rsidRDefault="00000000">
            <w:proofErr w:type="spellStart"/>
            <w:r>
              <w:rPr>
                <w:sz w:val="14"/>
              </w:rPr>
              <w:t>ExpertPack</w:t>
            </w:r>
            <w:proofErr w:type="spellEnd"/>
            <w:r>
              <w:rPr>
                <w:sz w:val="14"/>
              </w:rPr>
              <w:t xml:space="preserve"> compiler</w:t>
            </w:r>
          </w:p>
        </w:tc>
        <w:tc>
          <w:tcPr>
            <w:tcW w:w="604" w:type="dxa"/>
            <w:shd w:val="clear" w:color="auto" w:fill="F3F6F8"/>
            <w:tcMar>
              <w:top w:w="70" w:type="dxa"/>
              <w:left w:w="80" w:type="dxa"/>
              <w:bottom w:w="70" w:type="dxa"/>
              <w:right w:w="80" w:type="dxa"/>
            </w:tcMar>
            <w:vAlign w:val="center"/>
          </w:tcPr>
          <w:p w14:paraId="5332B176"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5ACED0FC" w14:textId="77777777" w:rsidR="00846FAB" w:rsidRDefault="00000000">
            <w:r>
              <w:rPr>
                <w:sz w:val="14"/>
              </w:rPr>
              <w:t>Compile every ATMOS-owned (layer, expert) FFN into a versioned NPU pack with weight layout, precision/scales, scratch budget and golden outputs.</w:t>
            </w:r>
          </w:p>
        </w:tc>
        <w:tc>
          <w:tcPr>
            <w:tcW w:w="2951" w:type="dxa"/>
            <w:shd w:val="clear" w:color="auto" w:fill="F3F6F8"/>
            <w:tcMar>
              <w:top w:w="70" w:type="dxa"/>
              <w:left w:w="80" w:type="dxa"/>
              <w:bottom w:w="70" w:type="dxa"/>
              <w:right w:w="80" w:type="dxa"/>
            </w:tcMar>
            <w:vAlign w:val="center"/>
          </w:tcPr>
          <w:p w14:paraId="4B343A93" w14:textId="77777777" w:rsidR="00846FAB" w:rsidRDefault="00000000">
            <w:r>
              <w:rPr>
                <w:sz w:val="14"/>
              </w:rPr>
              <w:t>Same pack identity and expert ABI for both GPU ecosystems.</w:t>
            </w:r>
          </w:p>
        </w:tc>
        <w:tc>
          <w:tcPr>
            <w:tcW w:w="1224" w:type="dxa"/>
            <w:shd w:val="clear" w:color="auto" w:fill="F3F6F8"/>
            <w:vAlign w:val="center"/>
          </w:tcPr>
          <w:p w14:paraId="2DB7E9E0" w14:textId="02EFBDE4" w:rsidR="00846FAB" w:rsidRDefault="00000000">
            <w:proofErr w:type="spellStart"/>
            <w:r>
              <w:rPr>
                <w:sz w:val="14"/>
              </w:rPr>
              <w:t>Sandisk</w:t>
            </w:r>
            <w:proofErr w:type="spellEnd"/>
            <w:r>
              <w:rPr>
                <w:sz w:val="14"/>
              </w:rPr>
              <w:t xml:space="preserve"> + </w:t>
            </w:r>
            <w:proofErr w:type="spellStart"/>
            <w:r w:rsidR="002451E4">
              <w:rPr>
                <w:rFonts w:eastAsia="Noto Sans"/>
                <w:color w:val="24313D"/>
                <w:sz w:val="13"/>
              </w:rPr>
              <w:t>Tenstorrent</w:t>
            </w:r>
            <w:proofErr w:type="spellEnd"/>
          </w:p>
        </w:tc>
      </w:tr>
      <w:tr w:rsidR="0085422C" w14:paraId="1128D9B1" w14:textId="77777777" w:rsidTr="002451E4">
        <w:trPr>
          <w:cantSplit/>
          <w:jc w:val="center"/>
        </w:trPr>
        <w:tc>
          <w:tcPr>
            <w:tcW w:w="1004" w:type="dxa"/>
            <w:tcMar>
              <w:top w:w="70" w:type="dxa"/>
              <w:left w:w="80" w:type="dxa"/>
              <w:bottom w:w="70" w:type="dxa"/>
              <w:right w:w="80" w:type="dxa"/>
            </w:tcMar>
            <w:vAlign w:val="center"/>
          </w:tcPr>
          <w:p w14:paraId="62B79A38" w14:textId="77777777" w:rsidR="00846FAB" w:rsidRDefault="00000000">
            <w:r>
              <w:rPr>
                <w:sz w:val="14"/>
              </w:rPr>
              <w:t>Software</w:t>
            </w:r>
          </w:p>
        </w:tc>
        <w:tc>
          <w:tcPr>
            <w:tcW w:w="1228" w:type="dxa"/>
            <w:tcMar>
              <w:top w:w="70" w:type="dxa"/>
              <w:left w:w="80" w:type="dxa"/>
              <w:bottom w:w="70" w:type="dxa"/>
              <w:right w:w="80" w:type="dxa"/>
            </w:tcMar>
            <w:vAlign w:val="center"/>
          </w:tcPr>
          <w:p w14:paraId="38A44277" w14:textId="77777777" w:rsidR="00846FAB" w:rsidRDefault="00000000">
            <w:proofErr w:type="spellStart"/>
            <w:r>
              <w:rPr>
                <w:sz w:val="14"/>
              </w:rPr>
              <w:t>vLLM</w:t>
            </w:r>
            <w:proofErr w:type="spellEnd"/>
            <w:r>
              <w:rPr>
                <w:sz w:val="14"/>
              </w:rPr>
              <w:t xml:space="preserve"> </w:t>
            </w:r>
            <w:proofErr w:type="spellStart"/>
            <w:r>
              <w:rPr>
                <w:sz w:val="14"/>
              </w:rPr>
              <w:t>MoE</w:t>
            </w:r>
            <w:proofErr w:type="spellEnd"/>
            <w:r>
              <w:rPr>
                <w:sz w:val="14"/>
              </w:rPr>
              <w:t xml:space="preserve"> integration</w:t>
            </w:r>
          </w:p>
        </w:tc>
        <w:tc>
          <w:tcPr>
            <w:tcW w:w="604" w:type="dxa"/>
            <w:tcMar>
              <w:top w:w="70" w:type="dxa"/>
              <w:left w:w="80" w:type="dxa"/>
              <w:bottom w:w="70" w:type="dxa"/>
              <w:right w:w="80" w:type="dxa"/>
            </w:tcMar>
            <w:vAlign w:val="center"/>
          </w:tcPr>
          <w:p w14:paraId="1096AD32" w14:textId="77777777" w:rsidR="00846FAB" w:rsidRDefault="00000000">
            <w:r>
              <w:rPr>
                <w:sz w:val="14"/>
              </w:rPr>
              <w:t>M/N</w:t>
            </w:r>
          </w:p>
        </w:tc>
        <w:tc>
          <w:tcPr>
            <w:tcW w:w="3096" w:type="dxa"/>
            <w:tcMar>
              <w:top w:w="70" w:type="dxa"/>
              <w:left w:w="80" w:type="dxa"/>
              <w:bottom w:w="70" w:type="dxa"/>
              <w:right w:w="80" w:type="dxa"/>
            </w:tcMar>
            <w:vAlign w:val="center"/>
          </w:tcPr>
          <w:p w14:paraId="7F7F0218" w14:textId="77777777" w:rsidR="00846FAB" w:rsidRDefault="00000000">
            <w:r>
              <w:rPr>
                <w:sz w:val="14"/>
              </w:rPr>
              <w:t>Add one ATMOS-aware prepare/expert/finalize seam. Skip GPU allocation of ATMOS-owned experts and preserve customer APIs.</w:t>
            </w:r>
          </w:p>
        </w:tc>
        <w:tc>
          <w:tcPr>
            <w:tcW w:w="2951" w:type="dxa"/>
            <w:tcMar>
              <w:top w:w="70" w:type="dxa"/>
              <w:left w:w="80" w:type="dxa"/>
              <w:bottom w:w="70" w:type="dxa"/>
              <w:right w:w="80" w:type="dxa"/>
            </w:tcMar>
            <w:vAlign w:val="center"/>
          </w:tcPr>
          <w:p w14:paraId="468055FE" w14:textId="77777777" w:rsidR="00846FAB" w:rsidRDefault="00000000">
            <w:r>
              <w:rPr>
                <w:sz w:val="14"/>
              </w:rPr>
              <w:t xml:space="preserve">NVIDIA: pinned </w:t>
            </w:r>
            <w:proofErr w:type="spellStart"/>
            <w:r>
              <w:rPr>
                <w:sz w:val="14"/>
              </w:rPr>
              <w:t>vLLM</w:t>
            </w:r>
            <w:proofErr w:type="spellEnd"/>
            <w:r>
              <w:rPr>
                <w:sz w:val="14"/>
              </w:rPr>
              <w:t>/</w:t>
            </w:r>
            <w:proofErr w:type="spellStart"/>
            <w:r>
              <w:rPr>
                <w:sz w:val="14"/>
              </w:rPr>
              <w:t>PyTorch</w:t>
            </w:r>
            <w:proofErr w:type="spellEnd"/>
            <w:r>
              <w:rPr>
                <w:sz w:val="14"/>
              </w:rPr>
              <w:t>/CUDA build.</w:t>
            </w:r>
            <w:r>
              <w:rPr>
                <w:sz w:val="14"/>
              </w:rPr>
              <w:br/>
              <w:t xml:space="preserve">AMD: pinned </w:t>
            </w:r>
            <w:proofErr w:type="spellStart"/>
            <w:r>
              <w:rPr>
                <w:sz w:val="14"/>
              </w:rPr>
              <w:t>vLLM</w:t>
            </w:r>
            <w:proofErr w:type="spellEnd"/>
            <w:r>
              <w:rPr>
                <w:sz w:val="14"/>
              </w:rPr>
              <w:t>/</w:t>
            </w:r>
            <w:proofErr w:type="spellStart"/>
            <w:r>
              <w:rPr>
                <w:sz w:val="14"/>
              </w:rPr>
              <w:t>PyTorch</w:t>
            </w:r>
            <w:proofErr w:type="spellEnd"/>
            <w:r>
              <w:rPr>
                <w:sz w:val="14"/>
              </w:rPr>
              <w:t>/</w:t>
            </w:r>
            <w:proofErr w:type="spellStart"/>
            <w:r>
              <w:rPr>
                <w:sz w:val="14"/>
              </w:rPr>
              <w:t>ROCm</w:t>
            </w:r>
            <w:proofErr w:type="spellEnd"/>
            <w:r>
              <w:rPr>
                <w:sz w:val="14"/>
              </w:rPr>
              <w:t xml:space="preserve"> build. No separate model fork.</w:t>
            </w:r>
          </w:p>
        </w:tc>
        <w:tc>
          <w:tcPr>
            <w:tcW w:w="1224" w:type="dxa"/>
            <w:vAlign w:val="center"/>
          </w:tcPr>
          <w:p w14:paraId="446FD41B" w14:textId="470A94A0"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575AB167" w14:textId="77777777" w:rsidTr="002451E4">
        <w:trPr>
          <w:cantSplit/>
          <w:jc w:val="center"/>
        </w:trPr>
        <w:tc>
          <w:tcPr>
            <w:tcW w:w="1004" w:type="dxa"/>
            <w:shd w:val="clear" w:color="auto" w:fill="F3F6F8"/>
            <w:tcMar>
              <w:top w:w="70" w:type="dxa"/>
              <w:left w:w="80" w:type="dxa"/>
              <w:bottom w:w="70" w:type="dxa"/>
              <w:right w:w="80" w:type="dxa"/>
            </w:tcMar>
            <w:vAlign w:val="center"/>
          </w:tcPr>
          <w:p w14:paraId="67341285"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53B7737F" w14:textId="77777777" w:rsidR="00846FAB" w:rsidRDefault="00000000">
            <w:r>
              <w:rPr>
                <w:sz w:val="14"/>
              </w:rPr>
              <w:t>Heterogeneous expert adapter / placement</w:t>
            </w:r>
          </w:p>
        </w:tc>
        <w:tc>
          <w:tcPr>
            <w:tcW w:w="604" w:type="dxa"/>
            <w:shd w:val="clear" w:color="auto" w:fill="F3F6F8"/>
            <w:tcMar>
              <w:top w:w="70" w:type="dxa"/>
              <w:left w:w="80" w:type="dxa"/>
              <w:bottom w:w="70" w:type="dxa"/>
              <w:right w:w="80" w:type="dxa"/>
            </w:tcMar>
            <w:vAlign w:val="center"/>
          </w:tcPr>
          <w:p w14:paraId="3FD6C0A7"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2CA9A7A0" w14:textId="77777777" w:rsidR="00846FAB" w:rsidRDefault="00000000">
            <w:r>
              <w:rPr>
                <w:sz w:val="14"/>
              </w:rPr>
              <w:t>Map (model, layer, expert) to resident ATMOS owners; group tokens; preserve identity, gates, queue bounds and placement epochs.</w:t>
            </w:r>
          </w:p>
        </w:tc>
        <w:tc>
          <w:tcPr>
            <w:tcW w:w="2951" w:type="dxa"/>
            <w:shd w:val="clear" w:color="auto" w:fill="F3F6F8"/>
            <w:tcMar>
              <w:top w:w="70" w:type="dxa"/>
              <w:left w:w="80" w:type="dxa"/>
              <w:bottom w:w="70" w:type="dxa"/>
              <w:right w:w="80" w:type="dxa"/>
            </w:tcMar>
            <w:vAlign w:val="center"/>
          </w:tcPr>
          <w:p w14:paraId="0390809E" w14:textId="77777777" w:rsidR="00846FAB" w:rsidRDefault="00000000">
            <w:r>
              <w:rPr>
                <w:sz w:val="14"/>
              </w:rPr>
              <w:t>Vendor-neutral logic; no CUDA/NCCL or HIP/RCCL rank identity for ATMOS.</w:t>
            </w:r>
          </w:p>
        </w:tc>
        <w:tc>
          <w:tcPr>
            <w:tcW w:w="1224" w:type="dxa"/>
            <w:shd w:val="clear" w:color="auto" w:fill="F3F6F8"/>
            <w:vAlign w:val="center"/>
          </w:tcPr>
          <w:p w14:paraId="59A2D88E" w14:textId="6F1B0B8F"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7C420609" w14:textId="77777777" w:rsidTr="002451E4">
        <w:trPr>
          <w:cantSplit/>
          <w:jc w:val="center"/>
        </w:trPr>
        <w:tc>
          <w:tcPr>
            <w:tcW w:w="1004" w:type="dxa"/>
            <w:tcMar>
              <w:top w:w="70" w:type="dxa"/>
              <w:left w:w="80" w:type="dxa"/>
              <w:bottom w:w="70" w:type="dxa"/>
              <w:right w:w="80" w:type="dxa"/>
            </w:tcMar>
            <w:vAlign w:val="center"/>
          </w:tcPr>
          <w:p w14:paraId="4D5492E2" w14:textId="77777777" w:rsidR="00846FAB" w:rsidRDefault="00000000">
            <w:r>
              <w:rPr>
                <w:sz w:val="14"/>
              </w:rPr>
              <w:t>Software</w:t>
            </w:r>
          </w:p>
        </w:tc>
        <w:tc>
          <w:tcPr>
            <w:tcW w:w="1228" w:type="dxa"/>
            <w:tcMar>
              <w:top w:w="70" w:type="dxa"/>
              <w:left w:w="80" w:type="dxa"/>
              <w:bottom w:w="70" w:type="dxa"/>
              <w:right w:w="80" w:type="dxa"/>
            </w:tcMar>
            <w:vAlign w:val="center"/>
          </w:tcPr>
          <w:p w14:paraId="4093D978" w14:textId="77777777" w:rsidR="00846FAB" w:rsidRDefault="00000000">
            <w:r>
              <w:rPr>
                <w:sz w:val="14"/>
              </w:rPr>
              <w:t>GPU framework seam</w:t>
            </w:r>
          </w:p>
        </w:tc>
        <w:tc>
          <w:tcPr>
            <w:tcW w:w="604" w:type="dxa"/>
            <w:tcMar>
              <w:top w:w="70" w:type="dxa"/>
              <w:left w:w="80" w:type="dxa"/>
              <w:bottom w:w="70" w:type="dxa"/>
              <w:right w:w="80" w:type="dxa"/>
            </w:tcMar>
            <w:vAlign w:val="center"/>
          </w:tcPr>
          <w:p w14:paraId="030AA39E" w14:textId="77777777" w:rsidR="00846FAB" w:rsidRDefault="00000000">
            <w:r>
              <w:rPr>
                <w:sz w:val="14"/>
              </w:rPr>
              <w:t>M</w:t>
            </w:r>
          </w:p>
        </w:tc>
        <w:tc>
          <w:tcPr>
            <w:tcW w:w="3096" w:type="dxa"/>
            <w:tcMar>
              <w:top w:w="70" w:type="dxa"/>
              <w:left w:w="80" w:type="dxa"/>
              <w:bottom w:w="70" w:type="dxa"/>
              <w:right w:w="80" w:type="dxa"/>
            </w:tcMar>
            <w:vAlign w:val="center"/>
          </w:tcPr>
          <w:p w14:paraId="4A33A1C4" w14:textId="77777777" w:rsidR="00846FAB" w:rsidRDefault="00000000">
            <w:r>
              <w:rPr>
                <w:sz w:val="14"/>
              </w:rPr>
              <w:t xml:space="preserve">Implement packing, result restore/combine, async buffers and explicit synchronization in </w:t>
            </w:r>
            <w:proofErr w:type="spellStart"/>
            <w:r>
              <w:rPr>
                <w:sz w:val="14"/>
              </w:rPr>
              <w:t>Sandisk</w:t>
            </w:r>
            <w:proofErr w:type="spellEnd"/>
            <w:r>
              <w:rPr>
                <w:sz w:val="14"/>
              </w:rPr>
              <w:t xml:space="preserve"> code.</w:t>
            </w:r>
          </w:p>
        </w:tc>
        <w:tc>
          <w:tcPr>
            <w:tcW w:w="2951" w:type="dxa"/>
            <w:tcMar>
              <w:top w:w="70" w:type="dxa"/>
              <w:left w:w="80" w:type="dxa"/>
              <w:bottom w:w="70" w:type="dxa"/>
              <w:right w:w="80" w:type="dxa"/>
            </w:tcMar>
            <w:vAlign w:val="center"/>
          </w:tcPr>
          <w:p w14:paraId="39D1ACFB" w14:textId="77777777" w:rsidR="00846FAB" w:rsidRDefault="00000000">
            <w:r>
              <w:rPr>
                <w:sz w:val="14"/>
              </w:rPr>
              <w:t xml:space="preserve">NVIDIA: stock </w:t>
            </w:r>
            <w:proofErr w:type="spellStart"/>
            <w:r>
              <w:rPr>
                <w:sz w:val="14"/>
              </w:rPr>
              <w:t>PyTorch</w:t>
            </w:r>
            <w:proofErr w:type="spellEnd"/>
            <w:r>
              <w:rPr>
                <w:sz w:val="14"/>
              </w:rPr>
              <w:t>/CUDA APIs.</w:t>
            </w:r>
            <w:r>
              <w:rPr>
                <w:sz w:val="14"/>
              </w:rPr>
              <w:br/>
              <w:t xml:space="preserve">AMD: stock </w:t>
            </w:r>
            <w:proofErr w:type="spellStart"/>
            <w:r>
              <w:rPr>
                <w:sz w:val="14"/>
              </w:rPr>
              <w:t>PyTorch</w:t>
            </w:r>
            <w:proofErr w:type="spellEnd"/>
            <w:r>
              <w:rPr>
                <w:sz w:val="14"/>
              </w:rPr>
              <w:t>/</w:t>
            </w:r>
            <w:proofErr w:type="spellStart"/>
            <w:r>
              <w:rPr>
                <w:sz w:val="14"/>
              </w:rPr>
              <w:t>ROCm</w:t>
            </w:r>
            <w:proofErr w:type="spellEnd"/>
            <w:r>
              <w:rPr>
                <w:sz w:val="14"/>
              </w:rPr>
              <w:t>/HIP APIs. No GPU driver/FW patches.</w:t>
            </w:r>
          </w:p>
        </w:tc>
        <w:tc>
          <w:tcPr>
            <w:tcW w:w="1224" w:type="dxa"/>
            <w:vAlign w:val="center"/>
          </w:tcPr>
          <w:p w14:paraId="3BE5DC52" w14:textId="78A860EA"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7FD7AE74" w14:textId="77777777" w:rsidTr="002451E4">
        <w:trPr>
          <w:cantSplit/>
          <w:jc w:val="center"/>
        </w:trPr>
        <w:tc>
          <w:tcPr>
            <w:tcW w:w="1004" w:type="dxa"/>
            <w:shd w:val="clear" w:color="auto" w:fill="F3F6F8"/>
            <w:tcMar>
              <w:top w:w="70" w:type="dxa"/>
              <w:left w:w="80" w:type="dxa"/>
              <w:bottom w:w="70" w:type="dxa"/>
              <w:right w:w="80" w:type="dxa"/>
            </w:tcMar>
            <w:vAlign w:val="center"/>
          </w:tcPr>
          <w:p w14:paraId="0BEE75B8" w14:textId="77777777" w:rsidR="00846FAB" w:rsidRDefault="00000000">
            <w:r>
              <w:rPr>
                <w:sz w:val="14"/>
              </w:rPr>
              <w:lastRenderedPageBreak/>
              <w:t>Software</w:t>
            </w:r>
          </w:p>
        </w:tc>
        <w:tc>
          <w:tcPr>
            <w:tcW w:w="1228" w:type="dxa"/>
            <w:shd w:val="clear" w:color="auto" w:fill="F3F6F8"/>
            <w:tcMar>
              <w:top w:w="70" w:type="dxa"/>
              <w:left w:w="80" w:type="dxa"/>
              <w:bottom w:w="70" w:type="dxa"/>
              <w:right w:w="80" w:type="dxa"/>
            </w:tcMar>
            <w:vAlign w:val="center"/>
          </w:tcPr>
          <w:p w14:paraId="5626BD47" w14:textId="77777777" w:rsidR="00846FAB" w:rsidRDefault="00000000">
            <w:r>
              <w:rPr>
                <w:sz w:val="14"/>
              </w:rPr>
              <w:t>GPU collectives</w:t>
            </w:r>
          </w:p>
        </w:tc>
        <w:tc>
          <w:tcPr>
            <w:tcW w:w="604" w:type="dxa"/>
            <w:shd w:val="clear" w:color="auto" w:fill="F3F6F8"/>
            <w:tcMar>
              <w:top w:w="70" w:type="dxa"/>
              <w:left w:w="80" w:type="dxa"/>
              <w:bottom w:w="70" w:type="dxa"/>
              <w:right w:w="80" w:type="dxa"/>
            </w:tcMar>
            <w:vAlign w:val="center"/>
          </w:tcPr>
          <w:p w14:paraId="273837CB" w14:textId="77777777" w:rsidR="00846FAB" w:rsidRDefault="00000000">
            <w:r>
              <w:rPr>
                <w:sz w:val="14"/>
              </w:rPr>
              <w:t>V</w:t>
            </w:r>
          </w:p>
        </w:tc>
        <w:tc>
          <w:tcPr>
            <w:tcW w:w="3096" w:type="dxa"/>
            <w:shd w:val="clear" w:color="auto" w:fill="F3F6F8"/>
            <w:tcMar>
              <w:top w:w="70" w:type="dxa"/>
              <w:left w:w="80" w:type="dxa"/>
              <w:bottom w:w="70" w:type="dxa"/>
              <w:right w:w="80" w:type="dxa"/>
            </w:tcMar>
            <w:vAlign w:val="center"/>
          </w:tcPr>
          <w:p w14:paraId="32C128E9" w14:textId="77777777" w:rsidR="00846FAB" w:rsidRDefault="00000000">
            <w:r>
              <w:rPr>
                <w:sz w:val="14"/>
              </w:rPr>
              <w:t>Keep ATMOS outside the GPU collective domain; revalidate GPU rank/group configuration after experts move off GPU.</w:t>
            </w:r>
          </w:p>
        </w:tc>
        <w:tc>
          <w:tcPr>
            <w:tcW w:w="2951" w:type="dxa"/>
            <w:shd w:val="clear" w:color="auto" w:fill="F3F6F8"/>
            <w:tcMar>
              <w:top w:w="70" w:type="dxa"/>
              <w:left w:w="80" w:type="dxa"/>
              <w:bottom w:w="70" w:type="dxa"/>
              <w:right w:w="80" w:type="dxa"/>
            </w:tcMar>
            <w:vAlign w:val="center"/>
          </w:tcPr>
          <w:p w14:paraId="374B3508" w14:textId="77777777" w:rsidR="00846FAB" w:rsidRDefault="00000000">
            <w:r>
              <w:rPr>
                <w:sz w:val="14"/>
              </w:rPr>
              <w:t>NVIDIA: stock NCCL.</w:t>
            </w:r>
            <w:r>
              <w:rPr>
                <w:sz w:val="14"/>
              </w:rPr>
              <w:br/>
              <w:t>AMD: stock RCCL. No collective-library modification.</w:t>
            </w:r>
          </w:p>
        </w:tc>
        <w:tc>
          <w:tcPr>
            <w:tcW w:w="1224" w:type="dxa"/>
            <w:shd w:val="clear" w:color="auto" w:fill="F3F6F8"/>
            <w:vAlign w:val="center"/>
          </w:tcPr>
          <w:p w14:paraId="5B3E4B32" w14:textId="79A3DAF5" w:rsidR="00846FAB" w:rsidRDefault="002451E4">
            <w:r>
              <w:rPr>
                <w:sz w:val="14"/>
              </w:rPr>
              <w:t>Vendor Runtime</w:t>
            </w:r>
          </w:p>
        </w:tc>
      </w:tr>
      <w:tr w:rsidR="0085422C" w14:paraId="16498F67" w14:textId="77777777" w:rsidTr="002451E4">
        <w:trPr>
          <w:cantSplit/>
          <w:jc w:val="center"/>
        </w:trPr>
        <w:tc>
          <w:tcPr>
            <w:tcW w:w="1004" w:type="dxa"/>
            <w:tcMar>
              <w:top w:w="70" w:type="dxa"/>
              <w:left w:w="80" w:type="dxa"/>
              <w:bottom w:w="70" w:type="dxa"/>
              <w:right w:w="80" w:type="dxa"/>
            </w:tcMar>
            <w:vAlign w:val="center"/>
          </w:tcPr>
          <w:p w14:paraId="104C8A8F" w14:textId="77777777" w:rsidR="00846FAB" w:rsidRDefault="00000000">
            <w:r>
              <w:rPr>
                <w:sz w:val="14"/>
              </w:rPr>
              <w:t>Software</w:t>
            </w:r>
          </w:p>
        </w:tc>
        <w:tc>
          <w:tcPr>
            <w:tcW w:w="1228" w:type="dxa"/>
            <w:tcMar>
              <w:top w:w="70" w:type="dxa"/>
              <w:left w:w="80" w:type="dxa"/>
              <w:bottom w:w="70" w:type="dxa"/>
              <w:right w:w="80" w:type="dxa"/>
            </w:tcMar>
            <w:vAlign w:val="center"/>
          </w:tcPr>
          <w:p w14:paraId="636C5182" w14:textId="77777777" w:rsidR="00846FAB" w:rsidRDefault="00000000">
            <w:r>
              <w:rPr>
                <w:sz w:val="14"/>
              </w:rPr>
              <w:t>ATMOS SDK + Linux driver</w:t>
            </w:r>
          </w:p>
        </w:tc>
        <w:tc>
          <w:tcPr>
            <w:tcW w:w="604" w:type="dxa"/>
            <w:tcMar>
              <w:top w:w="70" w:type="dxa"/>
              <w:left w:w="80" w:type="dxa"/>
              <w:bottom w:w="70" w:type="dxa"/>
              <w:right w:w="80" w:type="dxa"/>
            </w:tcMar>
            <w:vAlign w:val="center"/>
          </w:tcPr>
          <w:p w14:paraId="4D7FE5F5" w14:textId="77777777" w:rsidR="00846FAB" w:rsidRDefault="00000000">
            <w:r>
              <w:rPr>
                <w:sz w:val="14"/>
              </w:rPr>
              <w:t>N</w:t>
            </w:r>
          </w:p>
        </w:tc>
        <w:tc>
          <w:tcPr>
            <w:tcW w:w="3096" w:type="dxa"/>
            <w:tcMar>
              <w:top w:w="70" w:type="dxa"/>
              <w:left w:w="80" w:type="dxa"/>
              <w:bottom w:w="70" w:type="dxa"/>
              <w:right w:w="80" w:type="dxa"/>
            </w:tcMar>
            <w:vAlign w:val="center"/>
          </w:tcPr>
          <w:p w14:paraId="3EA5B9E7" w14:textId="77777777" w:rsidR="00846FAB" w:rsidRDefault="00000000">
            <w:r>
              <w:rPr>
                <w:sz w:val="14"/>
              </w:rPr>
              <w:t>Discovery, buffer registration, queue/DMA submission, completion, cancel/error, reset invalidation, telemetry and bounded BAR access.</w:t>
            </w:r>
          </w:p>
        </w:tc>
        <w:tc>
          <w:tcPr>
            <w:tcW w:w="2951" w:type="dxa"/>
            <w:tcMar>
              <w:top w:w="70" w:type="dxa"/>
              <w:left w:w="80" w:type="dxa"/>
              <w:bottom w:w="70" w:type="dxa"/>
              <w:right w:w="80" w:type="dxa"/>
            </w:tcMar>
            <w:vAlign w:val="center"/>
          </w:tcPr>
          <w:p w14:paraId="76D99AD9" w14:textId="77777777" w:rsidR="00846FAB" w:rsidRDefault="00000000">
            <w:r>
              <w:rPr>
                <w:sz w:val="14"/>
              </w:rPr>
              <w:t>Identical ATMOS API contract; host build may differ (x86-64 vs Arm64) by platform.</w:t>
            </w:r>
          </w:p>
        </w:tc>
        <w:tc>
          <w:tcPr>
            <w:tcW w:w="1224" w:type="dxa"/>
            <w:vAlign w:val="center"/>
          </w:tcPr>
          <w:p w14:paraId="15165F0F" w14:textId="7D762188"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75ACA6C6" w14:textId="77777777" w:rsidTr="002451E4">
        <w:trPr>
          <w:cantSplit/>
          <w:jc w:val="center"/>
        </w:trPr>
        <w:tc>
          <w:tcPr>
            <w:tcW w:w="1004" w:type="dxa"/>
            <w:shd w:val="clear" w:color="auto" w:fill="F3F6F8"/>
            <w:tcMar>
              <w:top w:w="70" w:type="dxa"/>
              <w:left w:w="80" w:type="dxa"/>
              <w:bottom w:w="70" w:type="dxa"/>
              <w:right w:w="80" w:type="dxa"/>
            </w:tcMar>
            <w:vAlign w:val="center"/>
          </w:tcPr>
          <w:p w14:paraId="1F0F2ACD"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23E9BFC9" w14:textId="77777777" w:rsidR="00846FAB" w:rsidRDefault="00000000">
            <w:r>
              <w:rPr>
                <w:sz w:val="14"/>
              </w:rPr>
              <w:t>Kubernetes allocation</w:t>
            </w:r>
          </w:p>
        </w:tc>
        <w:tc>
          <w:tcPr>
            <w:tcW w:w="604" w:type="dxa"/>
            <w:shd w:val="clear" w:color="auto" w:fill="F3F6F8"/>
            <w:tcMar>
              <w:top w:w="70" w:type="dxa"/>
              <w:left w:w="80" w:type="dxa"/>
              <w:bottom w:w="70" w:type="dxa"/>
              <w:right w:w="80" w:type="dxa"/>
            </w:tcMar>
            <w:vAlign w:val="center"/>
          </w:tcPr>
          <w:p w14:paraId="596F362B" w14:textId="77777777" w:rsidR="00846FAB" w:rsidRDefault="00000000">
            <w:r>
              <w:rPr>
                <w:sz w:val="14"/>
              </w:rPr>
              <w:t>M/N</w:t>
            </w:r>
          </w:p>
        </w:tc>
        <w:tc>
          <w:tcPr>
            <w:tcW w:w="3096" w:type="dxa"/>
            <w:shd w:val="clear" w:color="auto" w:fill="F3F6F8"/>
            <w:tcMar>
              <w:top w:w="70" w:type="dxa"/>
              <w:left w:w="80" w:type="dxa"/>
              <w:bottom w:w="70" w:type="dxa"/>
              <w:right w:w="80" w:type="dxa"/>
            </w:tcMar>
            <w:vAlign w:val="center"/>
          </w:tcPr>
          <w:p w14:paraId="1A7DF9A6" w14:textId="77777777" w:rsidR="00846FAB" w:rsidRDefault="00000000">
            <w:r>
              <w:rPr>
                <w:sz w:val="14"/>
              </w:rPr>
              <w:t>Expose ATMOS as whole-device resources initially; co-allocate qualified GPU+ATMOS groups and publish topology/health.</w:t>
            </w:r>
          </w:p>
        </w:tc>
        <w:tc>
          <w:tcPr>
            <w:tcW w:w="2951" w:type="dxa"/>
            <w:shd w:val="clear" w:color="auto" w:fill="F3F6F8"/>
            <w:tcMar>
              <w:top w:w="70" w:type="dxa"/>
              <w:left w:w="80" w:type="dxa"/>
              <w:bottom w:w="70" w:type="dxa"/>
              <w:right w:w="80" w:type="dxa"/>
            </w:tcMar>
            <w:vAlign w:val="center"/>
          </w:tcPr>
          <w:p w14:paraId="6DDF099A" w14:textId="77777777" w:rsidR="00846FAB" w:rsidRDefault="00000000">
            <w:r>
              <w:rPr>
                <w:sz w:val="14"/>
              </w:rPr>
              <w:t>NVIDIA: preserve NVIDIA GPU Operator.</w:t>
            </w:r>
            <w:r>
              <w:rPr>
                <w:sz w:val="14"/>
              </w:rPr>
              <w:br/>
              <w:t xml:space="preserve">AMD: preserve AMD GPU Operator. </w:t>
            </w:r>
            <w:proofErr w:type="spellStart"/>
            <w:r>
              <w:rPr>
                <w:sz w:val="14"/>
              </w:rPr>
              <w:t>Sandisk</w:t>
            </w:r>
            <w:proofErr w:type="spellEnd"/>
            <w:r>
              <w:rPr>
                <w:sz w:val="14"/>
              </w:rPr>
              <w:t xml:space="preserve"> operator remains separate.</w:t>
            </w:r>
          </w:p>
        </w:tc>
        <w:tc>
          <w:tcPr>
            <w:tcW w:w="1224" w:type="dxa"/>
            <w:shd w:val="clear" w:color="auto" w:fill="F3F6F8"/>
            <w:vAlign w:val="center"/>
          </w:tcPr>
          <w:p w14:paraId="208050E8" w14:textId="409F45AA"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1BF6ABDB" w14:textId="77777777" w:rsidTr="002451E4">
        <w:trPr>
          <w:cantSplit/>
          <w:jc w:val="center"/>
        </w:trPr>
        <w:tc>
          <w:tcPr>
            <w:tcW w:w="1004" w:type="dxa"/>
            <w:tcMar>
              <w:top w:w="70" w:type="dxa"/>
              <w:left w:w="80" w:type="dxa"/>
              <w:bottom w:w="70" w:type="dxa"/>
              <w:right w:w="80" w:type="dxa"/>
            </w:tcMar>
            <w:vAlign w:val="center"/>
          </w:tcPr>
          <w:p w14:paraId="7B86F99B" w14:textId="77777777" w:rsidR="00846FAB" w:rsidRDefault="00000000">
            <w:r>
              <w:rPr>
                <w:sz w:val="14"/>
              </w:rPr>
              <w:t>Software</w:t>
            </w:r>
          </w:p>
        </w:tc>
        <w:tc>
          <w:tcPr>
            <w:tcW w:w="1228" w:type="dxa"/>
            <w:tcMar>
              <w:top w:w="70" w:type="dxa"/>
              <w:left w:w="80" w:type="dxa"/>
              <w:bottom w:w="70" w:type="dxa"/>
              <w:right w:w="80" w:type="dxa"/>
            </w:tcMar>
            <w:vAlign w:val="center"/>
          </w:tcPr>
          <w:p w14:paraId="04229CEF" w14:textId="77777777" w:rsidR="00846FAB" w:rsidRDefault="00000000">
            <w:r>
              <w:rPr>
                <w:sz w:val="14"/>
              </w:rPr>
              <w:t>Operator / lifecycle</w:t>
            </w:r>
          </w:p>
        </w:tc>
        <w:tc>
          <w:tcPr>
            <w:tcW w:w="604" w:type="dxa"/>
            <w:tcMar>
              <w:top w:w="70" w:type="dxa"/>
              <w:left w:w="80" w:type="dxa"/>
              <w:bottom w:w="70" w:type="dxa"/>
              <w:right w:w="80" w:type="dxa"/>
            </w:tcMar>
            <w:vAlign w:val="center"/>
          </w:tcPr>
          <w:p w14:paraId="3EEB2669" w14:textId="77777777" w:rsidR="00846FAB" w:rsidRDefault="00000000">
            <w:r>
              <w:rPr>
                <w:sz w:val="14"/>
              </w:rPr>
              <w:t>N</w:t>
            </w:r>
          </w:p>
        </w:tc>
        <w:tc>
          <w:tcPr>
            <w:tcW w:w="3096" w:type="dxa"/>
            <w:tcMar>
              <w:top w:w="70" w:type="dxa"/>
              <w:left w:w="80" w:type="dxa"/>
              <w:bottom w:w="70" w:type="dxa"/>
              <w:right w:w="80" w:type="dxa"/>
            </w:tcMar>
            <w:vAlign w:val="center"/>
          </w:tcPr>
          <w:p w14:paraId="5E2D5CB7" w14:textId="77777777" w:rsidR="00846FAB" w:rsidRDefault="00000000">
            <w:r>
              <w:rPr>
                <w:sz w:val="14"/>
              </w:rPr>
              <w:t xml:space="preserve">Stage complete </w:t>
            </w:r>
            <w:proofErr w:type="spellStart"/>
            <w:r>
              <w:rPr>
                <w:sz w:val="14"/>
              </w:rPr>
              <w:t>ExpertPacks</w:t>
            </w:r>
            <w:proofErr w:type="spellEnd"/>
            <w:r>
              <w:rPr>
                <w:sz w:val="14"/>
              </w:rPr>
              <w:t>, publish readiness only for a complete generation, drain/update/rollback/recover and fail closed on missing experts.</w:t>
            </w:r>
          </w:p>
        </w:tc>
        <w:tc>
          <w:tcPr>
            <w:tcW w:w="2951" w:type="dxa"/>
            <w:tcMar>
              <w:top w:w="70" w:type="dxa"/>
              <w:left w:w="80" w:type="dxa"/>
              <w:bottom w:w="70" w:type="dxa"/>
              <w:right w:w="80" w:type="dxa"/>
            </w:tcMar>
            <w:vAlign w:val="center"/>
          </w:tcPr>
          <w:p w14:paraId="0D4AB8C4" w14:textId="77777777" w:rsidR="00846FAB" w:rsidRDefault="00000000">
            <w:r>
              <w:rPr>
                <w:sz w:val="14"/>
              </w:rPr>
              <w:t>Common lifecycle contract; package separately for supported distro/CPU architecture.</w:t>
            </w:r>
          </w:p>
        </w:tc>
        <w:tc>
          <w:tcPr>
            <w:tcW w:w="1224" w:type="dxa"/>
            <w:vAlign w:val="center"/>
          </w:tcPr>
          <w:p w14:paraId="069EFA58" w14:textId="77777777" w:rsidR="00846FAB" w:rsidRDefault="00000000">
            <w:r>
              <w:rPr>
                <w:sz w:val="14"/>
              </w:rPr>
              <w:t>SRE/release</w:t>
            </w:r>
          </w:p>
        </w:tc>
      </w:tr>
      <w:tr w:rsidR="0085422C" w14:paraId="3A54C79A" w14:textId="77777777" w:rsidTr="002451E4">
        <w:trPr>
          <w:cantSplit/>
          <w:jc w:val="center"/>
        </w:trPr>
        <w:tc>
          <w:tcPr>
            <w:tcW w:w="1004" w:type="dxa"/>
            <w:shd w:val="clear" w:color="auto" w:fill="F3F6F8"/>
            <w:tcMar>
              <w:top w:w="70" w:type="dxa"/>
              <w:left w:w="80" w:type="dxa"/>
              <w:bottom w:w="70" w:type="dxa"/>
              <w:right w:w="80" w:type="dxa"/>
            </w:tcMar>
            <w:vAlign w:val="center"/>
          </w:tcPr>
          <w:p w14:paraId="612BB8A3"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65573B60" w14:textId="77777777" w:rsidR="00846FAB" w:rsidRDefault="00000000">
            <w:r>
              <w:rPr>
                <w:sz w:val="14"/>
              </w:rPr>
              <w:t>Telemetry / evidence</w:t>
            </w:r>
          </w:p>
        </w:tc>
        <w:tc>
          <w:tcPr>
            <w:tcW w:w="604" w:type="dxa"/>
            <w:shd w:val="clear" w:color="auto" w:fill="F3F6F8"/>
            <w:tcMar>
              <w:top w:w="70" w:type="dxa"/>
              <w:left w:w="80" w:type="dxa"/>
              <w:bottom w:w="70" w:type="dxa"/>
              <w:right w:w="80" w:type="dxa"/>
            </w:tcMar>
            <w:vAlign w:val="center"/>
          </w:tcPr>
          <w:p w14:paraId="5E8DBCDF"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7E939F88" w14:textId="77777777" w:rsidR="00846FAB" w:rsidRDefault="00000000">
            <w:r>
              <w:rPr>
                <w:sz w:val="14"/>
              </w:rPr>
              <w:t>Correlate request/layer/token IDs across GPU, transport and NPU; expose queue time, bytes, errors, TTFT/TPOT and accepted throughput.</w:t>
            </w:r>
          </w:p>
        </w:tc>
        <w:tc>
          <w:tcPr>
            <w:tcW w:w="2951" w:type="dxa"/>
            <w:shd w:val="clear" w:color="auto" w:fill="F3F6F8"/>
            <w:tcMar>
              <w:top w:w="70" w:type="dxa"/>
              <w:left w:w="80" w:type="dxa"/>
              <w:bottom w:w="70" w:type="dxa"/>
              <w:right w:w="80" w:type="dxa"/>
            </w:tcMar>
            <w:vAlign w:val="center"/>
          </w:tcPr>
          <w:p w14:paraId="005C3386" w14:textId="77777777" w:rsidR="00846FAB" w:rsidRDefault="00000000">
            <w:r>
              <w:rPr>
                <w:sz w:val="14"/>
              </w:rPr>
              <w:t>Common schema so RTX, NVL and Helios results can be compared without changing definitions.</w:t>
            </w:r>
          </w:p>
        </w:tc>
        <w:tc>
          <w:tcPr>
            <w:tcW w:w="1224" w:type="dxa"/>
            <w:shd w:val="clear" w:color="auto" w:fill="F3F6F8"/>
            <w:vAlign w:val="center"/>
          </w:tcPr>
          <w:p w14:paraId="6C314C9B" w14:textId="77777777" w:rsidR="00846FAB" w:rsidRDefault="00000000">
            <w:r>
              <w:rPr>
                <w:sz w:val="14"/>
              </w:rPr>
              <w:t>Perf/validation</w:t>
            </w:r>
          </w:p>
        </w:tc>
      </w:tr>
      <w:tr w:rsidR="0085422C" w14:paraId="03F8E51D" w14:textId="77777777" w:rsidTr="002451E4">
        <w:trPr>
          <w:cantSplit/>
          <w:jc w:val="center"/>
        </w:trPr>
        <w:tc>
          <w:tcPr>
            <w:tcW w:w="1004" w:type="dxa"/>
            <w:tcMar>
              <w:top w:w="70" w:type="dxa"/>
              <w:left w:w="80" w:type="dxa"/>
              <w:bottom w:w="70" w:type="dxa"/>
              <w:right w:w="80" w:type="dxa"/>
            </w:tcMar>
            <w:vAlign w:val="center"/>
          </w:tcPr>
          <w:p w14:paraId="617A3962" w14:textId="77777777" w:rsidR="00846FAB" w:rsidRDefault="00000000">
            <w:r>
              <w:rPr>
                <w:sz w:val="14"/>
              </w:rPr>
              <w:t>Hardware</w:t>
            </w:r>
          </w:p>
        </w:tc>
        <w:tc>
          <w:tcPr>
            <w:tcW w:w="1228" w:type="dxa"/>
            <w:tcMar>
              <w:top w:w="70" w:type="dxa"/>
              <w:left w:w="80" w:type="dxa"/>
              <w:bottom w:w="70" w:type="dxa"/>
              <w:right w:w="80" w:type="dxa"/>
            </w:tcMar>
            <w:vAlign w:val="center"/>
          </w:tcPr>
          <w:p w14:paraId="28F847A9" w14:textId="77777777" w:rsidR="00846FAB" w:rsidRDefault="00000000">
            <w:r>
              <w:rPr>
                <w:sz w:val="14"/>
              </w:rPr>
              <w:t>ATMOS NPU + HBF/LPDDR path</w:t>
            </w:r>
          </w:p>
        </w:tc>
        <w:tc>
          <w:tcPr>
            <w:tcW w:w="604" w:type="dxa"/>
            <w:tcMar>
              <w:top w:w="70" w:type="dxa"/>
              <w:left w:w="80" w:type="dxa"/>
              <w:bottom w:w="70" w:type="dxa"/>
              <w:right w:w="80" w:type="dxa"/>
            </w:tcMar>
            <w:vAlign w:val="center"/>
          </w:tcPr>
          <w:p w14:paraId="57E1D6D0" w14:textId="77777777" w:rsidR="00846FAB" w:rsidRDefault="00000000">
            <w:r>
              <w:rPr>
                <w:sz w:val="14"/>
              </w:rPr>
              <w:t>V/M</w:t>
            </w:r>
          </w:p>
        </w:tc>
        <w:tc>
          <w:tcPr>
            <w:tcW w:w="3096" w:type="dxa"/>
            <w:tcMar>
              <w:top w:w="70" w:type="dxa"/>
              <w:left w:w="80" w:type="dxa"/>
              <w:bottom w:w="70" w:type="dxa"/>
              <w:right w:w="80" w:type="dxa"/>
            </w:tcMar>
            <w:vAlign w:val="center"/>
          </w:tcPr>
          <w:p w14:paraId="0DFAE127" w14:textId="77777777" w:rsidR="00846FAB" w:rsidRDefault="00000000">
            <w:r>
              <w:rPr>
                <w:sz w:val="14"/>
              </w:rPr>
              <w:t>Qualify exact routed-FFN shapes, precision, useful HBF delivery, LPDDR contention, tile/ring buffers, thermals and small-batch behavior.</w:t>
            </w:r>
          </w:p>
        </w:tc>
        <w:tc>
          <w:tcPr>
            <w:tcW w:w="2951" w:type="dxa"/>
            <w:tcMar>
              <w:top w:w="70" w:type="dxa"/>
              <w:left w:w="80" w:type="dxa"/>
              <w:bottom w:w="70" w:type="dxa"/>
              <w:right w:w="80" w:type="dxa"/>
            </w:tcMar>
            <w:vAlign w:val="center"/>
          </w:tcPr>
          <w:p w14:paraId="6C9C44BF" w14:textId="77777777" w:rsidR="00846FAB" w:rsidRDefault="00000000">
            <w:r>
              <w:rPr>
                <w:sz w:val="14"/>
              </w:rPr>
              <w:t>Independent of GPU vendor; service curve must be re-tested under each host/rack traffic pattern.</w:t>
            </w:r>
          </w:p>
        </w:tc>
        <w:tc>
          <w:tcPr>
            <w:tcW w:w="1224" w:type="dxa"/>
            <w:vAlign w:val="center"/>
          </w:tcPr>
          <w:p w14:paraId="42063A57" w14:textId="77777777" w:rsidR="00846FAB" w:rsidRDefault="00000000">
            <w:r>
              <w:rPr>
                <w:sz w:val="14"/>
              </w:rPr>
              <w:t>NPU + memory</w:t>
            </w:r>
          </w:p>
        </w:tc>
      </w:tr>
      <w:tr w:rsidR="0085422C" w14:paraId="1764F3D7" w14:textId="77777777" w:rsidTr="002451E4">
        <w:trPr>
          <w:cantSplit/>
          <w:jc w:val="center"/>
        </w:trPr>
        <w:tc>
          <w:tcPr>
            <w:tcW w:w="1004" w:type="dxa"/>
            <w:shd w:val="clear" w:color="auto" w:fill="F3F6F8"/>
            <w:tcMar>
              <w:top w:w="70" w:type="dxa"/>
              <w:left w:w="80" w:type="dxa"/>
              <w:bottom w:w="70" w:type="dxa"/>
              <w:right w:w="80" w:type="dxa"/>
            </w:tcMar>
            <w:vAlign w:val="center"/>
          </w:tcPr>
          <w:p w14:paraId="7E7A4447"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339A4138" w14:textId="77777777" w:rsidR="00846FAB" w:rsidRDefault="00000000">
            <w:r>
              <w:rPr>
                <w:sz w:val="14"/>
              </w:rPr>
              <w:t>PCIe endpoint / DMA</w:t>
            </w:r>
          </w:p>
        </w:tc>
        <w:tc>
          <w:tcPr>
            <w:tcW w:w="604" w:type="dxa"/>
            <w:shd w:val="clear" w:color="auto" w:fill="F3F6F8"/>
            <w:tcMar>
              <w:top w:w="70" w:type="dxa"/>
              <w:left w:w="80" w:type="dxa"/>
              <w:bottom w:w="70" w:type="dxa"/>
              <w:right w:w="80" w:type="dxa"/>
            </w:tcMar>
            <w:vAlign w:val="center"/>
          </w:tcPr>
          <w:p w14:paraId="3FC4CAB3" w14:textId="77777777" w:rsidR="00846FAB" w:rsidRDefault="00000000">
            <w:r>
              <w:rPr>
                <w:sz w:val="14"/>
              </w:rPr>
              <w:t>V/M</w:t>
            </w:r>
          </w:p>
        </w:tc>
        <w:tc>
          <w:tcPr>
            <w:tcW w:w="3096" w:type="dxa"/>
            <w:shd w:val="clear" w:color="auto" w:fill="F3F6F8"/>
            <w:tcMar>
              <w:top w:w="70" w:type="dxa"/>
              <w:left w:w="80" w:type="dxa"/>
              <w:bottom w:w="70" w:type="dxa"/>
              <w:right w:w="80" w:type="dxa"/>
            </w:tcMar>
            <w:vAlign w:val="center"/>
          </w:tcPr>
          <w:p w14:paraId="7BA10832" w14:textId="77777777" w:rsidR="00846FAB" w:rsidRDefault="00000000">
            <w:r>
              <w:rPr>
                <w:sz w:val="14"/>
              </w:rPr>
              <w:t>Fix endpoint generation, address widths, MSI-X, registered buffers, DMA descriptors, ordering, completions and errors.</w:t>
            </w:r>
          </w:p>
        </w:tc>
        <w:tc>
          <w:tcPr>
            <w:tcW w:w="2951" w:type="dxa"/>
            <w:shd w:val="clear" w:color="auto" w:fill="F3F6F8"/>
            <w:tcMar>
              <w:top w:w="70" w:type="dxa"/>
              <w:left w:w="80" w:type="dxa"/>
              <w:bottom w:w="70" w:type="dxa"/>
              <w:right w:w="80" w:type="dxa"/>
            </w:tcMar>
            <w:vAlign w:val="center"/>
          </w:tcPr>
          <w:p w14:paraId="6BC457D4" w14:textId="77777777" w:rsidR="00846FAB" w:rsidRDefault="00000000">
            <w:r>
              <w:rPr>
                <w:sz w:val="14"/>
              </w:rPr>
              <w:t>Same endpoint contract; platform-specific root/IOMMU and host architecture are requalified.</w:t>
            </w:r>
          </w:p>
        </w:tc>
        <w:tc>
          <w:tcPr>
            <w:tcW w:w="1224" w:type="dxa"/>
            <w:shd w:val="clear" w:color="auto" w:fill="F3F6F8"/>
            <w:vAlign w:val="center"/>
          </w:tcPr>
          <w:p w14:paraId="666A4EFB" w14:textId="77777777" w:rsidR="00846FAB" w:rsidRDefault="00000000">
            <w:r>
              <w:rPr>
                <w:sz w:val="14"/>
              </w:rPr>
              <w:t>Silicon/FW</w:t>
            </w:r>
          </w:p>
        </w:tc>
      </w:tr>
      <w:tr w:rsidR="0085422C" w14:paraId="297828F5" w14:textId="77777777" w:rsidTr="002451E4">
        <w:trPr>
          <w:cantSplit/>
          <w:jc w:val="center"/>
        </w:trPr>
        <w:tc>
          <w:tcPr>
            <w:tcW w:w="1004" w:type="dxa"/>
            <w:tcMar>
              <w:top w:w="70" w:type="dxa"/>
              <w:left w:w="80" w:type="dxa"/>
              <w:bottom w:w="70" w:type="dxa"/>
              <w:right w:w="80" w:type="dxa"/>
            </w:tcMar>
            <w:vAlign w:val="center"/>
          </w:tcPr>
          <w:p w14:paraId="16EB2DDD" w14:textId="77777777" w:rsidR="00846FAB" w:rsidRDefault="00000000">
            <w:r>
              <w:rPr>
                <w:sz w:val="14"/>
              </w:rPr>
              <w:t>Hardware</w:t>
            </w:r>
          </w:p>
        </w:tc>
        <w:tc>
          <w:tcPr>
            <w:tcW w:w="1228" w:type="dxa"/>
            <w:tcMar>
              <w:top w:w="70" w:type="dxa"/>
              <w:left w:w="80" w:type="dxa"/>
              <w:bottom w:w="70" w:type="dxa"/>
              <w:right w:w="80" w:type="dxa"/>
            </w:tcMar>
            <w:vAlign w:val="center"/>
          </w:tcPr>
          <w:p w14:paraId="574B37F2" w14:textId="77777777" w:rsidR="00846FAB" w:rsidRDefault="00000000">
            <w:r>
              <w:rPr>
                <w:sz w:val="14"/>
              </w:rPr>
              <w:t>GPU-to-ATMOS transport</w:t>
            </w:r>
          </w:p>
        </w:tc>
        <w:tc>
          <w:tcPr>
            <w:tcW w:w="604" w:type="dxa"/>
            <w:tcMar>
              <w:top w:w="70" w:type="dxa"/>
              <w:left w:w="80" w:type="dxa"/>
              <w:bottom w:w="70" w:type="dxa"/>
              <w:right w:w="80" w:type="dxa"/>
            </w:tcMar>
            <w:vAlign w:val="center"/>
          </w:tcPr>
          <w:p w14:paraId="7BAE35BF" w14:textId="77777777" w:rsidR="00846FAB" w:rsidRDefault="00000000">
            <w:r>
              <w:rPr>
                <w:sz w:val="14"/>
              </w:rPr>
              <w:t>V/M</w:t>
            </w:r>
          </w:p>
        </w:tc>
        <w:tc>
          <w:tcPr>
            <w:tcW w:w="3096" w:type="dxa"/>
            <w:tcMar>
              <w:top w:w="70" w:type="dxa"/>
              <w:left w:w="80" w:type="dxa"/>
              <w:bottom w:w="70" w:type="dxa"/>
              <w:right w:w="80" w:type="dxa"/>
            </w:tcMar>
            <w:vAlign w:val="center"/>
          </w:tcPr>
          <w:p w14:paraId="6550E3BC" w14:textId="77777777" w:rsidR="00846FAB" w:rsidRDefault="00000000">
            <w:r>
              <w:rPr>
                <w:sz w:val="14"/>
              </w:rPr>
              <w:t>Host-staged pinned-memory path is the required baseline. Direct GPU-memory peer DMA is optional only through documented interfaces.</w:t>
            </w:r>
          </w:p>
        </w:tc>
        <w:tc>
          <w:tcPr>
            <w:tcW w:w="2951" w:type="dxa"/>
            <w:tcMar>
              <w:top w:w="70" w:type="dxa"/>
              <w:left w:w="80" w:type="dxa"/>
              <w:bottom w:w="70" w:type="dxa"/>
              <w:right w:w="80" w:type="dxa"/>
            </w:tcMar>
            <w:vAlign w:val="center"/>
          </w:tcPr>
          <w:p w14:paraId="6B3D8D2B" w14:textId="77777777" w:rsidR="00846FAB" w:rsidRDefault="00000000">
            <w:r>
              <w:rPr>
                <w:sz w:val="14"/>
              </w:rPr>
              <w:t>NVIDIA: public supported CUDA/driver path only.</w:t>
            </w:r>
            <w:r>
              <w:rPr>
                <w:sz w:val="14"/>
              </w:rPr>
              <w:br/>
              <w:t xml:space="preserve">AMD: public/open </w:t>
            </w:r>
            <w:proofErr w:type="spellStart"/>
            <w:r>
              <w:rPr>
                <w:sz w:val="14"/>
              </w:rPr>
              <w:t>ROCm</w:t>
            </w:r>
            <w:proofErr w:type="spellEnd"/>
            <w:r>
              <w:rPr>
                <w:sz w:val="14"/>
              </w:rPr>
              <w:t>/HIP/</w:t>
            </w:r>
            <w:proofErr w:type="spellStart"/>
            <w:r>
              <w:rPr>
                <w:sz w:val="14"/>
              </w:rPr>
              <w:t>amdgpu</w:t>
            </w:r>
            <w:proofErr w:type="spellEnd"/>
            <w:r>
              <w:rPr>
                <w:sz w:val="14"/>
              </w:rPr>
              <w:t xml:space="preserve"> path only. No proprietary patch dependency.</w:t>
            </w:r>
          </w:p>
        </w:tc>
        <w:tc>
          <w:tcPr>
            <w:tcW w:w="1224" w:type="dxa"/>
            <w:vAlign w:val="center"/>
          </w:tcPr>
          <w:p w14:paraId="335D9DB6" w14:textId="77777777" w:rsidR="00846FAB" w:rsidRDefault="00000000">
            <w:proofErr w:type="spellStart"/>
            <w:r>
              <w:rPr>
                <w:sz w:val="14"/>
              </w:rPr>
              <w:t>Sandisk</w:t>
            </w:r>
            <w:proofErr w:type="spellEnd"/>
            <w:r>
              <w:rPr>
                <w:sz w:val="14"/>
              </w:rPr>
              <w:t xml:space="preserve"> + OEM</w:t>
            </w:r>
          </w:p>
        </w:tc>
      </w:tr>
      <w:tr w:rsidR="0085422C" w14:paraId="7E27028C" w14:textId="77777777" w:rsidTr="002451E4">
        <w:trPr>
          <w:cantSplit/>
          <w:jc w:val="center"/>
        </w:trPr>
        <w:tc>
          <w:tcPr>
            <w:tcW w:w="1004" w:type="dxa"/>
            <w:shd w:val="clear" w:color="auto" w:fill="F3F6F8"/>
            <w:tcMar>
              <w:top w:w="70" w:type="dxa"/>
              <w:left w:w="80" w:type="dxa"/>
              <w:bottom w:w="70" w:type="dxa"/>
              <w:right w:w="80" w:type="dxa"/>
            </w:tcMar>
            <w:vAlign w:val="center"/>
          </w:tcPr>
          <w:p w14:paraId="01C810AE"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7334963C" w14:textId="77777777" w:rsidR="00846FAB" w:rsidRDefault="00000000">
            <w:r>
              <w:rPr>
                <w:sz w:val="14"/>
              </w:rPr>
              <w:t>Native GPU scale-up fabric</w:t>
            </w:r>
          </w:p>
        </w:tc>
        <w:tc>
          <w:tcPr>
            <w:tcW w:w="604" w:type="dxa"/>
            <w:shd w:val="clear" w:color="auto" w:fill="F3F6F8"/>
            <w:tcMar>
              <w:top w:w="70" w:type="dxa"/>
              <w:left w:w="80" w:type="dxa"/>
              <w:bottom w:w="70" w:type="dxa"/>
              <w:right w:w="80" w:type="dxa"/>
            </w:tcMar>
            <w:vAlign w:val="center"/>
          </w:tcPr>
          <w:p w14:paraId="43747063" w14:textId="77777777" w:rsidR="00846FAB" w:rsidRDefault="00000000">
            <w:r>
              <w:rPr>
                <w:sz w:val="14"/>
              </w:rPr>
              <w:t>V</w:t>
            </w:r>
          </w:p>
        </w:tc>
        <w:tc>
          <w:tcPr>
            <w:tcW w:w="3096" w:type="dxa"/>
            <w:shd w:val="clear" w:color="auto" w:fill="F3F6F8"/>
            <w:tcMar>
              <w:top w:w="70" w:type="dxa"/>
              <w:left w:w="80" w:type="dxa"/>
              <w:bottom w:w="70" w:type="dxa"/>
              <w:right w:w="80" w:type="dxa"/>
            </w:tcMar>
            <w:vAlign w:val="center"/>
          </w:tcPr>
          <w:p w14:paraId="650868A5" w14:textId="77777777" w:rsidR="00846FAB" w:rsidRDefault="00000000">
            <w:r>
              <w:rPr>
                <w:sz w:val="14"/>
              </w:rPr>
              <w:t>Preserve the rack GPU fabric; ATMOS does not masquerade as a native GPU-fabric endpoint.</w:t>
            </w:r>
          </w:p>
        </w:tc>
        <w:tc>
          <w:tcPr>
            <w:tcW w:w="2951" w:type="dxa"/>
            <w:shd w:val="clear" w:color="auto" w:fill="F3F6F8"/>
            <w:tcMar>
              <w:top w:w="70" w:type="dxa"/>
              <w:left w:w="80" w:type="dxa"/>
              <w:bottom w:w="70" w:type="dxa"/>
              <w:right w:w="80" w:type="dxa"/>
            </w:tcMar>
            <w:vAlign w:val="center"/>
          </w:tcPr>
          <w:p w14:paraId="0EA36440" w14:textId="77777777" w:rsidR="00846FAB" w:rsidRDefault="00000000">
            <w:r>
              <w:rPr>
                <w:sz w:val="14"/>
              </w:rPr>
              <w:t xml:space="preserve">NVIDIA: do not modify </w:t>
            </w:r>
            <w:proofErr w:type="spellStart"/>
            <w:r>
              <w:rPr>
                <w:sz w:val="14"/>
              </w:rPr>
              <w:t>NVLink</w:t>
            </w:r>
            <w:proofErr w:type="spellEnd"/>
            <w:r>
              <w:rPr>
                <w:sz w:val="14"/>
              </w:rPr>
              <w:t>/</w:t>
            </w:r>
            <w:proofErr w:type="spellStart"/>
            <w:r>
              <w:rPr>
                <w:sz w:val="14"/>
              </w:rPr>
              <w:t>NVSwitch</w:t>
            </w:r>
            <w:proofErr w:type="spellEnd"/>
            <w:r>
              <w:rPr>
                <w:sz w:val="14"/>
              </w:rPr>
              <w:t xml:space="preserve"> domain.</w:t>
            </w:r>
            <w:r>
              <w:rPr>
                <w:sz w:val="14"/>
              </w:rPr>
              <w:br/>
              <w:t xml:space="preserve">AMD: do not modify </w:t>
            </w:r>
            <w:proofErr w:type="spellStart"/>
            <w:r>
              <w:rPr>
                <w:sz w:val="14"/>
              </w:rPr>
              <w:t>UALink</w:t>
            </w:r>
            <w:proofErr w:type="spellEnd"/>
            <w:r>
              <w:rPr>
                <w:sz w:val="14"/>
              </w:rPr>
              <w:t xml:space="preserve"> domain.</w:t>
            </w:r>
          </w:p>
        </w:tc>
        <w:tc>
          <w:tcPr>
            <w:tcW w:w="1224" w:type="dxa"/>
            <w:shd w:val="clear" w:color="auto" w:fill="F3F6F8"/>
            <w:vAlign w:val="center"/>
          </w:tcPr>
          <w:p w14:paraId="2D49AAB7" w14:textId="77777777" w:rsidR="00846FAB" w:rsidRDefault="00000000">
            <w:r>
              <w:rPr>
                <w:sz w:val="14"/>
              </w:rPr>
              <w:t>OEM/platform</w:t>
            </w:r>
          </w:p>
        </w:tc>
      </w:tr>
      <w:tr w:rsidR="0085422C" w14:paraId="401DA61C" w14:textId="77777777" w:rsidTr="002451E4">
        <w:trPr>
          <w:cantSplit/>
          <w:jc w:val="center"/>
        </w:trPr>
        <w:tc>
          <w:tcPr>
            <w:tcW w:w="1004" w:type="dxa"/>
            <w:tcMar>
              <w:top w:w="70" w:type="dxa"/>
              <w:left w:w="80" w:type="dxa"/>
              <w:bottom w:w="70" w:type="dxa"/>
              <w:right w:w="80" w:type="dxa"/>
            </w:tcMar>
            <w:vAlign w:val="center"/>
          </w:tcPr>
          <w:p w14:paraId="3999AD6B" w14:textId="77777777" w:rsidR="00846FAB" w:rsidRDefault="00000000">
            <w:r>
              <w:rPr>
                <w:sz w:val="14"/>
              </w:rPr>
              <w:t>Hardware</w:t>
            </w:r>
          </w:p>
        </w:tc>
        <w:tc>
          <w:tcPr>
            <w:tcW w:w="1228" w:type="dxa"/>
            <w:tcMar>
              <w:top w:w="70" w:type="dxa"/>
              <w:left w:w="80" w:type="dxa"/>
              <w:bottom w:w="70" w:type="dxa"/>
              <w:right w:w="80" w:type="dxa"/>
            </w:tcMar>
            <w:vAlign w:val="center"/>
          </w:tcPr>
          <w:p w14:paraId="579EC5C0" w14:textId="77777777" w:rsidR="00846FAB" w:rsidRDefault="00000000">
            <w:r>
              <w:rPr>
                <w:sz w:val="14"/>
              </w:rPr>
              <w:t>Switch / backplane</w:t>
            </w:r>
          </w:p>
        </w:tc>
        <w:tc>
          <w:tcPr>
            <w:tcW w:w="604" w:type="dxa"/>
            <w:tcMar>
              <w:top w:w="70" w:type="dxa"/>
              <w:left w:w="80" w:type="dxa"/>
              <w:bottom w:w="70" w:type="dxa"/>
              <w:right w:w="80" w:type="dxa"/>
            </w:tcMar>
            <w:vAlign w:val="center"/>
          </w:tcPr>
          <w:p w14:paraId="01153577" w14:textId="77777777" w:rsidR="00846FAB" w:rsidRDefault="00000000">
            <w:r>
              <w:rPr>
                <w:sz w:val="14"/>
              </w:rPr>
              <w:t>V/M</w:t>
            </w:r>
          </w:p>
        </w:tc>
        <w:tc>
          <w:tcPr>
            <w:tcW w:w="3096" w:type="dxa"/>
            <w:tcMar>
              <w:top w:w="70" w:type="dxa"/>
              <w:left w:w="80" w:type="dxa"/>
              <w:bottom w:w="70" w:type="dxa"/>
              <w:right w:w="80" w:type="dxa"/>
            </w:tcMar>
            <w:vAlign w:val="center"/>
          </w:tcPr>
          <w:p w14:paraId="25B0BA20" w14:textId="77777777" w:rsidR="00846FAB" w:rsidRDefault="00000000">
            <w:r>
              <w:rPr>
                <w:sz w:val="14"/>
              </w:rPr>
              <w:t>Qualify selected Gen5 switch, x16+8×x4 map, cables/</w:t>
            </w:r>
            <w:proofErr w:type="spellStart"/>
            <w:r>
              <w:rPr>
                <w:sz w:val="14"/>
              </w:rPr>
              <w:t>retimers</w:t>
            </w:r>
            <w:proofErr w:type="spellEnd"/>
            <w:r>
              <w:rPr>
                <w:sz w:val="14"/>
              </w:rPr>
              <w:t>, ACS/IOMMU/DPC, diagnostics and reset containment.</w:t>
            </w:r>
          </w:p>
        </w:tc>
        <w:tc>
          <w:tcPr>
            <w:tcW w:w="2951" w:type="dxa"/>
            <w:tcMar>
              <w:top w:w="70" w:type="dxa"/>
              <w:left w:w="80" w:type="dxa"/>
              <w:bottom w:w="70" w:type="dxa"/>
              <w:right w:w="80" w:type="dxa"/>
            </w:tcMar>
            <w:vAlign w:val="center"/>
          </w:tcPr>
          <w:p w14:paraId="07E11155" w14:textId="77777777" w:rsidR="00846FAB" w:rsidRDefault="00000000">
            <w:r>
              <w:rPr>
                <w:sz w:val="14"/>
              </w:rPr>
              <w:t>Common ATMOS subsystem; exact upstream/root connection is different on RTX, NVL and Helios.</w:t>
            </w:r>
          </w:p>
        </w:tc>
        <w:tc>
          <w:tcPr>
            <w:tcW w:w="1224" w:type="dxa"/>
            <w:vAlign w:val="center"/>
          </w:tcPr>
          <w:p w14:paraId="60628F3B" w14:textId="77777777" w:rsidR="00846FAB" w:rsidRDefault="00000000">
            <w:r>
              <w:rPr>
                <w:sz w:val="14"/>
              </w:rPr>
              <w:t>OEM + switch FAE</w:t>
            </w:r>
          </w:p>
        </w:tc>
      </w:tr>
      <w:tr w:rsidR="0085422C" w14:paraId="479AADD7" w14:textId="77777777" w:rsidTr="002451E4">
        <w:trPr>
          <w:cantSplit/>
          <w:jc w:val="center"/>
        </w:trPr>
        <w:tc>
          <w:tcPr>
            <w:tcW w:w="1004" w:type="dxa"/>
            <w:shd w:val="clear" w:color="auto" w:fill="F3F6F8"/>
            <w:tcMar>
              <w:top w:w="70" w:type="dxa"/>
              <w:left w:w="80" w:type="dxa"/>
              <w:bottom w:w="70" w:type="dxa"/>
              <w:right w:w="80" w:type="dxa"/>
            </w:tcMar>
            <w:vAlign w:val="center"/>
          </w:tcPr>
          <w:p w14:paraId="4C7A4FF8"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0B5AC818" w14:textId="77777777" w:rsidR="00846FAB" w:rsidRDefault="00000000">
            <w:r>
              <w:rPr>
                <w:sz w:val="14"/>
              </w:rPr>
              <w:t>Server / rack envelope</w:t>
            </w:r>
          </w:p>
        </w:tc>
        <w:tc>
          <w:tcPr>
            <w:tcW w:w="604" w:type="dxa"/>
            <w:shd w:val="clear" w:color="auto" w:fill="F3F6F8"/>
            <w:tcMar>
              <w:top w:w="70" w:type="dxa"/>
              <w:left w:w="80" w:type="dxa"/>
              <w:bottom w:w="70" w:type="dxa"/>
              <w:right w:w="80" w:type="dxa"/>
            </w:tcMar>
            <w:vAlign w:val="center"/>
          </w:tcPr>
          <w:p w14:paraId="34BB02E2" w14:textId="77777777" w:rsidR="00846FAB" w:rsidRDefault="00000000">
            <w:r>
              <w:rPr>
                <w:sz w:val="14"/>
              </w:rPr>
              <w:t>V/M</w:t>
            </w:r>
          </w:p>
        </w:tc>
        <w:tc>
          <w:tcPr>
            <w:tcW w:w="3096" w:type="dxa"/>
            <w:shd w:val="clear" w:color="auto" w:fill="F3F6F8"/>
            <w:tcMar>
              <w:top w:w="70" w:type="dxa"/>
              <w:left w:w="80" w:type="dxa"/>
              <w:bottom w:w="70" w:type="dxa"/>
              <w:right w:w="80" w:type="dxa"/>
            </w:tcMar>
            <w:vAlign w:val="center"/>
          </w:tcPr>
          <w:p w14:paraId="056A5A7E" w14:textId="77777777" w:rsidR="00846FAB" w:rsidRDefault="00000000">
            <w:r>
              <w:rPr>
                <w:sz w:val="14"/>
              </w:rPr>
              <w:t>Preserve GPU/NIC service, account for displaced storage, mixed-load power, cooling, BMC telemetry, serviceability and failure coupling.</w:t>
            </w:r>
          </w:p>
        </w:tc>
        <w:tc>
          <w:tcPr>
            <w:tcW w:w="2951" w:type="dxa"/>
            <w:shd w:val="clear" w:color="auto" w:fill="F3F6F8"/>
            <w:tcMar>
              <w:top w:w="70" w:type="dxa"/>
              <w:left w:w="80" w:type="dxa"/>
              <w:bottom w:w="70" w:type="dxa"/>
              <w:right w:w="80" w:type="dxa"/>
            </w:tcMar>
            <w:vAlign w:val="center"/>
          </w:tcPr>
          <w:p w14:paraId="5C1E44B3" w14:textId="77777777" w:rsidR="00846FAB" w:rsidRDefault="00000000">
            <w:r>
              <w:rPr>
                <w:sz w:val="14"/>
              </w:rPr>
              <w:t>NVIDIA: NVL OEM/Grace/Vera host path.</w:t>
            </w:r>
            <w:r>
              <w:rPr>
                <w:sz w:val="14"/>
              </w:rPr>
              <w:br/>
              <w:t>AMD: Helios ORW/EPYC Venice/OEM path.</w:t>
            </w:r>
          </w:p>
        </w:tc>
        <w:tc>
          <w:tcPr>
            <w:tcW w:w="1224" w:type="dxa"/>
            <w:shd w:val="clear" w:color="auto" w:fill="F3F6F8"/>
            <w:vAlign w:val="center"/>
          </w:tcPr>
          <w:p w14:paraId="103E7852" w14:textId="77777777" w:rsidR="00846FAB" w:rsidRDefault="00000000">
            <w:r>
              <w:rPr>
                <w:sz w:val="14"/>
              </w:rPr>
              <w:t>OEM engineering</w:t>
            </w:r>
          </w:p>
        </w:tc>
      </w:tr>
      <w:tr w:rsidR="0085422C" w14:paraId="0E0D4087" w14:textId="77777777" w:rsidTr="002451E4">
        <w:trPr>
          <w:cantSplit/>
          <w:jc w:val="center"/>
        </w:trPr>
        <w:tc>
          <w:tcPr>
            <w:tcW w:w="1004" w:type="dxa"/>
            <w:tcMar>
              <w:top w:w="70" w:type="dxa"/>
              <w:left w:w="80" w:type="dxa"/>
              <w:bottom w:w="70" w:type="dxa"/>
              <w:right w:w="80" w:type="dxa"/>
            </w:tcMar>
            <w:vAlign w:val="center"/>
          </w:tcPr>
          <w:p w14:paraId="140BF8F6" w14:textId="77777777" w:rsidR="00846FAB" w:rsidRDefault="00000000">
            <w:r>
              <w:rPr>
                <w:sz w:val="14"/>
              </w:rPr>
              <w:t>Product</w:t>
            </w:r>
          </w:p>
        </w:tc>
        <w:tc>
          <w:tcPr>
            <w:tcW w:w="1228" w:type="dxa"/>
            <w:tcMar>
              <w:top w:w="70" w:type="dxa"/>
              <w:left w:w="80" w:type="dxa"/>
              <w:bottom w:w="70" w:type="dxa"/>
              <w:right w:w="80" w:type="dxa"/>
            </w:tcMar>
            <w:vAlign w:val="center"/>
          </w:tcPr>
          <w:p w14:paraId="2A5A9F67" w14:textId="77777777" w:rsidR="00846FAB" w:rsidRDefault="00000000">
            <w:r>
              <w:rPr>
                <w:sz w:val="14"/>
              </w:rPr>
              <w:t>Compatibility manifest</w:t>
            </w:r>
          </w:p>
        </w:tc>
        <w:tc>
          <w:tcPr>
            <w:tcW w:w="604" w:type="dxa"/>
            <w:tcMar>
              <w:top w:w="70" w:type="dxa"/>
              <w:left w:w="80" w:type="dxa"/>
              <w:bottom w:w="70" w:type="dxa"/>
              <w:right w:w="80" w:type="dxa"/>
            </w:tcMar>
            <w:vAlign w:val="center"/>
          </w:tcPr>
          <w:p w14:paraId="71A2086F" w14:textId="77777777" w:rsidR="00846FAB" w:rsidRDefault="00000000">
            <w:r>
              <w:rPr>
                <w:sz w:val="14"/>
              </w:rPr>
              <w:t>N</w:t>
            </w:r>
          </w:p>
        </w:tc>
        <w:tc>
          <w:tcPr>
            <w:tcW w:w="3096" w:type="dxa"/>
            <w:tcMar>
              <w:top w:w="70" w:type="dxa"/>
              <w:left w:w="80" w:type="dxa"/>
              <w:bottom w:w="70" w:type="dxa"/>
              <w:right w:w="80" w:type="dxa"/>
            </w:tcMar>
            <w:vAlign w:val="center"/>
          </w:tcPr>
          <w:p w14:paraId="702A783E" w14:textId="77777777" w:rsidR="00846FAB" w:rsidRDefault="00000000">
            <w:r>
              <w:rPr>
                <w:sz w:val="14"/>
              </w:rPr>
              <w:t xml:space="preserve">Bind ATMOS hardware/firmware, switch, OS, </w:t>
            </w:r>
            <w:proofErr w:type="spellStart"/>
            <w:r>
              <w:rPr>
                <w:sz w:val="14"/>
              </w:rPr>
              <w:t>vLLM</w:t>
            </w:r>
            <w:proofErr w:type="spellEnd"/>
            <w:r>
              <w:rPr>
                <w:sz w:val="14"/>
              </w:rPr>
              <w:t>, model/pack hashes, Kubernetes, workload envelope and known limits.</w:t>
            </w:r>
          </w:p>
        </w:tc>
        <w:tc>
          <w:tcPr>
            <w:tcW w:w="2951" w:type="dxa"/>
            <w:tcMar>
              <w:top w:w="70" w:type="dxa"/>
              <w:left w:w="80" w:type="dxa"/>
              <w:bottom w:w="70" w:type="dxa"/>
              <w:right w:w="80" w:type="dxa"/>
            </w:tcMar>
            <w:vAlign w:val="center"/>
          </w:tcPr>
          <w:p w14:paraId="2853CE59" w14:textId="77777777" w:rsidR="00846FAB" w:rsidRDefault="00000000">
            <w:r>
              <w:rPr>
                <w:sz w:val="14"/>
              </w:rPr>
              <w:t>Separate qualified manifests for RTX MVP, NVIDIA NVL and AMD Helios.</w:t>
            </w:r>
          </w:p>
        </w:tc>
        <w:tc>
          <w:tcPr>
            <w:tcW w:w="1224" w:type="dxa"/>
            <w:vAlign w:val="center"/>
          </w:tcPr>
          <w:p w14:paraId="321FEE7F" w14:textId="77777777" w:rsidR="00846FAB" w:rsidRDefault="00000000">
            <w:proofErr w:type="spellStart"/>
            <w:r>
              <w:rPr>
                <w:sz w:val="14"/>
              </w:rPr>
              <w:t>Sandisk</w:t>
            </w:r>
            <w:proofErr w:type="spellEnd"/>
            <w:r>
              <w:rPr>
                <w:sz w:val="14"/>
              </w:rPr>
              <w:t xml:space="preserve"> release</w:t>
            </w:r>
          </w:p>
        </w:tc>
      </w:tr>
      <w:tr w:rsidR="00846FAB" w14:paraId="60041DFB" w14:textId="77777777" w:rsidTr="002451E4">
        <w:trPr>
          <w:jc w:val="center"/>
        </w:trPr>
        <w:tc>
          <w:tcPr>
            <w:tcW w:w="1004" w:type="dxa"/>
            <w:shd w:val="clear" w:color="auto" w:fill="F3F6F8"/>
            <w:vAlign w:val="center"/>
          </w:tcPr>
          <w:p w14:paraId="2D712BF9" w14:textId="77777777" w:rsidR="00846FAB" w:rsidRDefault="00000000">
            <w:r>
              <w:rPr>
                <w:sz w:val="14"/>
              </w:rPr>
              <w:t>Product</w:t>
            </w:r>
          </w:p>
        </w:tc>
        <w:tc>
          <w:tcPr>
            <w:tcW w:w="1228" w:type="dxa"/>
            <w:shd w:val="clear" w:color="auto" w:fill="F3F6F8"/>
            <w:vAlign w:val="center"/>
          </w:tcPr>
          <w:p w14:paraId="69B0BA62" w14:textId="77777777" w:rsidR="00846FAB" w:rsidRDefault="00000000">
            <w:r>
              <w:rPr>
                <w:sz w:val="14"/>
              </w:rPr>
              <w:t>Economic / support contract</w:t>
            </w:r>
          </w:p>
        </w:tc>
        <w:tc>
          <w:tcPr>
            <w:tcW w:w="604" w:type="dxa"/>
            <w:shd w:val="clear" w:color="auto" w:fill="F3F6F8"/>
            <w:vAlign w:val="center"/>
          </w:tcPr>
          <w:p w14:paraId="3BEB3405" w14:textId="77777777" w:rsidR="00846FAB" w:rsidRDefault="00000000">
            <w:r>
              <w:rPr>
                <w:sz w:val="14"/>
              </w:rPr>
              <w:t>N</w:t>
            </w:r>
          </w:p>
        </w:tc>
        <w:tc>
          <w:tcPr>
            <w:tcW w:w="3096" w:type="dxa"/>
            <w:shd w:val="clear" w:color="auto" w:fill="F3F6F8"/>
            <w:vAlign w:val="center"/>
          </w:tcPr>
          <w:p w14:paraId="4937654E" w14:textId="77777777" w:rsidR="00846FAB" w:rsidRDefault="00000000">
            <w:r>
              <w:rPr>
                <w:sz w:val="14"/>
              </w:rPr>
              <w:t>Report qualified service rate, SLO, failure reserve, avoidable GPU/rack cost and one accountable support route.</w:t>
            </w:r>
          </w:p>
        </w:tc>
        <w:tc>
          <w:tcPr>
            <w:tcW w:w="2951" w:type="dxa"/>
            <w:shd w:val="clear" w:color="auto" w:fill="F3F6F8"/>
            <w:vAlign w:val="center"/>
          </w:tcPr>
          <w:p w14:paraId="6D3631BB" w14:textId="77777777" w:rsidR="00846FAB" w:rsidRDefault="00000000">
            <w:r>
              <w:rPr>
                <w:sz w:val="14"/>
              </w:rPr>
              <w:t>ROI is earned separately per platform; RTX economics are not transferred to rack scale.</w:t>
            </w:r>
          </w:p>
        </w:tc>
        <w:tc>
          <w:tcPr>
            <w:tcW w:w="1224" w:type="dxa"/>
            <w:shd w:val="clear" w:color="auto" w:fill="F3F6F8"/>
            <w:vAlign w:val="center"/>
          </w:tcPr>
          <w:p w14:paraId="531ECF50" w14:textId="77777777" w:rsidR="00846FAB" w:rsidRDefault="00000000">
            <w:r>
              <w:rPr>
                <w:sz w:val="14"/>
              </w:rPr>
              <w:t>Product + SA</w:t>
            </w:r>
          </w:p>
        </w:tc>
      </w:tr>
    </w:tbl>
    <w:p w14:paraId="18FF11EF" w14:textId="77777777" w:rsidR="0085422C" w:rsidRDefault="0085422C">
      <w:pPr>
        <w:spacing w:after="20"/>
      </w:pPr>
    </w:p>
    <w:p w14:paraId="4F46DB74" w14:textId="77777777" w:rsidR="0085422C" w:rsidRDefault="00000000">
      <w:pPr>
        <w:keepNext/>
        <w:spacing w:before="60" w:after="60"/>
      </w:pPr>
      <w:r>
        <w:rPr>
          <w:b/>
          <w:color w:val="16324F"/>
          <w:sz w:val="25"/>
        </w:rPr>
        <w:t>Definition of done for Part II</w:t>
      </w:r>
    </w:p>
    <w:p w14:paraId="6C5DCC2D" w14:textId="77777777" w:rsidR="0085422C" w:rsidRDefault="00000000">
      <w:pPr>
        <w:spacing w:after="100" w:line="259" w:lineRule="auto"/>
      </w:pPr>
      <w:r>
        <w:rPr>
          <w:sz w:val="18"/>
        </w:rPr>
        <w:t xml:space="preserve">The common expert ABI, </w:t>
      </w:r>
      <w:proofErr w:type="spellStart"/>
      <w:r>
        <w:rPr>
          <w:sz w:val="18"/>
        </w:rPr>
        <w:t>vLLM</w:t>
      </w:r>
      <w:proofErr w:type="spellEnd"/>
      <w:r>
        <w:rPr>
          <w:sz w:val="18"/>
        </w:rPr>
        <w:t xml:space="preserve"> adapter, ATMOS runtime/driver and switched E3.S subsystem must first operate as a reproducible RTX POC/MVP while preserving model quality and the required TTFT/TPOT. Product completion requires the same logical contract to pass on at least one named rack-scale target — NVIDIA NVL or AMD Helios — using the stock GPU stack, a qualified physical route and a measured economic benefit. The two rack platforms are released independently.</w:t>
      </w:r>
    </w:p>
    <w:p w14:paraId="656ECEC9" w14:textId="77777777" w:rsidR="0085422C" w:rsidRDefault="0085422C">
      <w:pPr>
        <w:spacing w:after="20"/>
      </w:pPr>
    </w:p>
    <w:p w14:paraId="66FFD932" w14:textId="77777777" w:rsidR="0085422C" w:rsidRDefault="0085422C"/>
    <w:p w14:paraId="003C4DC0" w14:textId="255B24EE" w:rsidR="0085422C" w:rsidRPr="005A5290" w:rsidRDefault="005835B4" w:rsidP="005A5290">
      <w:pPr>
        <w:rPr>
          <w:b/>
          <w:color w:val="16324F"/>
          <w:sz w:val="36"/>
        </w:rPr>
      </w:pPr>
      <w:r>
        <w:rPr>
          <w:b/>
          <w:color w:val="16324F"/>
          <w:sz w:val="36"/>
        </w:rPr>
        <w:br w:type="page"/>
      </w:r>
      <w:r>
        <w:rPr>
          <w:b/>
          <w:color w:val="16324F"/>
          <w:sz w:val="36"/>
        </w:rPr>
        <w:lastRenderedPageBreak/>
        <w:t>Part III — Insurance scenario: RTX MVP calibration and rack-scale translation</w:t>
      </w:r>
    </w:p>
    <w:p w14:paraId="247F7886" w14:textId="77777777" w:rsidR="0085422C" w:rsidRDefault="00000000">
      <w:pPr>
        <w:spacing w:after="100" w:line="259" w:lineRule="auto"/>
      </w:pPr>
      <w:r>
        <w:t xml:space="preserve">The following scenario remains intentionally concrete, but it is now used as an RTX POC/MVP calibration case rather than the final production sizing. It shows how the heterogeneous expert architecture could create measurable headroom with ~235B and ~671B </w:t>
      </w:r>
      <w:proofErr w:type="spellStart"/>
      <w:r>
        <w:t>MoE</w:t>
      </w:r>
      <w:proofErr w:type="spellEnd"/>
      <w:r>
        <w:t xml:space="preserve"> classes. Once the MVP is measured, the same demand, model quality and latency contract is replayed against NVIDIA NVL and AMD Helios using their own GPU memory, scale-up fabric, rack topology and service rate.</w:t>
      </w:r>
    </w:p>
    <w:p w14:paraId="493F61E1" w14:textId="77777777" w:rsidR="0085422C" w:rsidRDefault="00000000">
      <w:pPr>
        <w:keepNext/>
        <w:spacing w:before="60" w:after="60"/>
      </w:pPr>
      <w:r>
        <w:rPr>
          <w:rFonts w:eastAsia="Noto Sans"/>
          <w:b/>
          <w:color w:val="16324F"/>
          <w:sz w:val="25"/>
        </w:rPr>
        <w:t>Scenario demand</w:t>
      </w:r>
    </w:p>
    <w:tbl>
      <w:tblPr>
        <w:tblStyle w:val="TableGrid"/>
        <w:tblW w:w="0" w:type="auto"/>
        <w:jc w:val="center"/>
        <w:tblLayout w:type="fixed"/>
        <w:tblLook w:val="04A0" w:firstRow="1" w:lastRow="0" w:firstColumn="1" w:lastColumn="0" w:noHBand="0" w:noVBand="1"/>
      </w:tblPr>
      <w:tblGrid>
        <w:gridCol w:w="2088"/>
        <w:gridCol w:w="7704"/>
      </w:tblGrid>
      <w:tr w:rsidR="0085422C" w14:paraId="692BFC0D" w14:textId="77777777">
        <w:trPr>
          <w:tblHeader/>
          <w:jc w:val="center"/>
        </w:trPr>
        <w:tc>
          <w:tcPr>
            <w:tcW w:w="2088" w:type="dxa"/>
            <w:shd w:val="clear" w:color="auto" w:fill="16324F"/>
            <w:tcMar>
              <w:top w:w="80" w:type="dxa"/>
              <w:left w:w="90" w:type="dxa"/>
              <w:bottom w:w="80" w:type="dxa"/>
              <w:right w:w="90" w:type="dxa"/>
            </w:tcMar>
            <w:vAlign w:val="center"/>
          </w:tcPr>
          <w:p w14:paraId="1F9ADB9E" w14:textId="77777777" w:rsidR="0085422C" w:rsidRDefault="00000000">
            <w:r>
              <w:rPr>
                <w:rFonts w:eastAsia="Noto Sans"/>
                <w:b/>
                <w:color w:val="FFFFFF"/>
                <w:sz w:val="16"/>
              </w:rPr>
              <w:t>Input</w:t>
            </w:r>
          </w:p>
        </w:tc>
        <w:tc>
          <w:tcPr>
            <w:tcW w:w="7704" w:type="dxa"/>
            <w:shd w:val="clear" w:color="auto" w:fill="16324F"/>
            <w:tcMar>
              <w:top w:w="80" w:type="dxa"/>
              <w:left w:w="90" w:type="dxa"/>
              <w:bottom w:w="80" w:type="dxa"/>
              <w:right w:w="90" w:type="dxa"/>
            </w:tcMar>
            <w:vAlign w:val="center"/>
          </w:tcPr>
          <w:p w14:paraId="12E7FEF0" w14:textId="77777777" w:rsidR="0085422C" w:rsidRDefault="00000000">
            <w:r>
              <w:rPr>
                <w:rFonts w:eastAsia="Noto Sans"/>
                <w:b/>
                <w:color w:val="FFFFFF"/>
                <w:sz w:val="16"/>
              </w:rPr>
              <w:t>Assumption</w:t>
            </w:r>
          </w:p>
        </w:tc>
      </w:tr>
      <w:tr w:rsidR="0085422C" w14:paraId="017B5DBF" w14:textId="77777777">
        <w:trPr>
          <w:cantSplit/>
          <w:jc w:val="center"/>
        </w:trPr>
        <w:tc>
          <w:tcPr>
            <w:tcW w:w="2088" w:type="dxa"/>
            <w:tcMar>
              <w:top w:w="70" w:type="dxa"/>
              <w:left w:w="80" w:type="dxa"/>
              <w:bottom w:w="70" w:type="dxa"/>
              <w:right w:w="80" w:type="dxa"/>
            </w:tcMar>
          </w:tcPr>
          <w:p w14:paraId="577167C5" w14:textId="77777777" w:rsidR="0085422C" w:rsidRDefault="00000000">
            <w:r>
              <w:rPr>
                <w:rFonts w:eastAsia="Noto Sans"/>
                <w:b/>
                <w:color w:val="24313D"/>
                <w:sz w:val="16"/>
              </w:rPr>
              <w:t>User scale</w:t>
            </w:r>
          </w:p>
        </w:tc>
        <w:tc>
          <w:tcPr>
            <w:tcW w:w="7704" w:type="dxa"/>
            <w:tcMar>
              <w:top w:w="70" w:type="dxa"/>
              <w:left w:w="80" w:type="dxa"/>
              <w:bottom w:w="70" w:type="dxa"/>
              <w:right w:w="80" w:type="dxa"/>
            </w:tcMar>
          </w:tcPr>
          <w:p w14:paraId="34A6E3BB" w14:textId="77777777" w:rsidR="0085422C" w:rsidRDefault="00000000">
            <w:r>
              <w:rPr>
                <w:rFonts w:eastAsia="Noto Sans"/>
                <w:color w:val="24313D"/>
                <w:sz w:val="16"/>
              </w:rPr>
              <w:t>60,000 active-user population; assume 40% active on a selected day.</w:t>
            </w:r>
          </w:p>
        </w:tc>
      </w:tr>
      <w:tr w:rsidR="0085422C" w14:paraId="394BCBDD" w14:textId="77777777">
        <w:trPr>
          <w:cantSplit/>
          <w:jc w:val="center"/>
        </w:trPr>
        <w:tc>
          <w:tcPr>
            <w:tcW w:w="2088" w:type="dxa"/>
            <w:shd w:val="clear" w:color="auto" w:fill="F6F8FA"/>
            <w:tcMar>
              <w:top w:w="70" w:type="dxa"/>
              <w:left w:w="80" w:type="dxa"/>
              <w:bottom w:w="70" w:type="dxa"/>
              <w:right w:w="80" w:type="dxa"/>
            </w:tcMar>
          </w:tcPr>
          <w:p w14:paraId="74C80F92" w14:textId="77777777" w:rsidR="0085422C" w:rsidRDefault="00000000">
            <w:r>
              <w:rPr>
                <w:rFonts w:eastAsia="Noto Sans"/>
                <w:b/>
                <w:color w:val="24313D"/>
                <w:sz w:val="16"/>
              </w:rPr>
              <w:t>Daily calls</w:t>
            </w:r>
          </w:p>
        </w:tc>
        <w:tc>
          <w:tcPr>
            <w:tcW w:w="7704" w:type="dxa"/>
            <w:shd w:val="clear" w:color="auto" w:fill="F6F8FA"/>
            <w:tcMar>
              <w:top w:w="70" w:type="dxa"/>
              <w:left w:w="80" w:type="dxa"/>
              <w:bottom w:w="70" w:type="dxa"/>
              <w:right w:w="80" w:type="dxa"/>
            </w:tcMar>
          </w:tcPr>
          <w:p w14:paraId="3A0A542B" w14:textId="77777777" w:rsidR="0085422C" w:rsidRDefault="00000000">
            <w:r>
              <w:rPr>
                <w:rFonts w:eastAsia="Noto Sans"/>
                <w:color w:val="24313D"/>
                <w:sz w:val="16"/>
              </w:rPr>
              <w:t>10 model calls per active user → 240,000 calls/day.</w:t>
            </w:r>
          </w:p>
        </w:tc>
      </w:tr>
      <w:tr w:rsidR="0085422C" w14:paraId="16AF6F2D" w14:textId="77777777">
        <w:trPr>
          <w:cantSplit/>
          <w:jc w:val="center"/>
        </w:trPr>
        <w:tc>
          <w:tcPr>
            <w:tcW w:w="2088" w:type="dxa"/>
            <w:tcMar>
              <w:top w:w="70" w:type="dxa"/>
              <w:left w:w="80" w:type="dxa"/>
              <w:bottom w:w="70" w:type="dxa"/>
              <w:right w:w="80" w:type="dxa"/>
            </w:tcMar>
          </w:tcPr>
          <w:p w14:paraId="2BD8B9C0" w14:textId="77777777" w:rsidR="0085422C" w:rsidRDefault="00000000">
            <w:r>
              <w:rPr>
                <w:rFonts w:eastAsia="Noto Sans"/>
                <w:b/>
                <w:color w:val="24313D"/>
                <w:sz w:val="16"/>
              </w:rPr>
              <w:t>Service window</w:t>
            </w:r>
          </w:p>
        </w:tc>
        <w:tc>
          <w:tcPr>
            <w:tcW w:w="7704" w:type="dxa"/>
            <w:tcMar>
              <w:top w:w="70" w:type="dxa"/>
              <w:left w:w="80" w:type="dxa"/>
              <w:bottom w:w="70" w:type="dxa"/>
              <w:right w:w="80" w:type="dxa"/>
            </w:tcMar>
          </w:tcPr>
          <w:p w14:paraId="345AB3C5" w14:textId="77777777" w:rsidR="0085422C" w:rsidRDefault="00000000">
            <w:r>
              <w:rPr>
                <w:rFonts w:eastAsia="Noto Sans"/>
                <w:color w:val="24313D"/>
                <w:sz w:val="16"/>
              </w:rPr>
              <w:t>8-hour concentrated business window → 8.33 calls/s mean.</w:t>
            </w:r>
          </w:p>
        </w:tc>
      </w:tr>
      <w:tr w:rsidR="0085422C" w14:paraId="1934235C" w14:textId="77777777">
        <w:trPr>
          <w:cantSplit/>
          <w:jc w:val="center"/>
        </w:trPr>
        <w:tc>
          <w:tcPr>
            <w:tcW w:w="2088" w:type="dxa"/>
            <w:shd w:val="clear" w:color="auto" w:fill="F6F8FA"/>
            <w:tcMar>
              <w:top w:w="70" w:type="dxa"/>
              <w:left w:w="80" w:type="dxa"/>
              <w:bottom w:w="70" w:type="dxa"/>
              <w:right w:w="80" w:type="dxa"/>
            </w:tcMar>
          </w:tcPr>
          <w:p w14:paraId="6348C652" w14:textId="77777777" w:rsidR="0085422C" w:rsidRDefault="00000000">
            <w:r>
              <w:rPr>
                <w:rFonts w:eastAsia="Noto Sans"/>
                <w:b/>
                <w:color w:val="24313D"/>
                <w:sz w:val="16"/>
              </w:rPr>
              <w:t>Peak factor</w:t>
            </w:r>
          </w:p>
        </w:tc>
        <w:tc>
          <w:tcPr>
            <w:tcW w:w="7704" w:type="dxa"/>
            <w:shd w:val="clear" w:color="auto" w:fill="F6F8FA"/>
            <w:tcMar>
              <w:top w:w="70" w:type="dxa"/>
              <w:left w:w="80" w:type="dxa"/>
              <w:bottom w:w="70" w:type="dxa"/>
              <w:right w:w="80" w:type="dxa"/>
            </w:tcMar>
          </w:tcPr>
          <w:p w14:paraId="79ED21BC" w14:textId="77777777" w:rsidR="0085422C" w:rsidRDefault="00000000">
            <w:r>
              <w:rPr>
                <w:rFonts w:eastAsia="Noto Sans"/>
                <w:color w:val="24313D"/>
                <w:sz w:val="16"/>
              </w:rPr>
              <w:t>3× mean → 25 calls/s peak.</w:t>
            </w:r>
          </w:p>
        </w:tc>
      </w:tr>
      <w:tr w:rsidR="0085422C" w14:paraId="28F2C45E" w14:textId="77777777">
        <w:trPr>
          <w:cantSplit/>
          <w:jc w:val="center"/>
        </w:trPr>
        <w:tc>
          <w:tcPr>
            <w:tcW w:w="2088" w:type="dxa"/>
            <w:tcMar>
              <w:top w:w="70" w:type="dxa"/>
              <w:left w:w="80" w:type="dxa"/>
              <w:bottom w:w="70" w:type="dxa"/>
              <w:right w:w="80" w:type="dxa"/>
            </w:tcMar>
          </w:tcPr>
          <w:p w14:paraId="003D2FDB" w14:textId="77777777" w:rsidR="0085422C" w:rsidRDefault="00000000">
            <w:r>
              <w:rPr>
                <w:rFonts w:eastAsia="Noto Sans"/>
                <w:b/>
                <w:color w:val="24313D"/>
                <w:sz w:val="16"/>
              </w:rPr>
              <w:t>Traffic mix</w:t>
            </w:r>
          </w:p>
        </w:tc>
        <w:tc>
          <w:tcPr>
            <w:tcW w:w="7704" w:type="dxa"/>
            <w:tcMar>
              <w:top w:w="70" w:type="dxa"/>
              <w:left w:w="80" w:type="dxa"/>
              <w:bottom w:w="70" w:type="dxa"/>
              <w:right w:w="80" w:type="dxa"/>
            </w:tcMar>
          </w:tcPr>
          <w:p w14:paraId="46619736" w14:textId="77777777" w:rsidR="0085422C" w:rsidRDefault="00000000">
            <w:r>
              <w:rPr>
                <w:rFonts w:eastAsia="Noto Sans"/>
                <w:color w:val="24313D"/>
                <w:sz w:val="16"/>
              </w:rPr>
              <w:t>80% claims-assistant traffic (20 RPS peak); 20% complex-claims traffic (5 RPS peak).</w:t>
            </w:r>
          </w:p>
        </w:tc>
      </w:tr>
      <w:tr w:rsidR="0085422C" w14:paraId="23B336FF" w14:textId="77777777">
        <w:trPr>
          <w:cantSplit/>
          <w:jc w:val="center"/>
        </w:trPr>
        <w:tc>
          <w:tcPr>
            <w:tcW w:w="2088" w:type="dxa"/>
            <w:shd w:val="clear" w:color="auto" w:fill="F6F8FA"/>
            <w:tcMar>
              <w:top w:w="70" w:type="dxa"/>
              <w:left w:w="80" w:type="dxa"/>
              <w:bottom w:w="70" w:type="dxa"/>
              <w:right w:w="80" w:type="dxa"/>
            </w:tcMar>
          </w:tcPr>
          <w:p w14:paraId="04641288" w14:textId="77777777" w:rsidR="0085422C" w:rsidRDefault="00000000">
            <w:r>
              <w:rPr>
                <w:rFonts w:eastAsia="Noto Sans"/>
                <w:b/>
                <w:color w:val="24313D"/>
                <w:sz w:val="16"/>
              </w:rPr>
              <w:t>Availability</w:t>
            </w:r>
          </w:p>
        </w:tc>
        <w:tc>
          <w:tcPr>
            <w:tcW w:w="7704" w:type="dxa"/>
            <w:shd w:val="clear" w:color="auto" w:fill="F6F8FA"/>
            <w:tcMar>
              <w:top w:w="70" w:type="dxa"/>
              <w:left w:w="80" w:type="dxa"/>
              <w:bottom w:w="70" w:type="dxa"/>
              <w:right w:w="80" w:type="dxa"/>
            </w:tcMar>
          </w:tcPr>
          <w:p w14:paraId="0E27B0B8" w14:textId="77777777" w:rsidR="0085422C" w:rsidRDefault="00000000">
            <w:r>
              <w:rPr>
                <w:rFonts w:eastAsia="Noto Sans"/>
                <w:color w:val="24313D"/>
                <w:sz w:val="16"/>
              </w:rPr>
              <w:t>Each independently scalable service class carries one complete replica/group of reserve capacity.</w:t>
            </w:r>
          </w:p>
        </w:tc>
      </w:tr>
      <w:tr w:rsidR="0085422C" w14:paraId="46622D07" w14:textId="77777777">
        <w:trPr>
          <w:cantSplit/>
          <w:jc w:val="center"/>
        </w:trPr>
        <w:tc>
          <w:tcPr>
            <w:tcW w:w="2088" w:type="dxa"/>
            <w:tcMar>
              <w:top w:w="70" w:type="dxa"/>
              <w:left w:w="80" w:type="dxa"/>
              <w:bottom w:w="70" w:type="dxa"/>
              <w:right w:w="80" w:type="dxa"/>
            </w:tcMar>
          </w:tcPr>
          <w:p w14:paraId="2D51984C" w14:textId="77777777" w:rsidR="0085422C" w:rsidRDefault="00000000">
            <w:r>
              <w:rPr>
                <w:rFonts w:eastAsia="Noto Sans"/>
                <w:b/>
                <w:color w:val="24313D"/>
                <w:sz w:val="16"/>
              </w:rPr>
              <w:t>Latency contract</w:t>
            </w:r>
          </w:p>
        </w:tc>
        <w:tc>
          <w:tcPr>
            <w:tcW w:w="7704" w:type="dxa"/>
            <w:tcMar>
              <w:top w:w="70" w:type="dxa"/>
              <w:left w:w="80" w:type="dxa"/>
              <w:bottom w:w="70" w:type="dxa"/>
              <w:right w:w="80" w:type="dxa"/>
            </w:tcMar>
          </w:tcPr>
          <w:p w14:paraId="2E4C7646" w14:textId="77777777" w:rsidR="0085422C" w:rsidRDefault="00000000">
            <w:r>
              <w:rPr>
                <w:rFonts w:eastAsia="Noto Sans"/>
                <w:color w:val="24313D"/>
                <w:sz w:val="16"/>
              </w:rPr>
              <w:t xml:space="preserve">Claims assistant: TTFT ≤2.5 s, TPOT ≤45 </w:t>
            </w:r>
            <w:proofErr w:type="spellStart"/>
            <w:r>
              <w:rPr>
                <w:rFonts w:eastAsia="Noto Sans"/>
                <w:color w:val="24313D"/>
                <w:sz w:val="16"/>
              </w:rPr>
              <w:t>ms.</w:t>
            </w:r>
            <w:proofErr w:type="spellEnd"/>
            <w:r>
              <w:rPr>
                <w:rFonts w:eastAsia="Noto Sans"/>
                <w:color w:val="24313D"/>
                <w:sz w:val="16"/>
              </w:rPr>
              <w:t xml:space="preserve"> Complex claims: TTFT ≤5 s, TPOT ≤70 </w:t>
            </w:r>
            <w:proofErr w:type="spellStart"/>
            <w:r>
              <w:rPr>
                <w:rFonts w:eastAsia="Noto Sans"/>
                <w:color w:val="24313D"/>
                <w:sz w:val="16"/>
              </w:rPr>
              <w:t>ms.</w:t>
            </w:r>
            <w:proofErr w:type="spellEnd"/>
          </w:p>
        </w:tc>
      </w:tr>
    </w:tbl>
    <w:p w14:paraId="3F6637F7" w14:textId="77777777" w:rsidR="0085422C" w:rsidRDefault="0085422C">
      <w:pPr>
        <w:spacing w:after="20"/>
      </w:pPr>
    </w:p>
    <w:p w14:paraId="4F7DD113" w14:textId="77777777" w:rsidR="0085422C" w:rsidRDefault="00000000">
      <w:pPr>
        <w:spacing w:before="20" w:after="80"/>
      </w:pPr>
      <w:r>
        <w:rPr>
          <w:rFonts w:eastAsia="Noto Sans"/>
          <w:b/>
          <w:color w:val="66727D"/>
          <w:sz w:val="14"/>
        </w:rPr>
        <w:t xml:space="preserve">Source / note: </w:t>
      </w:r>
      <w:r>
        <w:rPr>
          <w:rFonts w:eastAsia="Noto Sans"/>
          <w:i/>
          <w:color w:val="66727D"/>
          <w:sz w:val="14"/>
        </w:rPr>
        <w:t>The user count is an enterprise-scale anchor only. Activity, call count, traffic mix, context/output lengths, model choices, node rates and inventory are scenario assumptions for sizing—not customer disclosures.</w:t>
      </w:r>
    </w:p>
    <w:p w14:paraId="28CAB7A5" w14:textId="77777777" w:rsidR="0085422C" w:rsidRDefault="00000000">
      <w:pPr>
        <w:keepNext/>
        <w:spacing w:before="60" w:after="60"/>
      </w:pPr>
      <w:r>
        <w:rPr>
          <w:rFonts w:eastAsia="Noto Sans"/>
          <w:b/>
          <w:color w:val="16324F"/>
          <w:sz w:val="25"/>
        </w:rPr>
        <w:t xml:space="preserve">Two </w:t>
      </w:r>
      <w:proofErr w:type="spellStart"/>
      <w:r>
        <w:rPr>
          <w:rFonts w:eastAsia="Noto Sans"/>
          <w:b/>
          <w:color w:val="16324F"/>
          <w:sz w:val="25"/>
        </w:rPr>
        <w:t>MoE</w:t>
      </w:r>
      <w:proofErr w:type="spellEnd"/>
      <w:r>
        <w:rPr>
          <w:rFonts w:eastAsia="Noto Sans"/>
          <w:b/>
          <w:color w:val="16324F"/>
          <w:sz w:val="25"/>
        </w:rPr>
        <w:t xml:space="preserve"> classes — different expert populations and precision pressure</w:t>
      </w:r>
    </w:p>
    <w:tbl>
      <w:tblPr>
        <w:tblStyle w:val="TableGrid"/>
        <w:tblW w:w="0" w:type="auto"/>
        <w:jc w:val="center"/>
        <w:tblLayout w:type="fixed"/>
        <w:tblLook w:val="04A0" w:firstRow="1" w:lastRow="0" w:firstColumn="1" w:lastColumn="0" w:noHBand="0" w:noVBand="1"/>
      </w:tblPr>
      <w:tblGrid>
        <w:gridCol w:w="2088"/>
        <w:gridCol w:w="3168"/>
        <w:gridCol w:w="2376"/>
        <w:gridCol w:w="3168"/>
      </w:tblGrid>
      <w:tr w:rsidR="0085422C" w14:paraId="76D2BF0E" w14:textId="77777777">
        <w:trPr>
          <w:tblHeader/>
          <w:jc w:val="center"/>
        </w:trPr>
        <w:tc>
          <w:tcPr>
            <w:tcW w:w="2088" w:type="dxa"/>
            <w:shd w:val="clear" w:color="auto" w:fill="16324F"/>
            <w:tcMar>
              <w:top w:w="80" w:type="dxa"/>
              <w:left w:w="90" w:type="dxa"/>
              <w:bottom w:w="80" w:type="dxa"/>
              <w:right w:w="90" w:type="dxa"/>
            </w:tcMar>
            <w:vAlign w:val="center"/>
          </w:tcPr>
          <w:p w14:paraId="03F40472" w14:textId="77777777" w:rsidR="0085422C" w:rsidRDefault="00000000">
            <w:r>
              <w:rPr>
                <w:rFonts w:eastAsia="Noto Sans"/>
                <w:b/>
                <w:color w:val="FFFFFF"/>
                <w:sz w:val="15"/>
              </w:rPr>
              <w:t>Model class</w:t>
            </w:r>
          </w:p>
        </w:tc>
        <w:tc>
          <w:tcPr>
            <w:tcW w:w="3168" w:type="dxa"/>
            <w:shd w:val="clear" w:color="auto" w:fill="16324F"/>
            <w:tcMar>
              <w:top w:w="80" w:type="dxa"/>
              <w:left w:w="90" w:type="dxa"/>
              <w:bottom w:w="80" w:type="dxa"/>
              <w:right w:w="90" w:type="dxa"/>
            </w:tcMar>
            <w:vAlign w:val="center"/>
          </w:tcPr>
          <w:p w14:paraId="435B322D" w14:textId="77777777" w:rsidR="0085422C" w:rsidRDefault="00000000">
            <w:r>
              <w:rPr>
                <w:rFonts w:eastAsia="Noto Sans"/>
                <w:b/>
                <w:color w:val="FFFFFF"/>
                <w:sz w:val="15"/>
              </w:rPr>
              <w:t>Published / chosen geometry</w:t>
            </w:r>
          </w:p>
        </w:tc>
        <w:tc>
          <w:tcPr>
            <w:tcW w:w="2376" w:type="dxa"/>
            <w:shd w:val="clear" w:color="auto" w:fill="16324F"/>
            <w:tcMar>
              <w:top w:w="80" w:type="dxa"/>
              <w:left w:w="90" w:type="dxa"/>
              <w:bottom w:w="80" w:type="dxa"/>
              <w:right w:w="90" w:type="dxa"/>
            </w:tcMar>
            <w:vAlign w:val="center"/>
          </w:tcPr>
          <w:p w14:paraId="1CA0BAFF" w14:textId="77777777" w:rsidR="0085422C" w:rsidRDefault="00000000">
            <w:r>
              <w:rPr>
                <w:rFonts w:eastAsia="Noto Sans"/>
                <w:b/>
                <w:color w:val="FFFFFF"/>
                <w:sz w:val="15"/>
              </w:rPr>
              <w:t>Routed-expert raw size</w:t>
            </w:r>
          </w:p>
        </w:tc>
        <w:tc>
          <w:tcPr>
            <w:tcW w:w="3168" w:type="dxa"/>
            <w:shd w:val="clear" w:color="auto" w:fill="16324F"/>
            <w:tcMar>
              <w:top w:w="80" w:type="dxa"/>
              <w:left w:w="90" w:type="dxa"/>
              <w:bottom w:w="80" w:type="dxa"/>
              <w:right w:w="90" w:type="dxa"/>
            </w:tcMar>
            <w:vAlign w:val="center"/>
          </w:tcPr>
          <w:p w14:paraId="5D328986" w14:textId="77777777" w:rsidR="0085422C" w:rsidRDefault="00000000">
            <w:r>
              <w:rPr>
                <w:rFonts w:eastAsia="Noto Sans"/>
                <w:b/>
                <w:color w:val="FFFFFF"/>
                <w:sz w:val="15"/>
              </w:rPr>
              <w:t>8-ATMOS implication</w:t>
            </w:r>
          </w:p>
        </w:tc>
      </w:tr>
      <w:tr w:rsidR="0085422C" w14:paraId="712C12CC" w14:textId="77777777">
        <w:trPr>
          <w:cantSplit/>
          <w:jc w:val="center"/>
        </w:trPr>
        <w:tc>
          <w:tcPr>
            <w:tcW w:w="2088" w:type="dxa"/>
            <w:tcMar>
              <w:top w:w="70" w:type="dxa"/>
              <w:left w:w="80" w:type="dxa"/>
              <w:bottom w:w="70" w:type="dxa"/>
              <w:right w:w="80" w:type="dxa"/>
            </w:tcMar>
          </w:tcPr>
          <w:p w14:paraId="0DF87313" w14:textId="77777777" w:rsidR="0085422C" w:rsidRDefault="00000000">
            <w:r>
              <w:rPr>
                <w:rFonts w:eastAsia="Noto Sans"/>
                <w:b/>
                <w:color w:val="24313D"/>
                <w:sz w:val="15"/>
              </w:rPr>
              <w:t>Qwen3-235B-A22B</w:t>
            </w:r>
          </w:p>
        </w:tc>
        <w:tc>
          <w:tcPr>
            <w:tcW w:w="3168" w:type="dxa"/>
            <w:tcMar>
              <w:top w:w="70" w:type="dxa"/>
              <w:left w:w="80" w:type="dxa"/>
              <w:bottom w:w="70" w:type="dxa"/>
              <w:right w:w="80" w:type="dxa"/>
            </w:tcMar>
          </w:tcPr>
          <w:p w14:paraId="0F636477" w14:textId="77777777" w:rsidR="0085422C" w:rsidRDefault="00000000">
            <w:r>
              <w:rPr>
                <w:rFonts w:eastAsia="Noto Sans"/>
                <w:color w:val="24313D"/>
                <w:sz w:val="15"/>
              </w:rPr>
              <w:t xml:space="preserve">235B total / ~22B active; 94 layers; 128 routed experts per </w:t>
            </w:r>
            <w:proofErr w:type="spellStart"/>
            <w:r>
              <w:rPr>
                <w:rFonts w:eastAsia="Noto Sans"/>
                <w:color w:val="24313D"/>
                <w:sz w:val="15"/>
              </w:rPr>
              <w:t>MoE</w:t>
            </w:r>
            <w:proofErr w:type="spellEnd"/>
            <w:r>
              <w:rPr>
                <w:rFonts w:eastAsia="Noto Sans"/>
                <w:color w:val="24313D"/>
                <w:sz w:val="15"/>
              </w:rPr>
              <w:t xml:space="preserve"> layer; </w:t>
            </w:r>
            <w:proofErr w:type="gramStart"/>
            <w:r>
              <w:rPr>
                <w:rFonts w:eastAsia="Noto Sans"/>
                <w:color w:val="24313D"/>
                <w:sz w:val="15"/>
              </w:rPr>
              <w:t>top-8</w:t>
            </w:r>
            <w:proofErr w:type="gramEnd"/>
            <w:r>
              <w:rPr>
                <w:rFonts w:eastAsia="Noto Sans"/>
                <w:color w:val="24313D"/>
                <w:sz w:val="15"/>
              </w:rPr>
              <w:t>.</w:t>
            </w:r>
          </w:p>
        </w:tc>
        <w:tc>
          <w:tcPr>
            <w:tcW w:w="2376" w:type="dxa"/>
            <w:tcMar>
              <w:top w:w="70" w:type="dxa"/>
              <w:left w:w="80" w:type="dxa"/>
              <w:bottom w:w="70" w:type="dxa"/>
              <w:right w:w="80" w:type="dxa"/>
            </w:tcMar>
          </w:tcPr>
          <w:p w14:paraId="7311E46C" w14:textId="77777777" w:rsidR="0085422C" w:rsidRDefault="00000000">
            <w:r>
              <w:rPr>
                <w:rFonts w:eastAsia="Noto Sans"/>
                <w:color w:val="24313D"/>
                <w:sz w:val="15"/>
              </w:rPr>
              <w:t>~227.1B routed-expert parameters → ~227 GB FP8 or ~454 GB at 16-bit.</w:t>
            </w:r>
          </w:p>
        </w:tc>
        <w:tc>
          <w:tcPr>
            <w:tcW w:w="3168" w:type="dxa"/>
            <w:tcMar>
              <w:top w:w="70" w:type="dxa"/>
              <w:left w:w="80" w:type="dxa"/>
              <w:bottom w:w="70" w:type="dxa"/>
              <w:right w:w="80" w:type="dxa"/>
            </w:tcMar>
          </w:tcPr>
          <w:p w14:paraId="1074F01C" w14:textId="77777777" w:rsidR="0085422C" w:rsidRDefault="00000000">
            <w:r>
              <w:rPr>
                <w:rFonts w:eastAsia="Noto Sans"/>
                <w:color w:val="24313D"/>
                <w:sz w:val="15"/>
              </w:rPr>
              <w:t>Both raw expert sets fit inside the 800-GB application HBF study budget, subject to pack/runtime reserve and per-device placement.</w:t>
            </w:r>
          </w:p>
        </w:tc>
      </w:tr>
      <w:tr w:rsidR="0085422C" w14:paraId="20B7F93E" w14:textId="77777777">
        <w:trPr>
          <w:cantSplit/>
          <w:jc w:val="center"/>
        </w:trPr>
        <w:tc>
          <w:tcPr>
            <w:tcW w:w="2088" w:type="dxa"/>
            <w:shd w:val="clear" w:color="auto" w:fill="F6F8FA"/>
            <w:tcMar>
              <w:top w:w="70" w:type="dxa"/>
              <w:left w:w="80" w:type="dxa"/>
              <w:bottom w:w="70" w:type="dxa"/>
              <w:right w:w="80" w:type="dxa"/>
            </w:tcMar>
          </w:tcPr>
          <w:p w14:paraId="42DA17E4" w14:textId="77777777" w:rsidR="0085422C" w:rsidRDefault="00000000">
            <w:r>
              <w:rPr>
                <w:rFonts w:eastAsia="Noto Sans"/>
                <w:b/>
                <w:color w:val="24313D"/>
                <w:sz w:val="15"/>
              </w:rPr>
              <w:t>DeepSeek-V3-class</w:t>
            </w:r>
          </w:p>
        </w:tc>
        <w:tc>
          <w:tcPr>
            <w:tcW w:w="3168" w:type="dxa"/>
            <w:shd w:val="clear" w:color="auto" w:fill="F6F8FA"/>
            <w:tcMar>
              <w:top w:w="70" w:type="dxa"/>
              <w:left w:w="80" w:type="dxa"/>
              <w:bottom w:w="70" w:type="dxa"/>
              <w:right w:w="80" w:type="dxa"/>
            </w:tcMar>
          </w:tcPr>
          <w:p w14:paraId="43D3625D" w14:textId="77777777" w:rsidR="0085422C" w:rsidRDefault="00000000">
            <w:r>
              <w:rPr>
                <w:rFonts w:eastAsia="Noto Sans"/>
                <w:color w:val="24313D"/>
                <w:sz w:val="15"/>
              </w:rPr>
              <w:t xml:space="preserve">~671B total / ~37B active; 61 layers, first 3 dense; 256 routed + 1 shared expert; </w:t>
            </w:r>
            <w:proofErr w:type="gramStart"/>
            <w:r>
              <w:rPr>
                <w:rFonts w:eastAsia="Noto Sans"/>
                <w:color w:val="24313D"/>
                <w:sz w:val="15"/>
              </w:rPr>
              <w:t>top-8</w:t>
            </w:r>
            <w:proofErr w:type="gramEnd"/>
            <w:r>
              <w:rPr>
                <w:rFonts w:eastAsia="Noto Sans"/>
                <w:color w:val="24313D"/>
                <w:sz w:val="15"/>
              </w:rPr>
              <w:t>.</w:t>
            </w:r>
          </w:p>
        </w:tc>
        <w:tc>
          <w:tcPr>
            <w:tcW w:w="2376" w:type="dxa"/>
            <w:shd w:val="clear" w:color="auto" w:fill="F6F8FA"/>
            <w:tcMar>
              <w:top w:w="70" w:type="dxa"/>
              <w:left w:w="80" w:type="dxa"/>
              <w:bottom w:w="70" w:type="dxa"/>
              <w:right w:w="80" w:type="dxa"/>
            </w:tcMar>
          </w:tcPr>
          <w:p w14:paraId="1F717024" w14:textId="77777777" w:rsidR="0085422C" w:rsidRDefault="00000000">
            <w:r>
              <w:rPr>
                <w:rFonts w:eastAsia="Noto Sans"/>
                <w:color w:val="24313D"/>
                <w:sz w:val="15"/>
              </w:rPr>
              <w:t>~653.9B routed-expert parameters → ~654 GB FP8 or ~1.308 TB at 16-bit. Shared expert excluded from this routed count.</w:t>
            </w:r>
          </w:p>
        </w:tc>
        <w:tc>
          <w:tcPr>
            <w:tcW w:w="3168" w:type="dxa"/>
            <w:shd w:val="clear" w:color="auto" w:fill="F6F8FA"/>
            <w:tcMar>
              <w:top w:w="70" w:type="dxa"/>
              <w:left w:w="80" w:type="dxa"/>
              <w:bottom w:w="70" w:type="dxa"/>
              <w:right w:w="80" w:type="dxa"/>
            </w:tcMar>
          </w:tcPr>
          <w:p w14:paraId="5DE7CD33" w14:textId="77777777" w:rsidR="0085422C" w:rsidRDefault="00000000">
            <w:r>
              <w:rPr>
                <w:rFonts w:eastAsia="Noto Sans"/>
                <w:color w:val="24313D"/>
                <w:sz w:val="15"/>
              </w:rPr>
              <w:t>FP8 routed experts plausibly fit in 8 ATMOS under the 800-GB study budget. 16-bit does not; use mixed placement or at least two hybrid nodes / more devices.</w:t>
            </w:r>
          </w:p>
        </w:tc>
      </w:tr>
    </w:tbl>
    <w:p w14:paraId="4CE17F96" w14:textId="77777777" w:rsidR="0085422C" w:rsidRDefault="0085422C">
      <w:pPr>
        <w:spacing w:after="20"/>
      </w:pPr>
    </w:p>
    <w:p w14:paraId="01E882F3" w14:textId="77777777" w:rsidR="0085422C" w:rsidRDefault="00000000">
      <w:pPr>
        <w:spacing w:before="20" w:after="80"/>
      </w:pPr>
      <w:r>
        <w:rPr>
          <w:rFonts w:eastAsia="Noto Sans"/>
          <w:b/>
          <w:color w:val="66727D"/>
          <w:sz w:val="14"/>
        </w:rPr>
        <w:t xml:space="preserve">Source / note: </w:t>
      </w:r>
      <w:r>
        <w:rPr>
          <w:rFonts w:eastAsia="Noto Sans"/>
          <w:i/>
          <w:color w:val="66727D"/>
          <w:sz w:val="14"/>
        </w:rPr>
        <w:t xml:space="preserve">Qwen geometry is from the published Qwen3-235B-A22B configuration (128 experts, </w:t>
      </w:r>
      <w:proofErr w:type="gramStart"/>
      <w:r>
        <w:rPr>
          <w:rFonts w:eastAsia="Noto Sans"/>
          <w:i/>
          <w:color w:val="66727D"/>
          <w:sz w:val="14"/>
        </w:rPr>
        <w:t>top-8</w:t>
      </w:r>
      <w:proofErr w:type="gramEnd"/>
      <w:r>
        <w:rPr>
          <w:rFonts w:eastAsia="Noto Sans"/>
          <w:i/>
          <w:color w:val="66727D"/>
          <w:sz w:val="14"/>
        </w:rPr>
        <w:t xml:space="preserve">, 94 layers, hidden 4096, </w:t>
      </w:r>
      <w:proofErr w:type="spellStart"/>
      <w:r>
        <w:rPr>
          <w:rFonts w:eastAsia="Noto Sans"/>
          <w:i/>
          <w:color w:val="66727D"/>
          <w:sz w:val="14"/>
        </w:rPr>
        <w:t>MoE</w:t>
      </w:r>
      <w:proofErr w:type="spellEnd"/>
      <w:r>
        <w:rPr>
          <w:rFonts w:eastAsia="Noto Sans"/>
          <w:i/>
          <w:color w:val="66727D"/>
          <w:sz w:val="14"/>
        </w:rPr>
        <w:t xml:space="preserve"> intermediate 1536). DeepSeek-V3 configuration publishes 256 routed experts, 1 shared expert, </w:t>
      </w:r>
      <w:proofErr w:type="gramStart"/>
      <w:r>
        <w:rPr>
          <w:rFonts w:eastAsia="Noto Sans"/>
          <w:i/>
          <w:color w:val="66727D"/>
          <w:sz w:val="14"/>
        </w:rPr>
        <w:t>top-8</w:t>
      </w:r>
      <w:proofErr w:type="gramEnd"/>
      <w:r>
        <w:rPr>
          <w:rFonts w:eastAsia="Noto Sans"/>
          <w:i/>
          <w:color w:val="66727D"/>
          <w:sz w:val="14"/>
        </w:rPr>
        <w:t xml:space="preserve"> and 61 layers with the first three dense. Raw bytes exclude scales, packing, metadata, shared tensors and replicas.</w:t>
      </w:r>
    </w:p>
    <w:tbl>
      <w:tblPr>
        <w:tblW w:w="0" w:type="auto"/>
        <w:jc w:val="center"/>
        <w:tblLook w:val="04A0" w:firstRow="1" w:lastRow="0" w:firstColumn="1" w:lastColumn="0" w:noHBand="0" w:noVBand="1"/>
      </w:tblPr>
      <w:tblGrid>
        <w:gridCol w:w="10368"/>
      </w:tblGrid>
      <w:tr w:rsidR="0085422C" w14:paraId="53359EB1" w14:textId="77777777">
        <w:trPr>
          <w:jc w:val="center"/>
        </w:trPr>
        <w:tc>
          <w:tcPr>
            <w:tcW w:w="10368" w:type="dxa"/>
            <w:shd w:val="clear" w:color="auto" w:fill="E8F5F3"/>
            <w:tcMar>
              <w:top w:w="120" w:type="dxa"/>
              <w:left w:w="150" w:type="dxa"/>
              <w:bottom w:w="120" w:type="dxa"/>
              <w:right w:w="150" w:type="dxa"/>
            </w:tcMar>
          </w:tcPr>
          <w:p w14:paraId="4FF45581" w14:textId="77777777" w:rsidR="0085422C" w:rsidRDefault="00000000">
            <w:pPr>
              <w:spacing w:after="40"/>
            </w:pPr>
            <w:r>
              <w:rPr>
                <w:rFonts w:eastAsia="Noto Sans"/>
                <w:b/>
                <w:color w:val="0D887F"/>
                <w:sz w:val="18"/>
              </w:rPr>
              <w:t>WHY THE 700B-CLASS FP8 CASE IS ESPECIALLY INTERESTING</w:t>
            </w:r>
          </w:p>
          <w:p w14:paraId="6B811CAA" w14:textId="77777777" w:rsidR="0085422C" w:rsidRDefault="00000000">
            <w:pPr>
              <w:spacing w:after="0" w:line="252" w:lineRule="auto"/>
            </w:pPr>
            <w:r>
              <w:rPr>
                <w:rFonts w:eastAsia="Noto Sans"/>
                <w:color w:val="24313D"/>
                <w:sz w:val="18"/>
              </w:rPr>
              <w:t>Eight RTX PRO 6000 GPUs provide 768 GB nominal distributed GDDR. A ~671-GB raw FP8 model leaves little practical room for KV, workspace and fragmentation. If ~654 GB of routed experts can instead live and execute on the eight ATMOS devices, the GPU side keeps a much smaller non-expert working set plus live KV. That changes the service geometry even if per-request latency does not improve.</w:t>
            </w:r>
          </w:p>
        </w:tc>
      </w:tr>
    </w:tbl>
    <w:p w14:paraId="4B15CC95" w14:textId="77777777" w:rsidR="0085422C" w:rsidRDefault="0085422C">
      <w:pPr>
        <w:spacing w:after="20"/>
      </w:pPr>
    </w:p>
    <w:p w14:paraId="1E5659A1" w14:textId="77777777" w:rsidR="0085422C" w:rsidRDefault="00000000">
      <w:r>
        <w:br w:type="page"/>
      </w:r>
    </w:p>
    <w:p w14:paraId="71B945BC" w14:textId="77777777" w:rsidR="0085422C" w:rsidRDefault="00000000">
      <w:pPr>
        <w:keepNext/>
        <w:spacing w:before="80" w:after="40"/>
      </w:pPr>
      <w:r>
        <w:rPr>
          <w:rFonts w:eastAsia="Noto Sans"/>
          <w:b/>
          <w:color w:val="A73545"/>
          <w:sz w:val="17"/>
        </w:rPr>
        <w:lastRenderedPageBreak/>
        <w:t>SAME DEMAND • SAME MODEL QUALITY • SAME LATENCY SLA</w:t>
      </w:r>
    </w:p>
    <w:p w14:paraId="6BB52BBD" w14:textId="77777777" w:rsidR="0085422C" w:rsidRDefault="00000000">
      <w:pPr>
        <w:keepNext/>
        <w:spacing w:before="100" w:after="100"/>
      </w:pPr>
      <w:r>
        <w:rPr>
          <w:rFonts w:eastAsia="Noto Sans"/>
          <w:b/>
          <w:color w:val="16324F"/>
          <w:sz w:val="36"/>
        </w:rPr>
        <w:t>Baseline and hybrid sizing</w:t>
      </w:r>
    </w:p>
    <w:p w14:paraId="205BE7D3" w14:textId="77777777" w:rsidR="0085422C" w:rsidRDefault="00000000">
      <w:pPr>
        <w:spacing w:after="100" w:line="259" w:lineRule="auto"/>
      </w:pPr>
      <w:r>
        <w:rPr>
          <w:sz w:val="18"/>
        </w:rPr>
        <w:t>The node rates below are explicit planning assumptions for the RTX calibration case and are replaced by measured complete-service rates. They are useful only to set an MVP economic threshold. NVIDIA NVL and AMD Helios are not sized by multiplying or reusing these node ratios.</w:t>
      </w:r>
    </w:p>
    <w:tbl>
      <w:tblPr>
        <w:tblStyle w:val="TableGrid"/>
        <w:tblW w:w="0" w:type="auto"/>
        <w:jc w:val="center"/>
        <w:tblLayout w:type="fixed"/>
        <w:tblLook w:val="04A0" w:firstRow="1" w:lastRow="0" w:firstColumn="1" w:lastColumn="0" w:noHBand="0" w:noVBand="1"/>
      </w:tblPr>
      <w:tblGrid>
        <w:gridCol w:w="1944"/>
        <w:gridCol w:w="2880"/>
        <w:gridCol w:w="3024"/>
        <w:gridCol w:w="1007"/>
        <w:gridCol w:w="1800"/>
      </w:tblGrid>
      <w:tr w:rsidR="0085422C" w14:paraId="47E5D344" w14:textId="77777777">
        <w:trPr>
          <w:tblHeader/>
          <w:jc w:val="center"/>
        </w:trPr>
        <w:tc>
          <w:tcPr>
            <w:tcW w:w="1944" w:type="dxa"/>
            <w:shd w:val="clear" w:color="auto" w:fill="16324F"/>
            <w:tcMar>
              <w:top w:w="80" w:type="dxa"/>
              <w:left w:w="90" w:type="dxa"/>
              <w:bottom w:w="80" w:type="dxa"/>
              <w:right w:w="90" w:type="dxa"/>
            </w:tcMar>
            <w:vAlign w:val="center"/>
          </w:tcPr>
          <w:p w14:paraId="00D94E5E" w14:textId="77777777" w:rsidR="0085422C" w:rsidRDefault="00000000">
            <w:r>
              <w:rPr>
                <w:rFonts w:eastAsia="Noto Sans"/>
                <w:b/>
                <w:color w:val="FFFFFF"/>
                <w:sz w:val="14"/>
              </w:rPr>
              <w:t>Service class</w:t>
            </w:r>
          </w:p>
        </w:tc>
        <w:tc>
          <w:tcPr>
            <w:tcW w:w="2880" w:type="dxa"/>
            <w:shd w:val="clear" w:color="auto" w:fill="16324F"/>
            <w:tcMar>
              <w:top w:w="80" w:type="dxa"/>
              <w:left w:w="90" w:type="dxa"/>
              <w:bottom w:w="80" w:type="dxa"/>
              <w:right w:w="90" w:type="dxa"/>
            </w:tcMar>
            <w:vAlign w:val="center"/>
          </w:tcPr>
          <w:p w14:paraId="2BA00EEB" w14:textId="77777777" w:rsidR="00846FAB" w:rsidRDefault="00000000">
            <w:r>
              <w:rPr>
                <w:b/>
                <w:color w:val="FFFFFF"/>
                <w:sz w:val="14"/>
              </w:rPr>
              <w:t>GPU-only RTX POC/MVP baseline</w:t>
            </w:r>
          </w:p>
        </w:tc>
        <w:tc>
          <w:tcPr>
            <w:tcW w:w="3024" w:type="dxa"/>
            <w:shd w:val="clear" w:color="auto" w:fill="16324F"/>
            <w:tcMar>
              <w:top w:w="80" w:type="dxa"/>
              <w:left w:w="90" w:type="dxa"/>
              <w:bottom w:w="80" w:type="dxa"/>
              <w:right w:w="90" w:type="dxa"/>
            </w:tcMar>
            <w:vAlign w:val="center"/>
          </w:tcPr>
          <w:p w14:paraId="36690BA3" w14:textId="77777777" w:rsidR="00846FAB" w:rsidRDefault="00000000">
            <w:r>
              <w:rPr>
                <w:b/>
                <w:color w:val="FFFFFF"/>
                <w:sz w:val="14"/>
              </w:rPr>
              <w:t>RTX + ATMOS MVP target case</w:t>
            </w:r>
          </w:p>
        </w:tc>
        <w:tc>
          <w:tcPr>
            <w:tcW w:w="1007" w:type="dxa"/>
            <w:shd w:val="clear" w:color="auto" w:fill="16324F"/>
            <w:tcMar>
              <w:top w:w="80" w:type="dxa"/>
              <w:left w:w="90" w:type="dxa"/>
              <w:bottom w:w="80" w:type="dxa"/>
              <w:right w:w="90" w:type="dxa"/>
            </w:tcMar>
            <w:vAlign w:val="center"/>
          </w:tcPr>
          <w:p w14:paraId="76F04F61" w14:textId="77777777" w:rsidR="0085422C" w:rsidRDefault="00000000">
            <w:r>
              <w:rPr>
                <w:rFonts w:eastAsia="Noto Sans"/>
                <w:b/>
                <w:color w:val="FFFFFF"/>
                <w:sz w:val="14"/>
              </w:rPr>
              <w:t>Peak demand</w:t>
            </w:r>
          </w:p>
        </w:tc>
        <w:tc>
          <w:tcPr>
            <w:tcW w:w="1800" w:type="dxa"/>
            <w:shd w:val="clear" w:color="auto" w:fill="16324F"/>
            <w:tcMar>
              <w:top w:w="80" w:type="dxa"/>
              <w:left w:w="90" w:type="dxa"/>
              <w:bottom w:w="80" w:type="dxa"/>
              <w:right w:w="90" w:type="dxa"/>
            </w:tcMar>
            <w:vAlign w:val="center"/>
          </w:tcPr>
          <w:p w14:paraId="7C2238B1" w14:textId="77777777" w:rsidR="0085422C" w:rsidRDefault="00000000">
            <w:r>
              <w:rPr>
                <w:rFonts w:eastAsia="Noto Sans"/>
                <w:b/>
                <w:color w:val="FFFFFF"/>
                <w:sz w:val="14"/>
              </w:rPr>
              <w:t>Nodes incl. one reserve</w:t>
            </w:r>
          </w:p>
        </w:tc>
      </w:tr>
      <w:tr w:rsidR="0085422C" w14:paraId="05513E96" w14:textId="77777777">
        <w:trPr>
          <w:cantSplit/>
          <w:jc w:val="center"/>
        </w:trPr>
        <w:tc>
          <w:tcPr>
            <w:tcW w:w="1944" w:type="dxa"/>
            <w:tcMar>
              <w:top w:w="70" w:type="dxa"/>
              <w:left w:w="80" w:type="dxa"/>
              <w:bottom w:w="70" w:type="dxa"/>
              <w:right w:w="80" w:type="dxa"/>
            </w:tcMar>
          </w:tcPr>
          <w:p w14:paraId="56E6A002" w14:textId="77777777" w:rsidR="0085422C" w:rsidRDefault="00000000">
            <w:r>
              <w:rPr>
                <w:rFonts w:eastAsia="Noto Sans"/>
                <w:b/>
                <w:color w:val="24313D"/>
                <w:sz w:val="14"/>
              </w:rPr>
              <w:t>Claims assistant — Qwen3-235B class</w:t>
            </w:r>
          </w:p>
        </w:tc>
        <w:tc>
          <w:tcPr>
            <w:tcW w:w="2880" w:type="dxa"/>
            <w:tcMar>
              <w:top w:w="70" w:type="dxa"/>
              <w:left w:w="80" w:type="dxa"/>
              <w:bottom w:w="70" w:type="dxa"/>
              <w:right w:w="80" w:type="dxa"/>
            </w:tcMar>
          </w:tcPr>
          <w:p w14:paraId="6895516E" w14:textId="77777777" w:rsidR="0085422C" w:rsidRDefault="00000000">
            <w:r>
              <w:rPr>
                <w:rFonts w:eastAsia="Noto Sans"/>
                <w:color w:val="24313D"/>
                <w:sz w:val="14"/>
              </w:rPr>
              <w:t>1 × 8-RTX node per replica; 1.3 accepted RPS/node at the SLO.</w:t>
            </w:r>
          </w:p>
        </w:tc>
        <w:tc>
          <w:tcPr>
            <w:tcW w:w="3024" w:type="dxa"/>
            <w:tcMar>
              <w:top w:w="70" w:type="dxa"/>
              <w:left w:w="80" w:type="dxa"/>
              <w:bottom w:w="70" w:type="dxa"/>
              <w:right w:w="80" w:type="dxa"/>
            </w:tcMar>
          </w:tcPr>
          <w:p w14:paraId="4361C798" w14:textId="77777777" w:rsidR="0085422C" w:rsidRDefault="00000000">
            <w:r>
              <w:rPr>
                <w:rFonts w:eastAsia="Noto Sans"/>
                <w:color w:val="24313D"/>
                <w:sz w:val="14"/>
              </w:rPr>
              <w:t>1 × 8-RTX + 8-ATMOS node; 2.2 accepted RPS/node target.</w:t>
            </w:r>
          </w:p>
        </w:tc>
        <w:tc>
          <w:tcPr>
            <w:tcW w:w="1007" w:type="dxa"/>
            <w:tcMar>
              <w:top w:w="70" w:type="dxa"/>
              <w:left w:w="80" w:type="dxa"/>
              <w:bottom w:w="70" w:type="dxa"/>
              <w:right w:w="80" w:type="dxa"/>
            </w:tcMar>
          </w:tcPr>
          <w:p w14:paraId="1932FBDF" w14:textId="77777777" w:rsidR="0085422C" w:rsidRDefault="00000000">
            <w:r>
              <w:rPr>
                <w:rFonts w:eastAsia="Noto Sans"/>
                <w:color w:val="24313D"/>
                <w:sz w:val="14"/>
              </w:rPr>
              <w:t>20 RPS</w:t>
            </w:r>
          </w:p>
        </w:tc>
        <w:tc>
          <w:tcPr>
            <w:tcW w:w="1800" w:type="dxa"/>
            <w:tcMar>
              <w:top w:w="70" w:type="dxa"/>
              <w:left w:w="80" w:type="dxa"/>
              <w:bottom w:w="70" w:type="dxa"/>
              <w:right w:w="80" w:type="dxa"/>
            </w:tcMar>
          </w:tcPr>
          <w:p w14:paraId="53F551D5" w14:textId="77777777" w:rsidR="0085422C" w:rsidRDefault="00000000">
            <w:r>
              <w:rPr>
                <w:rFonts w:eastAsia="Noto Sans"/>
                <w:color w:val="24313D"/>
                <w:sz w:val="14"/>
              </w:rPr>
              <w:t xml:space="preserve">GPU-only: 1 + </w:t>
            </w:r>
            <w:proofErr w:type="gramStart"/>
            <w:r>
              <w:rPr>
                <w:rFonts w:eastAsia="Noto Sans"/>
                <w:color w:val="24313D"/>
                <w:sz w:val="14"/>
              </w:rPr>
              <w:t>ceil(</w:t>
            </w:r>
            <w:proofErr w:type="gramEnd"/>
            <w:r>
              <w:rPr>
                <w:rFonts w:eastAsia="Noto Sans"/>
                <w:color w:val="24313D"/>
                <w:sz w:val="14"/>
              </w:rPr>
              <w:t>20/1.3) = 17</w:t>
            </w:r>
            <w:r>
              <w:rPr>
                <w:rFonts w:eastAsia="Noto Sans"/>
                <w:color w:val="24313D"/>
                <w:sz w:val="14"/>
              </w:rPr>
              <w:br/>
              <w:t xml:space="preserve">Hybrid: 1 + </w:t>
            </w:r>
            <w:proofErr w:type="gramStart"/>
            <w:r>
              <w:rPr>
                <w:rFonts w:eastAsia="Noto Sans"/>
                <w:color w:val="24313D"/>
                <w:sz w:val="14"/>
              </w:rPr>
              <w:t>ceil(</w:t>
            </w:r>
            <w:proofErr w:type="gramEnd"/>
            <w:r>
              <w:rPr>
                <w:rFonts w:eastAsia="Noto Sans"/>
                <w:color w:val="24313D"/>
                <w:sz w:val="14"/>
              </w:rPr>
              <w:t>20/2.2) = 11</w:t>
            </w:r>
          </w:p>
        </w:tc>
      </w:tr>
      <w:tr w:rsidR="0085422C" w14:paraId="35064933" w14:textId="77777777">
        <w:trPr>
          <w:cantSplit/>
          <w:jc w:val="center"/>
        </w:trPr>
        <w:tc>
          <w:tcPr>
            <w:tcW w:w="1944" w:type="dxa"/>
            <w:shd w:val="clear" w:color="auto" w:fill="F3F6F8"/>
            <w:tcMar>
              <w:top w:w="70" w:type="dxa"/>
              <w:left w:w="80" w:type="dxa"/>
              <w:bottom w:w="70" w:type="dxa"/>
              <w:right w:w="80" w:type="dxa"/>
            </w:tcMar>
          </w:tcPr>
          <w:p w14:paraId="18DAAAAE" w14:textId="77777777" w:rsidR="0085422C" w:rsidRDefault="00000000">
            <w:r>
              <w:rPr>
                <w:rFonts w:eastAsia="Noto Sans"/>
                <w:b/>
                <w:color w:val="24313D"/>
                <w:sz w:val="14"/>
              </w:rPr>
              <w:t xml:space="preserve">Complex claims — ~671B FP8 </w:t>
            </w:r>
            <w:proofErr w:type="spellStart"/>
            <w:r>
              <w:rPr>
                <w:rFonts w:eastAsia="Noto Sans"/>
                <w:b/>
                <w:color w:val="24313D"/>
                <w:sz w:val="14"/>
              </w:rPr>
              <w:t>MoE</w:t>
            </w:r>
            <w:proofErr w:type="spellEnd"/>
          </w:p>
        </w:tc>
        <w:tc>
          <w:tcPr>
            <w:tcW w:w="2880" w:type="dxa"/>
            <w:shd w:val="clear" w:color="auto" w:fill="F3F6F8"/>
            <w:tcMar>
              <w:top w:w="70" w:type="dxa"/>
              <w:left w:w="80" w:type="dxa"/>
              <w:bottom w:w="70" w:type="dxa"/>
              <w:right w:w="80" w:type="dxa"/>
            </w:tcMar>
          </w:tcPr>
          <w:p w14:paraId="17D292CE" w14:textId="77777777" w:rsidR="0085422C" w:rsidRDefault="00000000">
            <w:r>
              <w:rPr>
                <w:rFonts w:eastAsia="Noto Sans"/>
                <w:color w:val="24313D"/>
                <w:sz w:val="14"/>
              </w:rPr>
              <w:t>2 × 8-RTX nodes per complete replica/group; 0.7 accepted RPS per two-node group.</w:t>
            </w:r>
          </w:p>
        </w:tc>
        <w:tc>
          <w:tcPr>
            <w:tcW w:w="3024" w:type="dxa"/>
            <w:shd w:val="clear" w:color="auto" w:fill="F3F6F8"/>
            <w:tcMar>
              <w:top w:w="70" w:type="dxa"/>
              <w:left w:w="80" w:type="dxa"/>
              <w:bottom w:w="70" w:type="dxa"/>
              <w:right w:w="80" w:type="dxa"/>
            </w:tcMar>
          </w:tcPr>
          <w:p w14:paraId="0456A828" w14:textId="77777777" w:rsidR="0085422C" w:rsidRDefault="00000000">
            <w:r>
              <w:rPr>
                <w:rFonts w:eastAsia="Noto Sans"/>
                <w:color w:val="24313D"/>
                <w:sz w:val="14"/>
              </w:rPr>
              <w:t>1 hybrid node if the FP8 routed-expert pack and non-expert GPU state fit; 0.7 accepted RPS/node target.</w:t>
            </w:r>
          </w:p>
        </w:tc>
        <w:tc>
          <w:tcPr>
            <w:tcW w:w="1007" w:type="dxa"/>
            <w:shd w:val="clear" w:color="auto" w:fill="F3F6F8"/>
            <w:tcMar>
              <w:top w:w="70" w:type="dxa"/>
              <w:left w:w="80" w:type="dxa"/>
              <w:bottom w:w="70" w:type="dxa"/>
              <w:right w:w="80" w:type="dxa"/>
            </w:tcMar>
          </w:tcPr>
          <w:p w14:paraId="0B7DA64E" w14:textId="77777777" w:rsidR="0085422C" w:rsidRDefault="00000000">
            <w:r>
              <w:rPr>
                <w:rFonts w:eastAsia="Noto Sans"/>
                <w:color w:val="24313D"/>
                <w:sz w:val="14"/>
              </w:rPr>
              <w:t>5 RPS</w:t>
            </w:r>
          </w:p>
        </w:tc>
        <w:tc>
          <w:tcPr>
            <w:tcW w:w="1800" w:type="dxa"/>
            <w:shd w:val="clear" w:color="auto" w:fill="F3F6F8"/>
            <w:tcMar>
              <w:top w:w="70" w:type="dxa"/>
              <w:left w:w="80" w:type="dxa"/>
              <w:bottom w:w="70" w:type="dxa"/>
              <w:right w:w="80" w:type="dxa"/>
            </w:tcMar>
          </w:tcPr>
          <w:p w14:paraId="6E61B269" w14:textId="77777777" w:rsidR="0085422C" w:rsidRDefault="00000000">
            <w:r>
              <w:rPr>
                <w:rFonts w:eastAsia="Noto Sans"/>
                <w:color w:val="24313D"/>
                <w:sz w:val="14"/>
              </w:rPr>
              <w:t xml:space="preserve">GPU-only: [1 + </w:t>
            </w:r>
            <w:proofErr w:type="gramStart"/>
            <w:r>
              <w:rPr>
                <w:rFonts w:eastAsia="Noto Sans"/>
                <w:color w:val="24313D"/>
                <w:sz w:val="14"/>
              </w:rPr>
              <w:t>ceil(</w:t>
            </w:r>
            <w:proofErr w:type="gramEnd"/>
            <w:r>
              <w:rPr>
                <w:rFonts w:eastAsia="Noto Sans"/>
                <w:color w:val="24313D"/>
                <w:sz w:val="14"/>
              </w:rPr>
              <w:t>5/0.7)] × 2 = 18</w:t>
            </w:r>
            <w:r>
              <w:rPr>
                <w:rFonts w:eastAsia="Noto Sans"/>
                <w:color w:val="24313D"/>
                <w:sz w:val="14"/>
              </w:rPr>
              <w:br/>
              <w:t xml:space="preserve">Hybrid: 1 + </w:t>
            </w:r>
            <w:proofErr w:type="gramStart"/>
            <w:r>
              <w:rPr>
                <w:rFonts w:eastAsia="Noto Sans"/>
                <w:color w:val="24313D"/>
                <w:sz w:val="14"/>
              </w:rPr>
              <w:t>ceil(</w:t>
            </w:r>
            <w:proofErr w:type="gramEnd"/>
            <w:r>
              <w:rPr>
                <w:rFonts w:eastAsia="Noto Sans"/>
                <w:color w:val="24313D"/>
                <w:sz w:val="14"/>
              </w:rPr>
              <w:t>5/0.7) = 9</w:t>
            </w:r>
          </w:p>
        </w:tc>
      </w:tr>
      <w:tr w:rsidR="0085422C" w14:paraId="1E505ADB" w14:textId="77777777">
        <w:trPr>
          <w:cantSplit/>
          <w:jc w:val="center"/>
        </w:trPr>
        <w:tc>
          <w:tcPr>
            <w:tcW w:w="1944" w:type="dxa"/>
            <w:tcMar>
              <w:top w:w="70" w:type="dxa"/>
              <w:left w:w="80" w:type="dxa"/>
              <w:bottom w:w="70" w:type="dxa"/>
              <w:right w:w="80" w:type="dxa"/>
            </w:tcMar>
          </w:tcPr>
          <w:p w14:paraId="4D330850" w14:textId="77777777" w:rsidR="0085422C" w:rsidRDefault="00000000">
            <w:r>
              <w:rPr>
                <w:rFonts w:eastAsia="Noto Sans"/>
                <w:b/>
                <w:color w:val="24313D"/>
                <w:sz w:val="14"/>
              </w:rPr>
              <w:t>TOTAL</w:t>
            </w:r>
          </w:p>
        </w:tc>
        <w:tc>
          <w:tcPr>
            <w:tcW w:w="2880" w:type="dxa"/>
            <w:tcMar>
              <w:top w:w="70" w:type="dxa"/>
              <w:left w:w="80" w:type="dxa"/>
              <w:bottom w:w="70" w:type="dxa"/>
              <w:right w:w="80" w:type="dxa"/>
            </w:tcMar>
          </w:tcPr>
          <w:p w14:paraId="39D2B649" w14:textId="77777777" w:rsidR="0085422C" w:rsidRDefault="00000000">
            <w:r>
              <w:rPr>
                <w:rFonts w:eastAsia="Noto Sans"/>
                <w:color w:val="24313D"/>
                <w:sz w:val="14"/>
              </w:rPr>
              <w:t>35 RTX servers = 280 RTX GPUs</w:t>
            </w:r>
          </w:p>
        </w:tc>
        <w:tc>
          <w:tcPr>
            <w:tcW w:w="3024" w:type="dxa"/>
            <w:tcMar>
              <w:top w:w="70" w:type="dxa"/>
              <w:left w:w="80" w:type="dxa"/>
              <w:bottom w:w="70" w:type="dxa"/>
              <w:right w:w="80" w:type="dxa"/>
            </w:tcMar>
          </w:tcPr>
          <w:p w14:paraId="63A7E476" w14:textId="77777777" w:rsidR="0085422C" w:rsidRDefault="00000000">
            <w:r>
              <w:rPr>
                <w:rFonts w:eastAsia="Noto Sans"/>
                <w:color w:val="24313D"/>
                <w:sz w:val="14"/>
              </w:rPr>
              <w:t>20 hybrid servers = 160 RTX GPUs + 160 ATMOS modules</w:t>
            </w:r>
          </w:p>
        </w:tc>
        <w:tc>
          <w:tcPr>
            <w:tcW w:w="1007" w:type="dxa"/>
            <w:tcMar>
              <w:top w:w="70" w:type="dxa"/>
              <w:left w:w="80" w:type="dxa"/>
              <w:bottom w:w="70" w:type="dxa"/>
              <w:right w:w="80" w:type="dxa"/>
            </w:tcMar>
          </w:tcPr>
          <w:p w14:paraId="3AF469D2" w14:textId="77777777" w:rsidR="0085422C" w:rsidRDefault="00000000">
            <w:r>
              <w:rPr>
                <w:rFonts w:eastAsia="Noto Sans"/>
                <w:color w:val="24313D"/>
                <w:sz w:val="14"/>
              </w:rPr>
              <w:t>25 RPS</w:t>
            </w:r>
          </w:p>
        </w:tc>
        <w:tc>
          <w:tcPr>
            <w:tcW w:w="1800" w:type="dxa"/>
            <w:tcMar>
              <w:top w:w="70" w:type="dxa"/>
              <w:left w:w="80" w:type="dxa"/>
              <w:bottom w:w="70" w:type="dxa"/>
              <w:right w:w="80" w:type="dxa"/>
            </w:tcMar>
          </w:tcPr>
          <w:p w14:paraId="4D8C66CB" w14:textId="77777777" w:rsidR="0085422C" w:rsidRDefault="00000000">
            <w:r>
              <w:rPr>
                <w:rFonts w:eastAsia="Noto Sans"/>
                <w:color w:val="24313D"/>
                <w:sz w:val="14"/>
              </w:rPr>
              <w:t>43% fewer servers and 120 fewer RTX GPUs in the target case</w:t>
            </w:r>
          </w:p>
        </w:tc>
      </w:tr>
    </w:tbl>
    <w:p w14:paraId="0BBA469F" w14:textId="77777777" w:rsidR="0085422C" w:rsidRDefault="0085422C">
      <w:pPr>
        <w:spacing w:after="20"/>
      </w:pPr>
    </w:p>
    <w:tbl>
      <w:tblPr>
        <w:tblStyle w:val="TableGrid"/>
        <w:tblW w:w="0" w:type="auto"/>
        <w:tblLook w:val="04A0" w:firstRow="1" w:lastRow="0" w:firstColumn="1" w:lastColumn="0" w:noHBand="0" w:noVBand="1"/>
      </w:tblPr>
      <w:tblGrid>
        <w:gridCol w:w="10358"/>
      </w:tblGrid>
      <w:tr w:rsidR="005A5290" w14:paraId="519247F3" w14:textId="77777777" w:rsidTr="005A5290">
        <w:tc>
          <w:tcPr>
            <w:tcW w:w="10584" w:type="dxa"/>
          </w:tcPr>
          <w:p w14:paraId="16302F46" w14:textId="43C33E93" w:rsidR="005A5290" w:rsidRDefault="005A5290">
            <w:pPr>
              <w:spacing w:after="40"/>
              <w:jc w:val="center"/>
            </w:pPr>
            <w:r>
              <w:rPr>
                <w:noProof/>
              </w:rPr>
              <w:drawing>
                <wp:inline distT="0" distB="0" distL="0" distR="0" wp14:anchorId="34445D47" wp14:editId="3DBB3865">
                  <wp:extent cx="5989320" cy="3559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surance_fleet.png"/>
                          <pic:cNvPicPr/>
                        </pic:nvPicPr>
                        <pic:blipFill>
                          <a:blip r:embed="rId13"/>
                          <a:stretch>
                            <a:fillRect/>
                          </a:stretch>
                        </pic:blipFill>
                        <pic:spPr>
                          <a:xfrm>
                            <a:off x="0" y="0"/>
                            <a:ext cx="5989320" cy="3559871"/>
                          </a:xfrm>
                          <a:prstGeom prst="rect">
                            <a:avLst/>
                          </a:prstGeom>
                        </pic:spPr>
                      </pic:pic>
                    </a:graphicData>
                  </a:graphic>
                </wp:inline>
              </w:drawing>
            </w:r>
          </w:p>
        </w:tc>
      </w:tr>
    </w:tbl>
    <w:p w14:paraId="04340B0C" w14:textId="4F8D5B44" w:rsidR="0085422C" w:rsidRDefault="0085422C">
      <w:pPr>
        <w:spacing w:after="40"/>
        <w:jc w:val="center"/>
      </w:pPr>
    </w:p>
    <w:p w14:paraId="5B987132" w14:textId="77777777" w:rsidR="0085422C" w:rsidRDefault="00000000">
      <w:pPr>
        <w:spacing w:after="100"/>
        <w:jc w:val="center"/>
      </w:pPr>
      <w:r>
        <w:rPr>
          <w:i/>
          <w:color w:val="66727D"/>
          <w:sz w:val="16"/>
        </w:rPr>
        <w:t>Figure 4. RTX MVP calibration only. The large-model benefit comes primarily from changing the complete replica geometry; the Qwen-class benefit also assumes higher accepted rate per hybrid node. Rack-scale NVL/Helios results must be re-measured from their own control configurations.</w:t>
      </w:r>
    </w:p>
    <w:p w14:paraId="023B80F5" w14:textId="77777777" w:rsidR="0085422C" w:rsidRDefault="00000000">
      <w:pPr>
        <w:keepNext/>
        <w:spacing w:before="60" w:after="60"/>
      </w:pPr>
      <w:r>
        <w:rPr>
          <w:rFonts w:eastAsia="Noto Sans"/>
          <w:b/>
          <w:color w:val="16324F"/>
          <w:sz w:val="25"/>
        </w:rPr>
        <w:t>Sensitivity: how much node improvement is required to justify the hybrid premium?</w:t>
      </w:r>
    </w:p>
    <w:p w14:paraId="3FCED8CC" w14:textId="77777777" w:rsidR="0085422C" w:rsidRDefault="00000000">
      <w:pPr>
        <w:spacing w:after="100" w:line="259" w:lineRule="auto"/>
      </w:pPr>
      <w:r>
        <w:rPr>
          <w:rFonts w:eastAsia="Noto Sans"/>
          <w:color w:val="24313D"/>
          <w:sz w:val="18"/>
        </w:rPr>
        <w:t>Normalize a GPU-only node’s comparable three-year cost to 100 units and assume the hybrid node costs 120 units after ATMOS modules, switch, power/support and platform overhead. Integration NRE is accounted separately. The table shows why the program needs service-rate evidence rather than a capacity-only story.</w:t>
      </w:r>
    </w:p>
    <w:tbl>
      <w:tblPr>
        <w:tblStyle w:val="TableGrid"/>
        <w:tblW w:w="0" w:type="auto"/>
        <w:jc w:val="center"/>
        <w:tblLayout w:type="fixed"/>
        <w:tblLook w:val="04A0" w:firstRow="1" w:lastRow="0" w:firstColumn="1" w:lastColumn="0" w:noHBand="0" w:noVBand="1"/>
      </w:tblPr>
      <w:tblGrid>
        <w:gridCol w:w="1800"/>
        <w:gridCol w:w="2016"/>
        <w:gridCol w:w="2304"/>
        <w:gridCol w:w="1440"/>
        <w:gridCol w:w="1440"/>
        <w:gridCol w:w="2880"/>
      </w:tblGrid>
      <w:tr w:rsidR="0085422C" w14:paraId="00F430ED" w14:textId="77777777">
        <w:trPr>
          <w:tblHeader/>
          <w:jc w:val="center"/>
        </w:trPr>
        <w:tc>
          <w:tcPr>
            <w:tcW w:w="1800" w:type="dxa"/>
            <w:shd w:val="clear" w:color="auto" w:fill="16324F"/>
            <w:tcMar>
              <w:top w:w="80" w:type="dxa"/>
              <w:left w:w="90" w:type="dxa"/>
              <w:bottom w:w="80" w:type="dxa"/>
              <w:right w:w="90" w:type="dxa"/>
            </w:tcMar>
            <w:vAlign w:val="center"/>
          </w:tcPr>
          <w:p w14:paraId="7D5FE0E0" w14:textId="77777777" w:rsidR="0085422C" w:rsidRDefault="00000000">
            <w:r>
              <w:rPr>
                <w:rFonts w:eastAsia="Noto Sans"/>
                <w:b/>
                <w:color w:val="FFFFFF"/>
                <w:sz w:val="15"/>
              </w:rPr>
              <w:lastRenderedPageBreak/>
              <w:t>Case</w:t>
            </w:r>
          </w:p>
        </w:tc>
        <w:tc>
          <w:tcPr>
            <w:tcW w:w="2016" w:type="dxa"/>
            <w:shd w:val="clear" w:color="auto" w:fill="16324F"/>
            <w:tcMar>
              <w:top w:w="80" w:type="dxa"/>
              <w:left w:w="90" w:type="dxa"/>
              <w:bottom w:w="80" w:type="dxa"/>
              <w:right w:w="90" w:type="dxa"/>
            </w:tcMar>
            <w:vAlign w:val="center"/>
          </w:tcPr>
          <w:p w14:paraId="6242EF41" w14:textId="77777777" w:rsidR="0085422C" w:rsidRDefault="00000000">
            <w:r>
              <w:rPr>
                <w:rFonts w:eastAsia="Noto Sans"/>
                <w:b/>
                <w:color w:val="FFFFFF"/>
                <w:sz w:val="15"/>
              </w:rPr>
              <w:t>Qwen hybrid qualified rate</w:t>
            </w:r>
          </w:p>
        </w:tc>
        <w:tc>
          <w:tcPr>
            <w:tcW w:w="2304" w:type="dxa"/>
            <w:shd w:val="clear" w:color="auto" w:fill="16324F"/>
            <w:tcMar>
              <w:top w:w="80" w:type="dxa"/>
              <w:left w:w="90" w:type="dxa"/>
              <w:bottom w:w="80" w:type="dxa"/>
              <w:right w:w="90" w:type="dxa"/>
            </w:tcMar>
            <w:vAlign w:val="center"/>
          </w:tcPr>
          <w:p w14:paraId="3CE17072" w14:textId="77777777" w:rsidR="0085422C" w:rsidRDefault="00000000">
            <w:r>
              <w:rPr>
                <w:rFonts w:eastAsia="Noto Sans"/>
                <w:b/>
                <w:color w:val="FFFFFF"/>
                <w:sz w:val="15"/>
              </w:rPr>
              <w:t>Large-</w:t>
            </w:r>
            <w:proofErr w:type="spellStart"/>
            <w:r>
              <w:rPr>
                <w:rFonts w:eastAsia="Noto Sans"/>
                <w:b/>
                <w:color w:val="FFFFFF"/>
                <w:sz w:val="15"/>
              </w:rPr>
              <w:t>MoE</w:t>
            </w:r>
            <w:proofErr w:type="spellEnd"/>
            <w:r>
              <w:rPr>
                <w:rFonts w:eastAsia="Noto Sans"/>
                <w:b/>
                <w:color w:val="FFFFFF"/>
                <w:sz w:val="15"/>
              </w:rPr>
              <w:t xml:space="preserve"> hybrid qualified rate</w:t>
            </w:r>
          </w:p>
        </w:tc>
        <w:tc>
          <w:tcPr>
            <w:tcW w:w="1440" w:type="dxa"/>
            <w:shd w:val="clear" w:color="auto" w:fill="16324F"/>
            <w:tcMar>
              <w:top w:w="80" w:type="dxa"/>
              <w:left w:w="90" w:type="dxa"/>
              <w:bottom w:w="80" w:type="dxa"/>
              <w:right w:w="90" w:type="dxa"/>
            </w:tcMar>
            <w:vAlign w:val="center"/>
          </w:tcPr>
          <w:p w14:paraId="2FA3AB78" w14:textId="77777777" w:rsidR="0085422C" w:rsidRDefault="00000000">
            <w:r>
              <w:rPr>
                <w:rFonts w:eastAsia="Noto Sans"/>
                <w:b/>
                <w:color w:val="FFFFFF"/>
                <w:sz w:val="15"/>
              </w:rPr>
              <w:t>Hybrid fleet</w:t>
            </w:r>
          </w:p>
        </w:tc>
        <w:tc>
          <w:tcPr>
            <w:tcW w:w="1440" w:type="dxa"/>
            <w:shd w:val="clear" w:color="auto" w:fill="16324F"/>
            <w:tcMar>
              <w:top w:w="80" w:type="dxa"/>
              <w:left w:w="90" w:type="dxa"/>
              <w:bottom w:w="80" w:type="dxa"/>
              <w:right w:w="90" w:type="dxa"/>
            </w:tcMar>
            <w:vAlign w:val="center"/>
          </w:tcPr>
          <w:p w14:paraId="34F5DD35" w14:textId="77777777" w:rsidR="0085422C" w:rsidRDefault="00000000">
            <w:r>
              <w:rPr>
                <w:rFonts w:eastAsia="Noto Sans"/>
                <w:b/>
                <w:color w:val="FFFFFF"/>
                <w:sz w:val="15"/>
              </w:rPr>
              <w:t>Node reduction</w:t>
            </w:r>
          </w:p>
        </w:tc>
        <w:tc>
          <w:tcPr>
            <w:tcW w:w="2880" w:type="dxa"/>
            <w:shd w:val="clear" w:color="auto" w:fill="16324F"/>
            <w:tcMar>
              <w:top w:w="80" w:type="dxa"/>
              <w:left w:w="90" w:type="dxa"/>
              <w:bottom w:w="80" w:type="dxa"/>
              <w:right w:w="90" w:type="dxa"/>
            </w:tcMar>
            <w:vAlign w:val="center"/>
          </w:tcPr>
          <w:p w14:paraId="57340016" w14:textId="77777777" w:rsidR="0085422C" w:rsidRDefault="00000000">
            <w:r>
              <w:rPr>
                <w:rFonts w:eastAsia="Noto Sans"/>
                <w:b/>
                <w:color w:val="FFFFFF"/>
                <w:sz w:val="15"/>
              </w:rPr>
              <w:t>Comparable cost vs GPU-only</w:t>
            </w:r>
          </w:p>
        </w:tc>
      </w:tr>
      <w:tr w:rsidR="0085422C" w14:paraId="6D4B46BD" w14:textId="77777777">
        <w:trPr>
          <w:cantSplit/>
          <w:jc w:val="center"/>
        </w:trPr>
        <w:tc>
          <w:tcPr>
            <w:tcW w:w="1800" w:type="dxa"/>
            <w:tcMar>
              <w:top w:w="70" w:type="dxa"/>
              <w:left w:w="80" w:type="dxa"/>
              <w:bottom w:w="70" w:type="dxa"/>
              <w:right w:w="80" w:type="dxa"/>
            </w:tcMar>
          </w:tcPr>
          <w:p w14:paraId="33059AE9" w14:textId="77777777" w:rsidR="0085422C" w:rsidRDefault="00000000">
            <w:r>
              <w:rPr>
                <w:rFonts w:eastAsia="Noto Sans"/>
                <w:b/>
                <w:color w:val="24313D"/>
                <w:sz w:val="15"/>
              </w:rPr>
              <w:t>Minimum useful</w:t>
            </w:r>
          </w:p>
        </w:tc>
        <w:tc>
          <w:tcPr>
            <w:tcW w:w="2016" w:type="dxa"/>
            <w:tcMar>
              <w:top w:w="70" w:type="dxa"/>
              <w:left w:w="80" w:type="dxa"/>
              <w:bottom w:w="70" w:type="dxa"/>
              <w:right w:w="80" w:type="dxa"/>
            </w:tcMar>
          </w:tcPr>
          <w:p w14:paraId="7914B9EE" w14:textId="77777777" w:rsidR="0085422C" w:rsidRDefault="00000000">
            <w:r>
              <w:rPr>
                <w:rFonts w:eastAsia="Noto Sans"/>
                <w:color w:val="24313D"/>
                <w:sz w:val="15"/>
              </w:rPr>
              <w:t>1.7 RPS/node</w:t>
            </w:r>
          </w:p>
        </w:tc>
        <w:tc>
          <w:tcPr>
            <w:tcW w:w="2304" w:type="dxa"/>
            <w:tcMar>
              <w:top w:w="70" w:type="dxa"/>
              <w:left w:w="80" w:type="dxa"/>
              <w:bottom w:w="70" w:type="dxa"/>
              <w:right w:w="80" w:type="dxa"/>
            </w:tcMar>
          </w:tcPr>
          <w:p w14:paraId="2B2DCA46" w14:textId="77777777" w:rsidR="0085422C" w:rsidRDefault="00000000">
            <w:r>
              <w:rPr>
                <w:rFonts w:eastAsia="Noto Sans"/>
                <w:color w:val="24313D"/>
                <w:sz w:val="15"/>
              </w:rPr>
              <w:t>0.55 RPS/node</w:t>
            </w:r>
          </w:p>
        </w:tc>
        <w:tc>
          <w:tcPr>
            <w:tcW w:w="1440" w:type="dxa"/>
            <w:tcMar>
              <w:top w:w="70" w:type="dxa"/>
              <w:left w:w="80" w:type="dxa"/>
              <w:bottom w:w="70" w:type="dxa"/>
              <w:right w:w="80" w:type="dxa"/>
            </w:tcMar>
          </w:tcPr>
          <w:p w14:paraId="16B5A364" w14:textId="77777777" w:rsidR="0085422C" w:rsidRDefault="00000000">
            <w:r>
              <w:rPr>
                <w:rFonts w:eastAsia="Noto Sans"/>
                <w:color w:val="24313D"/>
                <w:sz w:val="15"/>
              </w:rPr>
              <w:t>24 nodes</w:t>
            </w:r>
          </w:p>
        </w:tc>
        <w:tc>
          <w:tcPr>
            <w:tcW w:w="1440" w:type="dxa"/>
            <w:tcMar>
              <w:top w:w="70" w:type="dxa"/>
              <w:left w:w="80" w:type="dxa"/>
              <w:bottom w:w="70" w:type="dxa"/>
              <w:right w:w="80" w:type="dxa"/>
            </w:tcMar>
          </w:tcPr>
          <w:p w14:paraId="514A0380" w14:textId="77777777" w:rsidR="0085422C" w:rsidRDefault="00000000">
            <w:r>
              <w:rPr>
                <w:rFonts w:eastAsia="Noto Sans"/>
                <w:color w:val="24313D"/>
                <w:sz w:val="15"/>
              </w:rPr>
              <w:t>31%</w:t>
            </w:r>
          </w:p>
        </w:tc>
        <w:tc>
          <w:tcPr>
            <w:tcW w:w="2880" w:type="dxa"/>
            <w:tcMar>
              <w:top w:w="70" w:type="dxa"/>
              <w:left w:w="80" w:type="dxa"/>
              <w:bottom w:w="70" w:type="dxa"/>
              <w:right w:w="80" w:type="dxa"/>
            </w:tcMar>
          </w:tcPr>
          <w:p w14:paraId="1F752CFA" w14:textId="77777777" w:rsidR="0085422C" w:rsidRDefault="00000000">
            <w:r>
              <w:rPr>
                <w:rFonts w:eastAsia="Noto Sans"/>
                <w:color w:val="24313D"/>
                <w:sz w:val="15"/>
              </w:rPr>
              <w:t>2,880 vs 3,500 units → ~18% lower</w:t>
            </w:r>
          </w:p>
        </w:tc>
      </w:tr>
      <w:tr w:rsidR="0085422C" w14:paraId="18765B9F" w14:textId="77777777">
        <w:trPr>
          <w:cantSplit/>
          <w:jc w:val="center"/>
        </w:trPr>
        <w:tc>
          <w:tcPr>
            <w:tcW w:w="1800" w:type="dxa"/>
            <w:shd w:val="clear" w:color="auto" w:fill="F6F8FA"/>
            <w:tcMar>
              <w:top w:w="70" w:type="dxa"/>
              <w:left w:w="80" w:type="dxa"/>
              <w:bottom w:w="70" w:type="dxa"/>
              <w:right w:w="80" w:type="dxa"/>
            </w:tcMar>
          </w:tcPr>
          <w:p w14:paraId="7BE5AB48" w14:textId="77777777" w:rsidR="0085422C" w:rsidRDefault="00000000">
            <w:r>
              <w:rPr>
                <w:rFonts w:eastAsia="Noto Sans"/>
                <w:b/>
                <w:color w:val="24313D"/>
                <w:sz w:val="15"/>
              </w:rPr>
              <w:t>Target planning case</w:t>
            </w:r>
          </w:p>
        </w:tc>
        <w:tc>
          <w:tcPr>
            <w:tcW w:w="2016" w:type="dxa"/>
            <w:shd w:val="clear" w:color="auto" w:fill="F6F8FA"/>
            <w:tcMar>
              <w:top w:w="70" w:type="dxa"/>
              <w:left w:w="80" w:type="dxa"/>
              <w:bottom w:w="70" w:type="dxa"/>
              <w:right w:w="80" w:type="dxa"/>
            </w:tcMar>
          </w:tcPr>
          <w:p w14:paraId="34E8D547" w14:textId="77777777" w:rsidR="0085422C" w:rsidRDefault="00000000">
            <w:r>
              <w:rPr>
                <w:rFonts w:eastAsia="Noto Sans"/>
                <w:color w:val="24313D"/>
                <w:sz w:val="15"/>
              </w:rPr>
              <w:t>2.2 RPS/node</w:t>
            </w:r>
          </w:p>
        </w:tc>
        <w:tc>
          <w:tcPr>
            <w:tcW w:w="2304" w:type="dxa"/>
            <w:shd w:val="clear" w:color="auto" w:fill="F6F8FA"/>
            <w:tcMar>
              <w:top w:w="70" w:type="dxa"/>
              <w:left w:w="80" w:type="dxa"/>
              <w:bottom w:w="70" w:type="dxa"/>
              <w:right w:w="80" w:type="dxa"/>
            </w:tcMar>
          </w:tcPr>
          <w:p w14:paraId="634AE2D3" w14:textId="77777777" w:rsidR="0085422C" w:rsidRDefault="00000000">
            <w:r>
              <w:rPr>
                <w:rFonts w:eastAsia="Noto Sans"/>
                <w:color w:val="24313D"/>
                <w:sz w:val="15"/>
              </w:rPr>
              <w:t>0.70 RPS/node</w:t>
            </w:r>
          </w:p>
        </w:tc>
        <w:tc>
          <w:tcPr>
            <w:tcW w:w="1440" w:type="dxa"/>
            <w:shd w:val="clear" w:color="auto" w:fill="F6F8FA"/>
            <w:tcMar>
              <w:top w:w="70" w:type="dxa"/>
              <w:left w:w="80" w:type="dxa"/>
              <w:bottom w:w="70" w:type="dxa"/>
              <w:right w:w="80" w:type="dxa"/>
            </w:tcMar>
          </w:tcPr>
          <w:p w14:paraId="4AECB748" w14:textId="77777777" w:rsidR="0085422C" w:rsidRDefault="00000000">
            <w:r>
              <w:rPr>
                <w:rFonts w:eastAsia="Noto Sans"/>
                <w:color w:val="24313D"/>
                <w:sz w:val="15"/>
              </w:rPr>
              <w:t>20 nodes</w:t>
            </w:r>
          </w:p>
        </w:tc>
        <w:tc>
          <w:tcPr>
            <w:tcW w:w="1440" w:type="dxa"/>
            <w:shd w:val="clear" w:color="auto" w:fill="F6F8FA"/>
            <w:tcMar>
              <w:top w:w="70" w:type="dxa"/>
              <w:left w:w="80" w:type="dxa"/>
              <w:bottom w:w="70" w:type="dxa"/>
              <w:right w:w="80" w:type="dxa"/>
            </w:tcMar>
          </w:tcPr>
          <w:p w14:paraId="76401DF1" w14:textId="77777777" w:rsidR="0085422C" w:rsidRDefault="00000000">
            <w:r>
              <w:rPr>
                <w:rFonts w:eastAsia="Noto Sans"/>
                <w:color w:val="24313D"/>
                <w:sz w:val="15"/>
              </w:rPr>
              <w:t>43%</w:t>
            </w:r>
          </w:p>
        </w:tc>
        <w:tc>
          <w:tcPr>
            <w:tcW w:w="2880" w:type="dxa"/>
            <w:shd w:val="clear" w:color="auto" w:fill="F6F8FA"/>
            <w:tcMar>
              <w:top w:w="70" w:type="dxa"/>
              <w:left w:w="80" w:type="dxa"/>
              <w:bottom w:w="70" w:type="dxa"/>
              <w:right w:w="80" w:type="dxa"/>
            </w:tcMar>
          </w:tcPr>
          <w:p w14:paraId="14C9B01F" w14:textId="77777777" w:rsidR="0085422C" w:rsidRDefault="00000000">
            <w:r>
              <w:rPr>
                <w:rFonts w:eastAsia="Noto Sans"/>
                <w:color w:val="24313D"/>
                <w:sz w:val="15"/>
              </w:rPr>
              <w:t>2,400 vs 3,500 units → ~31% lower</w:t>
            </w:r>
          </w:p>
        </w:tc>
      </w:tr>
      <w:tr w:rsidR="0085422C" w14:paraId="6304B088" w14:textId="77777777">
        <w:trPr>
          <w:cantSplit/>
          <w:jc w:val="center"/>
        </w:trPr>
        <w:tc>
          <w:tcPr>
            <w:tcW w:w="1800" w:type="dxa"/>
            <w:tcMar>
              <w:top w:w="70" w:type="dxa"/>
              <w:left w:w="80" w:type="dxa"/>
              <w:bottom w:w="70" w:type="dxa"/>
              <w:right w:w="80" w:type="dxa"/>
            </w:tcMar>
          </w:tcPr>
          <w:p w14:paraId="0FA5ABBF" w14:textId="77777777" w:rsidR="0085422C" w:rsidRDefault="00000000">
            <w:r>
              <w:rPr>
                <w:rFonts w:eastAsia="Noto Sans"/>
                <w:b/>
                <w:color w:val="24313D"/>
                <w:sz w:val="15"/>
              </w:rPr>
              <w:t>Stretch</w:t>
            </w:r>
          </w:p>
        </w:tc>
        <w:tc>
          <w:tcPr>
            <w:tcW w:w="2016" w:type="dxa"/>
            <w:tcMar>
              <w:top w:w="70" w:type="dxa"/>
              <w:left w:w="80" w:type="dxa"/>
              <w:bottom w:w="70" w:type="dxa"/>
              <w:right w:w="80" w:type="dxa"/>
            </w:tcMar>
          </w:tcPr>
          <w:p w14:paraId="61BA6EB7" w14:textId="77777777" w:rsidR="0085422C" w:rsidRDefault="00000000">
            <w:r>
              <w:rPr>
                <w:rFonts w:eastAsia="Noto Sans"/>
                <w:color w:val="24313D"/>
                <w:sz w:val="15"/>
              </w:rPr>
              <w:t>2.6 RPS/node</w:t>
            </w:r>
          </w:p>
        </w:tc>
        <w:tc>
          <w:tcPr>
            <w:tcW w:w="2304" w:type="dxa"/>
            <w:tcMar>
              <w:top w:w="70" w:type="dxa"/>
              <w:left w:w="80" w:type="dxa"/>
              <w:bottom w:w="70" w:type="dxa"/>
              <w:right w:w="80" w:type="dxa"/>
            </w:tcMar>
          </w:tcPr>
          <w:p w14:paraId="48364263" w14:textId="77777777" w:rsidR="0085422C" w:rsidRDefault="00000000">
            <w:r>
              <w:rPr>
                <w:rFonts w:eastAsia="Noto Sans"/>
                <w:color w:val="24313D"/>
                <w:sz w:val="15"/>
              </w:rPr>
              <w:t>0.90 RPS/node</w:t>
            </w:r>
          </w:p>
        </w:tc>
        <w:tc>
          <w:tcPr>
            <w:tcW w:w="1440" w:type="dxa"/>
            <w:tcMar>
              <w:top w:w="70" w:type="dxa"/>
              <w:left w:w="80" w:type="dxa"/>
              <w:bottom w:w="70" w:type="dxa"/>
              <w:right w:w="80" w:type="dxa"/>
            </w:tcMar>
          </w:tcPr>
          <w:p w14:paraId="649DBCFC" w14:textId="77777777" w:rsidR="0085422C" w:rsidRDefault="00000000">
            <w:r>
              <w:rPr>
                <w:rFonts w:eastAsia="Noto Sans"/>
                <w:color w:val="24313D"/>
                <w:sz w:val="15"/>
              </w:rPr>
              <w:t>16 nodes</w:t>
            </w:r>
          </w:p>
        </w:tc>
        <w:tc>
          <w:tcPr>
            <w:tcW w:w="1440" w:type="dxa"/>
            <w:tcMar>
              <w:top w:w="70" w:type="dxa"/>
              <w:left w:w="80" w:type="dxa"/>
              <w:bottom w:w="70" w:type="dxa"/>
              <w:right w:w="80" w:type="dxa"/>
            </w:tcMar>
          </w:tcPr>
          <w:p w14:paraId="1267F467" w14:textId="77777777" w:rsidR="0085422C" w:rsidRDefault="00000000">
            <w:r>
              <w:rPr>
                <w:rFonts w:eastAsia="Noto Sans"/>
                <w:color w:val="24313D"/>
                <w:sz w:val="15"/>
              </w:rPr>
              <w:t>54%</w:t>
            </w:r>
          </w:p>
        </w:tc>
        <w:tc>
          <w:tcPr>
            <w:tcW w:w="2880" w:type="dxa"/>
            <w:tcMar>
              <w:top w:w="70" w:type="dxa"/>
              <w:left w:w="80" w:type="dxa"/>
              <w:bottom w:w="70" w:type="dxa"/>
              <w:right w:w="80" w:type="dxa"/>
            </w:tcMar>
          </w:tcPr>
          <w:p w14:paraId="3917D9A0" w14:textId="77777777" w:rsidR="0085422C" w:rsidRDefault="00000000">
            <w:r>
              <w:rPr>
                <w:rFonts w:eastAsia="Noto Sans"/>
                <w:color w:val="24313D"/>
                <w:sz w:val="15"/>
              </w:rPr>
              <w:t>1,920 vs 3,500 units → ~45% lower</w:t>
            </w:r>
          </w:p>
        </w:tc>
      </w:tr>
    </w:tbl>
    <w:p w14:paraId="45F53057" w14:textId="77777777" w:rsidR="0085422C" w:rsidRDefault="0085422C">
      <w:pPr>
        <w:spacing w:after="20"/>
      </w:pPr>
    </w:p>
    <w:p w14:paraId="6A4C58C3" w14:textId="77777777" w:rsidR="0085422C" w:rsidRDefault="00000000">
      <w:pPr>
        <w:spacing w:before="20" w:after="80"/>
      </w:pPr>
      <w:r>
        <w:rPr>
          <w:i/>
          <w:color w:val="66727D"/>
          <w:sz w:val="16"/>
        </w:rPr>
        <w:t>Source / note: These rates and the 20% hybrid-node premium are scenario inputs, not forecasts. The illustrative dollar translation is an RTX-MVP calibration only and must not be presented as NVL or Helios TCO. Rack-scale economics use actual GPU-rack quotes, power, networking, availability reserve and measured accepted service rate.</w:t>
      </w:r>
    </w:p>
    <w:p w14:paraId="0DF624E8" w14:textId="77777777" w:rsidR="0085422C" w:rsidRDefault="00000000">
      <w:pPr>
        <w:keepNext/>
        <w:spacing w:before="60" w:after="60"/>
      </w:pPr>
      <w:r>
        <w:rPr>
          <w:rFonts w:eastAsia="Noto Sans"/>
          <w:b/>
          <w:color w:val="16324F"/>
          <w:sz w:val="25"/>
        </w:rPr>
        <w:t>Operational effect beyond server count</w:t>
      </w:r>
    </w:p>
    <w:p w14:paraId="36F2999F" w14:textId="77777777" w:rsidR="0085422C" w:rsidRDefault="00000000">
      <w:pPr>
        <w:pStyle w:val="ListBullet"/>
        <w:spacing w:after="40" w:line="252" w:lineRule="auto"/>
        <w:ind w:left="259" w:hanging="173"/>
      </w:pPr>
      <w:r>
        <w:rPr>
          <w:rFonts w:eastAsia="Noto Sans"/>
          <w:color w:val="24313D"/>
        </w:rPr>
        <w:t xml:space="preserve">Fewer RTX nodes </w:t>
      </w:r>
      <w:proofErr w:type="gramStart"/>
      <w:r>
        <w:rPr>
          <w:rFonts w:eastAsia="Noto Sans"/>
          <w:color w:val="24313D"/>
        </w:rPr>
        <w:t>means</w:t>
      </w:r>
      <w:proofErr w:type="gramEnd"/>
      <w:r>
        <w:rPr>
          <w:rFonts w:eastAsia="Noto Sans"/>
          <w:color w:val="24313D"/>
        </w:rPr>
        <w:t xml:space="preserve"> fewer GPU/NIC/server firmware combinations to patch, monitor, spare and recover, but each hybrid node adds ATMOS firmware/driver and switch lifecycle that must be supported as one release.</w:t>
      </w:r>
    </w:p>
    <w:p w14:paraId="13FC2B3A" w14:textId="77777777" w:rsidR="0085422C" w:rsidRDefault="00000000">
      <w:pPr>
        <w:pStyle w:val="ListBullet"/>
        <w:spacing w:after="40" w:line="252" w:lineRule="auto"/>
        <w:ind w:left="259" w:hanging="173"/>
      </w:pPr>
      <w:r>
        <w:rPr>
          <w:rFonts w:eastAsia="Noto Sans"/>
          <w:color w:val="24313D"/>
        </w:rPr>
        <w:t xml:space="preserve">A complete local expert bank can reduce inter-node EP traffic for the supported group. That may simplify network sizing and tail behavior, but the saving is counted only when ports/bandwidth or service capacity can </w:t>
      </w:r>
      <w:proofErr w:type="gramStart"/>
      <w:r>
        <w:rPr>
          <w:rFonts w:eastAsia="Noto Sans"/>
          <w:color w:val="24313D"/>
        </w:rPr>
        <w:t>actually be</w:t>
      </w:r>
      <w:proofErr w:type="gramEnd"/>
      <w:r>
        <w:rPr>
          <w:rFonts w:eastAsia="Noto Sans"/>
          <w:color w:val="24313D"/>
        </w:rPr>
        <w:t xml:space="preserve"> removed or avoided.</w:t>
      </w:r>
    </w:p>
    <w:p w14:paraId="4C1307F7" w14:textId="77777777" w:rsidR="0085422C" w:rsidRDefault="00000000">
      <w:pPr>
        <w:pStyle w:val="ListBullet"/>
        <w:spacing w:after="40" w:line="252" w:lineRule="auto"/>
        <w:ind w:left="259" w:hanging="173"/>
      </w:pPr>
      <w:proofErr w:type="gramStart"/>
      <w:r>
        <w:rPr>
          <w:rFonts w:eastAsia="Noto Sans"/>
          <w:color w:val="24313D"/>
        </w:rPr>
        <w:t>More free</w:t>
      </w:r>
      <w:proofErr w:type="gramEnd"/>
      <w:r>
        <w:rPr>
          <w:rFonts w:eastAsia="Noto Sans"/>
          <w:color w:val="24313D"/>
        </w:rPr>
        <w:t xml:space="preserve"> RTX GDDR can be spent on live KV and active sequences. This can reduce admission pressure and queueing; any TTFT/TPOT improvement must be measured at identical offered load and is not included in the node-count arithmetic above.</w:t>
      </w:r>
    </w:p>
    <w:p w14:paraId="11257BE7" w14:textId="77777777" w:rsidR="0085422C" w:rsidRDefault="00000000">
      <w:pPr>
        <w:pStyle w:val="ListBullet"/>
        <w:spacing w:after="40" w:line="252" w:lineRule="auto"/>
        <w:ind w:left="259" w:hanging="173"/>
      </w:pPr>
      <w:r>
        <w:rPr>
          <w:rFonts w:eastAsia="Noto Sans"/>
          <w:color w:val="24313D"/>
        </w:rPr>
        <w:t>The 16-bit ~671B case is a deliberate limit case: the routed expert bank alone is ~1.31 TB raw, so eight ATMOS devices under the 800-GB study budget do not make it a one-node service. Precision and actual pack size determine the valid topology.</w:t>
      </w:r>
    </w:p>
    <w:tbl>
      <w:tblPr>
        <w:tblStyle w:val="TableGrid"/>
        <w:tblW w:w="0" w:type="auto"/>
        <w:jc w:val="center"/>
        <w:tblLayout w:type="fixed"/>
        <w:tblLook w:val="04A0" w:firstRow="1" w:lastRow="0" w:firstColumn="1" w:lastColumn="0" w:noHBand="0" w:noVBand="1"/>
      </w:tblPr>
      <w:tblGrid>
        <w:gridCol w:w="10224"/>
      </w:tblGrid>
      <w:tr w:rsidR="00846FAB" w14:paraId="6C4C294C" w14:textId="77777777">
        <w:trPr>
          <w:tblHeader/>
          <w:jc w:val="center"/>
        </w:trPr>
        <w:tc>
          <w:tcPr>
            <w:tcW w:w="10224" w:type="dxa"/>
            <w:shd w:val="clear" w:color="auto" w:fill="F9ECEF"/>
            <w:vAlign w:val="center"/>
          </w:tcPr>
          <w:p w14:paraId="660F1958" w14:textId="77777777" w:rsidR="00846FAB" w:rsidRDefault="00000000">
            <w:r>
              <w:rPr>
                <w:b/>
                <w:color w:val="A73545"/>
                <w:sz w:val="16"/>
              </w:rPr>
              <w:t xml:space="preserve">RACK-SCALE TRANSLATION </w:t>
            </w:r>
            <w:proofErr w:type="gramStart"/>
            <w:r>
              <w:rPr>
                <w:b/>
                <w:color w:val="A73545"/>
                <w:sz w:val="16"/>
              </w:rPr>
              <w:t>RULE  Hold</w:t>
            </w:r>
            <w:proofErr w:type="gramEnd"/>
            <w:r>
              <w:rPr>
                <w:b/>
                <w:color w:val="A73545"/>
                <w:sz w:val="16"/>
              </w:rPr>
              <w:t xml:space="preserve"> the model, request mix, quality, TTFT/TPOT and failure reserve constant. Compare GPU-only NVL with NVL+ATMOS and GPU-only Helios with </w:t>
            </w:r>
            <w:proofErr w:type="spellStart"/>
            <w:r>
              <w:rPr>
                <w:b/>
                <w:color w:val="A73545"/>
                <w:sz w:val="16"/>
              </w:rPr>
              <w:t>Helios+ATMOS</w:t>
            </w:r>
            <w:proofErr w:type="spellEnd"/>
            <w:r>
              <w:rPr>
                <w:b/>
                <w:color w:val="A73545"/>
                <w:sz w:val="16"/>
              </w:rPr>
              <w:t>. Credit only measured gains such as more accepted tokens/requests per rack, more usable KV/concurrency, fewer active GPU trays/racks, or avoidable scale-out traffic. Do not transfer the 43% RTX-MVP node reduction.</w:t>
            </w:r>
          </w:p>
        </w:tc>
      </w:tr>
    </w:tbl>
    <w:p w14:paraId="40D92AC4" w14:textId="77777777" w:rsidR="0085422C" w:rsidRDefault="00000000">
      <w:r>
        <w:br w:type="page"/>
      </w:r>
    </w:p>
    <w:p w14:paraId="664A7918" w14:textId="77777777" w:rsidR="0085422C" w:rsidRDefault="0085422C"/>
    <w:p w14:paraId="52146A08" w14:textId="77777777" w:rsidR="0085422C" w:rsidRDefault="00000000">
      <w:pPr>
        <w:keepNext/>
        <w:spacing w:before="80" w:after="40"/>
      </w:pPr>
      <w:r>
        <w:rPr>
          <w:rFonts w:eastAsia="Noto Sans"/>
          <w:b/>
          <w:color w:val="A73545"/>
          <w:sz w:val="17"/>
        </w:rPr>
        <w:t>EVIDENCE SEQUENCE</w:t>
      </w:r>
    </w:p>
    <w:p w14:paraId="7434865A" w14:textId="77777777" w:rsidR="0085422C" w:rsidRDefault="00000000">
      <w:pPr>
        <w:keepNext/>
        <w:spacing w:before="100" w:after="100"/>
      </w:pPr>
      <w:r>
        <w:rPr>
          <w:b/>
          <w:color w:val="16324F"/>
          <w:sz w:val="36"/>
        </w:rPr>
        <w:t>Part IV — Validation plan: four grouped gates from primitive to rack-scale product</w:t>
      </w:r>
    </w:p>
    <w:p w14:paraId="23206AEA" w14:textId="55A91130" w:rsidR="0085422C" w:rsidRDefault="003431E3">
      <w:pPr>
        <w:keepNext/>
        <w:spacing w:before="60" w:after="60"/>
      </w:pPr>
      <w:r w:rsidRPr="003431E3">
        <w:rPr>
          <w:rFonts w:eastAsia="Noto Sans"/>
          <w:b/>
          <w:noProof/>
          <w:color w:val="16324F"/>
          <w:sz w:val="25"/>
        </w:rPr>
        <w:drawing>
          <wp:inline distT="0" distB="0" distL="0" distR="0" wp14:anchorId="5205337B" wp14:editId="4F3678B9">
            <wp:extent cx="6583680" cy="4389120"/>
            <wp:effectExtent l="0" t="0" r="0" b="5080"/>
            <wp:docPr id="8242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36669" name=""/>
                    <pic:cNvPicPr/>
                  </pic:nvPicPr>
                  <pic:blipFill>
                    <a:blip r:embed="rId14"/>
                    <a:stretch>
                      <a:fillRect/>
                    </a:stretch>
                  </pic:blipFill>
                  <pic:spPr>
                    <a:xfrm>
                      <a:off x="0" y="0"/>
                      <a:ext cx="6583680" cy="4389120"/>
                    </a:xfrm>
                    <a:prstGeom prst="rect">
                      <a:avLst/>
                    </a:prstGeom>
                  </pic:spPr>
                </pic:pic>
              </a:graphicData>
            </a:graphic>
          </wp:inline>
        </w:drawing>
      </w:r>
      <w:r>
        <w:rPr>
          <w:rFonts w:eastAsia="Noto Sans"/>
          <w:b/>
          <w:color w:val="16324F"/>
          <w:sz w:val="25"/>
        </w:rPr>
        <w:t>POC decision scoreboard</w:t>
      </w:r>
    </w:p>
    <w:tbl>
      <w:tblPr>
        <w:tblStyle w:val="TableGrid"/>
        <w:tblW w:w="0" w:type="auto"/>
        <w:jc w:val="center"/>
        <w:tblLayout w:type="fixed"/>
        <w:tblLook w:val="04A0" w:firstRow="1" w:lastRow="0" w:firstColumn="1" w:lastColumn="0" w:noHBand="0" w:noVBand="1"/>
      </w:tblPr>
      <w:tblGrid>
        <w:gridCol w:w="3240"/>
        <w:gridCol w:w="3671"/>
        <w:gridCol w:w="3311"/>
      </w:tblGrid>
      <w:tr w:rsidR="0085422C" w14:paraId="56239ACE" w14:textId="77777777">
        <w:trPr>
          <w:tblHeader/>
          <w:jc w:val="center"/>
        </w:trPr>
        <w:tc>
          <w:tcPr>
            <w:tcW w:w="3240" w:type="dxa"/>
            <w:shd w:val="clear" w:color="auto" w:fill="16324F"/>
            <w:tcMar>
              <w:top w:w="80" w:type="dxa"/>
              <w:left w:w="90" w:type="dxa"/>
              <w:bottom w:w="80" w:type="dxa"/>
              <w:right w:w="90" w:type="dxa"/>
            </w:tcMar>
            <w:vAlign w:val="center"/>
          </w:tcPr>
          <w:p w14:paraId="2DB24609" w14:textId="77777777" w:rsidR="00846FAB" w:rsidRDefault="00000000">
            <w:r>
              <w:rPr>
                <w:b/>
                <w:color w:val="FFFFFF"/>
                <w:sz w:val="15"/>
              </w:rPr>
              <w:t>Question</w:t>
            </w:r>
          </w:p>
        </w:tc>
        <w:tc>
          <w:tcPr>
            <w:tcW w:w="3671" w:type="dxa"/>
            <w:shd w:val="clear" w:color="auto" w:fill="16324F"/>
            <w:tcMar>
              <w:top w:w="80" w:type="dxa"/>
              <w:left w:w="90" w:type="dxa"/>
              <w:bottom w:w="80" w:type="dxa"/>
              <w:right w:w="90" w:type="dxa"/>
            </w:tcMar>
            <w:vAlign w:val="center"/>
          </w:tcPr>
          <w:p w14:paraId="2B35957F" w14:textId="77777777" w:rsidR="00846FAB" w:rsidRDefault="00000000">
            <w:r>
              <w:rPr>
                <w:b/>
                <w:color w:val="FFFFFF"/>
                <w:sz w:val="15"/>
              </w:rPr>
              <w:t>Pass means</w:t>
            </w:r>
          </w:p>
        </w:tc>
        <w:tc>
          <w:tcPr>
            <w:tcW w:w="3311" w:type="dxa"/>
            <w:shd w:val="clear" w:color="auto" w:fill="16324F"/>
            <w:tcMar>
              <w:top w:w="80" w:type="dxa"/>
              <w:left w:w="90" w:type="dxa"/>
              <w:bottom w:w="80" w:type="dxa"/>
              <w:right w:w="90" w:type="dxa"/>
            </w:tcMar>
            <w:vAlign w:val="center"/>
          </w:tcPr>
          <w:p w14:paraId="41B4F4E4" w14:textId="77777777" w:rsidR="00846FAB" w:rsidRDefault="00000000">
            <w:r>
              <w:rPr>
                <w:b/>
                <w:color w:val="FFFFFF"/>
                <w:sz w:val="15"/>
              </w:rPr>
              <w:t>If it fails</w:t>
            </w:r>
          </w:p>
        </w:tc>
      </w:tr>
      <w:tr w:rsidR="0085422C" w14:paraId="74F22C09" w14:textId="77777777">
        <w:trPr>
          <w:cantSplit/>
          <w:jc w:val="center"/>
        </w:trPr>
        <w:tc>
          <w:tcPr>
            <w:tcW w:w="3240" w:type="dxa"/>
            <w:tcMar>
              <w:top w:w="70" w:type="dxa"/>
              <w:left w:w="80" w:type="dxa"/>
              <w:bottom w:w="70" w:type="dxa"/>
              <w:right w:w="80" w:type="dxa"/>
            </w:tcMar>
            <w:vAlign w:val="center"/>
          </w:tcPr>
          <w:p w14:paraId="2EF6B1B8" w14:textId="77777777" w:rsidR="00846FAB" w:rsidRDefault="00000000">
            <w:r>
              <w:rPr>
                <w:sz w:val="15"/>
              </w:rPr>
              <w:t>Can ATMOS execute routed experts correctly behind a vendor-neutral ABI?</w:t>
            </w:r>
          </w:p>
        </w:tc>
        <w:tc>
          <w:tcPr>
            <w:tcW w:w="3671" w:type="dxa"/>
            <w:tcMar>
              <w:top w:w="70" w:type="dxa"/>
              <w:left w:w="80" w:type="dxa"/>
              <w:bottom w:w="70" w:type="dxa"/>
              <w:right w:w="80" w:type="dxa"/>
            </w:tcMar>
            <w:vAlign w:val="center"/>
          </w:tcPr>
          <w:p w14:paraId="490CB45D" w14:textId="77777777" w:rsidR="00846FAB" w:rsidRDefault="00000000">
            <w:r>
              <w:rPr>
                <w:sz w:val="15"/>
              </w:rPr>
              <w:t>POC 1 passes numerical, lifecycle and interface gates.</w:t>
            </w:r>
          </w:p>
        </w:tc>
        <w:tc>
          <w:tcPr>
            <w:tcW w:w="3311" w:type="dxa"/>
            <w:tcMar>
              <w:top w:w="70" w:type="dxa"/>
              <w:left w:w="80" w:type="dxa"/>
              <w:bottom w:w="70" w:type="dxa"/>
              <w:right w:w="80" w:type="dxa"/>
            </w:tcMar>
            <w:vAlign w:val="center"/>
          </w:tcPr>
          <w:p w14:paraId="0770296F" w14:textId="77777777" w:rsidR="00846FAB" w:rsidRDefault="00000000">
            <w:r>
              <w:rPr>
                <w:sz w:val="15"/>
              </w:rPr>
              <w:t xml:space="preserve">Stop/narrow the </w:t>
            </w:r>
            <w:proofErr w:type="spellStart"/>
            <w:r>
              <w:rPr>
                <w:sz w:val="15"/>
              </w:rPr>
              <w:t>MoE</w:t>
            </w:r>
            <w:proofErr w:type="spellEnd"/>
            <w:r>
              <w:rPr>
                <w:sz w:val="15"/>
              </w:rPr>
              <w:t xml:space="preserve"> operator or precision scope.</w:t>
            </w:r>
          </w:p>
        </w:tc>
      </w:tr>
      <w:tr w:rsidR="0085422C" w14:paraId="5C5F7942" w14:textId="77777777">
        <w:trPr>
          <w:cantSplit/>
          <w:jc w:val="center"/>
        </w:trPr>
        <w:tc>
          <w:tcPr>
            <w:tcW w:w="3240" w:type="dxa"/>
            <w:shd w:val="clear" w:color="auto" w:fill="F3F6F8"/>
            <w:tcMar>
              <w:top w:w="70" w:type="dxa"/>
              <w:left w:w="80" w:type="dxa"/>
              <w:bottom w:w="70" w:type="dxa"/>
              <w:right w:w="80" w:type="dxa"/>
            </w:tcMar>
            <w:vAlign w:val="center"/>
          </w:tcPr>
          <w:p w14:paraId="099055A0" w14:textId="77777777" w:rsidR="00846FAB" w:rsidRDefault="00000000">
            <w:r>
              <w:rPr>
                <w:sz w:val="15"/>
              </w:rPr>
              <w:t>Can eight E3.S devices operate as a manageable switched subsystem?</w:t>
            </w:r>
          </w:p>
        </w:tc>
        <w:tc>
          <w:tcPr>
            <w:tcW w:w="3671" w:type="dxa"/>
            <w:shd w:val="clear" w:color="auto" w:fill="F3F6F8"/>
            <w:tcMar>
              <w:top w:w="70" w:type="dxa"/>
              <w:left w:w="80" w:type="dxa"/>
              <w:bottom w:w="70" w:type="dxa"/>
              <w:right w:w="80" w:type="dxa"/>
            </w:tcMar>
            <w:vAlign w:val="center"/>
          </w:tcPr>
          <w:p w14:paraId="01319473" w14:textId="77777777" w:rsidR="00846FAB" w:rsidRDefault="00000000">
            <w:r>
              <w:rPr>
                <w:sz w:val="15"/>
              </w:rPr>
              <w:t>POC 2 returns one supported switch/BOM/route/failure contract with bounded DMA.</w:t>
            </w:r>
          </w:p>
        </w:tc>
        <w:tc>
          <w:tcPr>
            <w:tcW w:w="3311" w:type="dxa"/>
            <w:shd w:val="clear" w:color="auto" w:fill="F3F6F8"/>
            <w:tcMar>
              <w:top w:w="70" w:type="dxa"/>
              <w:left w:w="80" w:type="dxa"/>
              <w:bottom w:w="70" w:type="dxa"/>
              <w:right w:w="80" w:type="dxa"/>
            </w:tcMar>
            <w:vAlign w:val="center"/>
          </w:tcPr>
          <w:p w14:paraId="6618B187" w14:textId="77777777" w:rsidR="00846FAB" w:rsidRDefault="00000000">
            <w:r>
              <w:rPr>
                <w:sz w:val="15"/>
              </w:rPr>
              <w:t>Keep direct/reference hardware for lab use or redesign the subsystem.</w:t>
            </w:r>
          </w:p>
        </w:tc>
      </w:tr>
      <w:tr w:rsidR="0085422C" w14:paraId="5477905B" w14:textId="77777777">
        <w:trPr>
          <w:cantSplit/>
          <w:jc w:val="center"/>
        </w:trPr>
        <w:tc>
          <w:tcPr>
            <w:tcW w:w="3240" w:type="dxa"/>
            <w:tcMar>
              <w:top w:w="70" w:type="dxa"/>
              <w:left w:w="80" w:type="dxa"/>
              <w:bottom w:w="70" w:type="dxa"/>
              <w:right w:w="80" w:type="dxa"/>
            </w:tcMar>
            <w:vAlign w:val="center"/>
          </w:tcPr>
          <w:p w14:paraId="55BBCFE3" w14:textId="77777777" w:rsidR="00846FAB" w:rsidRDefault="00000000">
            <w:r>
              <w:rPr>
                <w:sz w:val="15"/>
              </w:rPr>
              <w:t>Does the RTX MVP create useful end-to-end headroom?</w:t>
            </w:r>
          </w:p>
        </w:tc>
        <w:tc>
          <w:tcPr>
            <w:tcW w:w="3671" w:type="dxa"/>
            <w:tcMar>
              <w:top w:w="70" w:type="dxa"/>
              <w:left w:w="80" w:type="dxa"/>
              <w:bottom w:w="70" w:type="dxa"/>
              <w:right w:w="80" w:type="dxa"/>
            </w:tcMar>
            <w:vAlign w:val="center"/>
          </w:tcPr>
          <w:p w14:paraId="21231B6C" w14:textId="77777777" w:rsidR="00846FAB" w:rsidRDefault="00000000">
            <w:r>
              <w:rPr>
                <w:sz w:val="15"/>
              </w:rPr>
              <w:t>POC 3 preserves SLO and exceeds the economic threshold with measured reuse of freed GDDR.</w:t>
            </w:r>
          </w:p>
        </w:tc>
        <w:tc>
          <w:tcPr>
            <w:tcW w:w="3311" w:type="dxa"/>
            <w:tcMar>
              <w:top w:w="70" w:type="dxa"/>
              <w:left w:w="80" w:type="dxa"/>
              <w:bottom w:w="70" w:type="dxa"/>
              <w:right w:w="80" w:type="dxa"/>
            </w:tcMar>
            <w:vAlign w:val="center"/>
          </w:tcPr>
          <w:p w14:paraId="5ADFBD8C" w14:textId="77777777" w:rsidR="00846FAB" w:rsidRDefault="00000000">
            <w:r>
              <w:rPr>
                <w:sz w:val="15"/>
              </w:rPr>
              <w:t>Do not infer rack-scale value from capacity fit.</w:t>
            </w:r>
          </w:p>
        </w:tc>
      </w:tr>
      <w:tr w:rsidR="0085422C" w14:paraId="73C66DB6" w14:textId="77777777">
        <w:trPr>
          <w:cantSplit/>
          <w:jc w:val="center"/>
        </w:trPr>
        <w:tc>
          <w:tcPr>
            <w:tcW w:w="3240" w:type="dxa"/>
            <w:shd w:val="clear" w:color="auto" w:fill="F3F6F8"/>
            <w:tcMar>
              <w:top w:w="70" w:type="dxa"/>
              <w:left w:w="80" w:type="dxa"/>
              <w:bottom w:w="70" w:type="dxa"/>
              <w:right w:w="80" w:type="dxa"/>
            </w:tcMar>
            <w:vAlign w:val="center"/>
          </w:tcPr>
          <w:p w14:paraId="09E9CD80" w14:textId="77777777" w:rsidR="00846FAB" w:rsidRDefault="00000000">
            <w:r>
              <w:rPr>
                <w:sz w:val="15"/>
              </w:rPr>
              <w:t>Does the architecture improve a real rack-scale service?</w:t>
            </w:r>
          </w:p>
        </w:tc>
        <w:tc>
          <w:tcPr>
            <w:tcW w:w="3671" w:type="dxa"/>
            <w:shd w:val="clear" w:color="auto" w:fill="F3F6F8"/>
            <w:tcMar>
              <w:top w:w="70" w:type="dxa"/>
              <w:left w:w="80" w:type="dxa"/>
              <w:bottom w:w="70" w:type="dxa"/>
              <w:right w:w="80" w:type="dxa"/>
            </w:tcMar>
            <w:vAlign w:val="center"/>
          </w:tcPr>
          <w:p w14:paraId="697D6431" w14:textId="77777777" w:rsidR="00846FAB" w:rsidRDefault="00000000">
            <w:r>
              <w:rPr>
                <w:sz w:val="15"/>
              </w:rPr>
              <w:t>POC 4 passes independently on NVIDIA NVL and/or AMD Helios with reconciled rack economics.</w:t>
            </w:r>
          </w:p>
        </w:tc>
        <w:tc>
          <w:tcPr>
            <w:tcW w:w="3311" w:type="dxa"/>
            <w:shd w:val="clear" w:color="auto" w:fill="F3F6F8"/>
            <w:tcMar>
              <w:top w:w="70" w:type="dxa"/>
              <w:left w:w="80" w:type="dxa"/>
              <w:bottom w:w="70" w:type="dxa"/>
              <w:right w:w="80" w:type="dxa"/>
            </w:tcMar>
            <w:vAlign w:val="center"/>
          </w:tcPr>
          <w:p w14:paraId="0A798A97" w14:textId="77777777" w:rsidR="00846FAB" w:rsidRDefault="00000000">
            <w:r>
              <w:rPr>
                <w:sz w:val="15"/>
              </w:rPr>
              <w:t>No broad product on the failing platform; retain successful platform or narrow scope.</w:t>
            </w:r>
          </w:p>
        </w:tc>
      </w:tr>
    </w:tbl>
    <w:p w14:paraId="1E6BDB6D" w14:textId="77777777" w:rsidR="0085422C" w:rsidRDefault="0085422C">
      <w:pPr>
        <w:spacing w:after="20"/>
      </w:pPr>
    </w:p>
    <w:p w14:paraId="2ACDA543" w14:textId="77777777" w:rsidR="0085422C" w:rsidRDefault="00000000">
      <w:r>
        <w:br w:type="page"/>
      </w:r>
    </w:p>
    <w:p w14:paraId="2E49CBD0" w14:textId="77777777" w:rsidR="0085422C" w:rsidRDefault="00000000">
      <w:pPr>
        <w:keepNext/>
        <w:spacing w:before="80" w:after="40"/>
      </w:pPr>
      <w:r>
        <w:rPr>
          <w:rFonts w:eastAsia="Noto Sans"/>
          <w:b/>
          <w:color w:val="A73545"/>
          <w:sz w:val="17"/>
        </w:rPr>
        <w:lastRenderedPageBreak/>
        <w:t>RECOMMENDED PROGRAM SHAPE</w:t>
      </w:r>
    </w:p>
    <w:p w14:paraId="601CC78C" w14:textId="77777777" w:rsidR="0085422C" w:rsidRDefault="00000000">
      <w:pPr>
        <w:keepNext/>
        <w:spacing w:before="100" w:after="100"/>
      </w:pPr>
      <w:r>
        <w:rPr>
          <w:rFonts w:eastAsia="Noto Sans"/>
          <w:b/>
          <w:color w:val="16324F"/>
          <w:sz w:val="36"/>
        </w:rPr>
        <w:t>Decision summary</w:t>
      </w:r>
    </w:p>
    <w:p w14:paraId="4B202FA8" w14:textId="77777777" w:rsidR="0085422C" w:rsidRDefault="00000000">
      <w:pPr>
        <w:spacing w:after="100" w:line="259" w:lineRule="auto"/>
      </w:pPr>
      <w:r>
        <w:t xml:space="preserve">This proposal asks one product question: can a switched ATMOS E3.S expert tier materially improve rack-scale </w:t>
      </w:r>
      <w:proofErr w:type="spellStart"/>
      <w:r>
        <w:t>MoE</w:t>
      </w:r>
      <w:proofErr w:type="spellEnd"/>
      <w:r>
        <w:t xml:space="preserve"> serving economics on NVIDIA NVL and AMD Helios while preserving the native GPU stack and service SLOs? The RTX 8+8 configuration is the proving ground and MVP, not the </w:t>
      </w:r>
      <w:proofErr w:type="gramStart"/>
      <w:r>
        <w:t>final destination</w:t>
      </w:r>
      <w:proofErr w:type="gramEnd"/>
      <w:r>
        <w:t>.</w:t>
      </w:r>
    </w:p>
    <w:p w14:paraId="2CD12C27" w14:textId="77777777" w:rsidR="0085422C" w:rsidRDefault="00000000">
      <w:pPr>
        <w:pStyle w:val="ListBullet"/>
        <w:spacing w:after="60" w:line="252" w:lineRule="auto"/>
        <w:ind w:left="259" w:hanging="173"/>
      </w:pPr>
      <w:r>
        <w:t xml:space="preserve">Approve one heterogeneous </w:t>
      </w:r>
      <w:proofErr w:type="spellStart"/>
      <w:r>
        <w:t>MoE</w:t>
      </w:r>
      <w:proofErr w:type="spellEnd"/>
      <w:r>
        <w:t xml:space="preserve"> workstream with one expert ABI, one ATMOS runtime/driver contract and one switched E3.S subsystem. Keep GPU-vendor differences behind a narrow platform seam.</w:t>
      </w:r>
    </w:p>
    <w:p w14:paraId="6F97B220" w14:textId="77777777" w:rsidR="0085422C" w:rsidRDefault="00000000">
      <w:pPr>
        <w:pStyle w:val="ListBullet"/>
        <w:spacing w:after="60" w:line="252" w:lineRule="auto"/>
        <w:ind w:left="259" w:hanging="173"/>
      </w:pPr>
      <w:r>
        <w:t>Hold model quality, TTFT/TPOT and failure policy constant. Count latency improvement only after measurement; the business case may succeed through throughput, KV/concurrency, rack consolidation or reduced scale-out traffic.</w:t>
      </w:r>
    </w:p>
    <w:p w14:paraId="29996D4A" w14:textId="77777777" w:rsidR="0085422C" w:rsidRDefault="00000000">
      <w:pPr>
        <w:pStyle w:val="ListBullet"/>
        <w:spacing w:after="60" w:line="252" w:lineRule="auto"/>
        <w:ind w:left="259" w:hanging="173"/>
      </w:pPr>
      <w:r>
        <w:t xml:space="preserve">Use Gen5 switched E3.S as the common subsystem baseline and direct E3.S only for bring-up. Preserve </w:t>
      </w:r>
      <w:proofErr w:type="spellStart"/>
      <w:r>
        <w:t>NVLink</w:t>
      </w:r>
      <w:proofErr w:type="spellEnd"/>
      <w:r>
        <w:t>/</w:t>
      </w:r>
      <w:proofErr w:type="spellStart"/>
      <w:r>
        <w:t>NVSwitch</w:t>
      </w:r>
      <w:proofErr w:type="spellEnd"/>
      <w:r>
        <w:t xml:space="preserve"> and </w:t>
      </w:r>
      <w:proofErr w:type="spellStart"/>
      <w:r>
        <w:t>UALink</w:t>
      </w:r>
      <w:proofErr w:type="spellEnd"/>
      <w:r>
        <w:t>; do not require proprietary GPU firmware/driver modifications.</w:t>
      </w:r>
    </w:p>
    <w:p w14:paraId="7E026681" w14:textId="77777777" w:rsidR="0085422C" w:rsidRDefault="00000000">
      <w:pPr>
        <w:pStyle w:val="ListBullet"/>
        <w:spacing w:after="60" w:line="252" w:lineRule="auto"/>
        <w:ind w:left="259" w:hanging="173"/>
      </w:pPr>
      <w:r>
        <w:t>Fund four grouped POCs: vendor-neutral expert primitive, switched E3.S subsystem, RTX POC/MVP, and rack-scale product qualification. POC 4 — not the RTX MVP — is the product/economics gate.</w:t>
      </w:r>
    </w:p>
    <w:p w14:paraId="3D234CAA" w14:textId="12199375" w:rsidR="0085422C" w:rsidRDefault="00000000">
      <w:pPr>
        <w:pStyle w:val="ListBullet"/>
        <w:spacing w:after="60" w:line="252" w:lineRule="auto"/>
        <w:ind w:left="259" w:hanging="173"/>
      </w:pPr>
      <w:r>
        <w:t xml:space="preserve">Qualify </w:t>
      </w:r>
      <w:proofErr w:type="spellStart"/>
      <w:r w:rsidR="00C21BF4">
        <w:t>SuperMicro</w:t>
      </w:r>
      <w:proofErr w:type="spellEnd"/>
      <w:r w:rsidR="00C21BF4">
        <w:t>, DELL</w:t>
      </w:r>
      <w:r>
        <w:t xml:space="preserve"> and AMD Helios independently. The same </w:t>
      </w:r>
      <w:proofErr w:type="spellStart"/>
      <w:r>
        <w:t>Sandisk</w:t>
      </w:r>
      <w:proofErr w:type="spellEnd"/>
      <w:r>
        <w:t xml:space="preserve"> model/expert/placement contract is reused, but transport, host architecture, rack topology, orchestration and economics are re-proven per platform.</w:t>
      </w:r>
    </w:p>
    <w:tbl>
      <w:tblPr>
        <w:tblW w:w="0" w:type="auto"/>
        <w:jc w:val="center"/>
        <w:tblLook w:val="04A0" w:firstRow="1" w:lastRow="0" w:firstColumn="1" w:lastColumn="0" w:noHBand="0" w:noVBand="1"/>
      </w:tblPr>
      <w:tblGrid>
        <w:gridCol w:w="10368"/>
      </w:tblGrid>
      <w:tr w:rsidR="0085422C" w14:paraId="693234E9" w14:textId="77777777">
        <w:trPr>
          <w:jc w:val="center"/>
        </w:trPr>
        <w:tc>
          <w:tcPr>
            <w:tcW w:w="10368" w:type="dxa"/>
            <w:shd w:val="clear" w:color="auto" w:fill="F9ECEF"/>
            <w:tcMar>
              <w:top w:w="120" w:type="dxa"/>
              <w:left w:w="150" w:type="dxa"/>
              <w:bottom w:w="120" w:type="dxa"/>
              <w:right w:w="150" w:type="dxa"/>
            </w:tcMar>
            <w:vAlign w:val="center"/>
          </w:tcPr>
          <w:p w14:paraId="0E40DB85" w14:textId="77777777" w:rsidR="00846FAB" w:rsidRDefault="00000000">
            <w:pPr>
              <w:spacing w:after="0"/>
            </w:pPr>
            <w:r>
              <w:rPr>
                <w:b/>
                <w:color w:val="A73545"/>
                <w:sz w:val="16"/>
              </w:rPr>
              <w:t xml:space="preserve">FINAL PRODUCT STATEMENT TO </w:t>
            </w:r>
            <w:proofErr w:type="gramStart"/>
            <w:r>
              <w:rPr>
                <w:b/>
                <w:color w:val="A73545"/>
                <w:sz w:val="16"/>
              </w:rPr>
              <w:t>EARN  “</w:t>
            </w:r>
            <w:proofErr w:type="gramEnd"/>
            <w:r>
              <w:rPr>
                <w:b/>
                <w:color w:val="A73545"/>
                <w:sz w:val="16"/>
              </w:rPr>
              <w:t xml:space="preserve">For the named </w:t>
            </w:r>
            <w:proofErr w:type="spellStart"/>
            <w:r>
              <w:rPr>
                <w:b/>
                <w:color w:val="A73545"/>
                <w:sz w:val="16"/>
              </w:rPr>
              <w:t>MoE</w:t>
            </w:r>
            <w:proofErr w:type="spellEnd"/>
            <w:r>
              <w:rPr>
                <w:b/>
                <w:color w:val="A73545"/>
                <w:sz w:val="16"/>
              </w:rPr>
              <w:t xml:space="preserve"> checkpoint, workload and rack-scale platform, a qualified ATMOS E3.S expert tier increases accepted service capacity or reduces comparable GPU infrastructure cost while preserving model quality, TTFT/TPOT, availability and supported lifecycle.” This statement is earned independently for NVIDIA NVL and AMD Helios.</w:t>
            </w:r>
          </w:p>
        </w:tc>
      </w:tr>
    </w:tbl>
    <w:p w14:paraId="4624C64E" w14:textId="77777777" w:rsidR="0085422C" w:rsidRDefault="0085422C">
      <w:pPr>
        <w:spacing w:after="20"/>
      </w:pPr>
    </w:p>
    <w:p w14:paraId="7E7D44A2" w14:textId="2AB919F2" w:rsidR="00DA45BD" w:rsidRDefault="00DA45BD">
      <w:pPr>
        <w:spacing w:before="100" w:after="100" w:line="259" w:lineRule="auto"/>
      </w:pPr>
    </w:p>
    <w:p w14:paraId="64D610D4" w14:textId="51B240EA" w:rsidR="0007120A" w:rsidRDefault="00DA45BD" w:rsidP="00C21BF4">
      <w:r>
        <w:br w:type="page"/>
      </w:r>
    </w:p>
    <w:sectPr w:rsidR="0007120A" w:rsidSect="00034616">
      <w:headerReference w:type="default" r:id="rId15"/>
      <w:footerReference w:type="default" r:id="rId16"/>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D4C13C" w14:textId="77777777" w:rsidR="00E96402" w:rsidRDefault="00E96402">
      <w:pPr>
        <w:spacing w:after="0" w:line="240" w:lineRule="auto"/>
      </w:pPr>
      <w:r>
        <w:separator/>
      </w:r>
    </w:p>
  </w:endnote>
  <w:endnote w:type="continuationSeparator" w:id="0">
    <w:p w14:paraId="06E3B84D" w14:textId="77777777" w:rsidR="00E96402" w:rsidRDefault="00E96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CAD04" w14:textId="77777777" w:rsidR="0085422C" w:rsidRDefault="00000000">
    <w:pPr>
      <w:pStyle w:val="Footer"/>
      <w:jc w:val="right"/>
    </w:pPr>
    <w:r>
      <w:rPr>
        <w:rFonts w:eastAsia="Noto Sans"/>
        <w:color w:val="66727D"/>
        <w:sz w:val="14"/>
      </w:rPr>
      <w:t xml:space="preserve">29 September </w:t>
    </w:r>
    <w:proofErr w:type="gramStart"/>
    <w:r>
      <w:rPr>
        <w:rFonts w:eastAsia="Noto Sans"/>
        <w:color w:val="66727D"/>
        <w:sz w:val="14"/>
      </w:rPr>
      <w:t>2026  |</w:t>
    </w:r>
    <w:proofErr w:type="gramEnd"/>
    <w:r>
      <w:rPr>
        <w:rFonts w:eastAsia="Noto Sans"/>
        <w:color w:val="66727D"/>
        <w:sz w:val="14"/>
      </w:rPr>
      <w:t xml:space="preserve">  </w:t>
    </w:r>
    <w:proofErr w:type="gramStart"/>
    <w:r>
      <w:rPr>
        <w:rFonts w:eastAsia="Noto Sans"/>
        <w:color w:val="66727D"/>
        <w:sz w:val="14"/>
      </w:rPr>
      <w:t>v2.0  |</w:t>
    </w:r>
    <w:proofErr w:type="gramEnd"/>
    <w:r>
      <w:rPr>
        <w:rFonts w:eastAsia="Noto Sans"/>
        <w:color w:val="66727D"/>
        <w:sz w:val="14"/>
      </w:rPr>
      <w:t xml:space="preserve">  Planning targets ≠ measured ATMOS </w:t>
    </w:r>
    <w:proofErr w:type="gramStart"/>
    <w:r>
      <w:rPr>
        <w:rFonts w:eastAsia="Noto Sans"/>
        <w:color w:val="66727D"/>
        <w:sz w:val="14"/>
      </w:rPr>
      <w:t xml:space="preserve">results  </w:t>
    </w:r>
    <w:r>
      <w:rPr>
        <w:rFonts w:eastAsia="Noto Sans"/>
        <w:color w:val="66727D"/>
        <w:sz w:val="16"/>
      </w:rPr>
      <w:t>•</w:t>
    </w:r>
    <w:proofErr w:type="gramEnd"/>
    <w:r>
      <w:rPr>
        <w:rFonts w:eastAsia="Noto Sans"/>
        <w:color w:val="66727D"/>
        <w:sz w:val="16"/>
      </w:rPr>
      <w:t xml:space="preserve">  </w:t>
    </w:r>
    <w:r>
      <w:rPr>
        <w:rFonts w:eastAsia="Noto Sans"/>
        <w:color w:val="66727D"/>
        <w:sz w:val="16"/>
      </w:rPr>
      <w:fldChar w:fldCharType="begin"/>
    </w:r>
    <w:r>
      <w:rPr>
        <w:rFonts w:eastAsia="Noto Sans"/>
        <w:color w:val="66727D"/>
        <w:sz w:val="16"/>
      </w:rPr>
      <w:instrText xml:space="preserve"> PAGE </w:instrText>
    </w:r>
    <w:r>
      <w:rPr>
        <w:rFonts w:eastAsia="Noto Sans"/>
        <w:color w:val="66727D"/>
        <w:sz w:val="16"/>
      </w:rPr>
      <w:fldChar w:fldCharType="separate"/>
    </w:r>
    <w:r w:rsidR="00427847">
      <w:rPr>
        <w:rFonts w:eastAsia="Noto Sans"/>
        <w:noProof/>
        <w:color w:val="66727D"/>
        <w:sz w:val="16"/>
      </w:rPr>
      <w:t>1</w:t>
    </w:r>
    <w:r>
      <w:rPr>
        <w:rFonts w:eastAsia="Noto Sans"/>
        <w:color w:val="6672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FACB10" w14:textId="77777777" w:rsidR="00E96402" w:rsidRDefault="00E96402">
      <w:pPr>
        <w:spacing w:after="0" w:line="240" w:lineRule="auto"/>
      </w:pPr>
      <w:r>
        <w:separator/>
      </w:r>
    </w:p>
  </w:footnote>
  <w:footnote w:type="continuationSeparator" w:id="0">
    <w:p w14:paraId="7760FE52" w14:textId="77777777" w:rsidR="00E96402" w:rsidRDefault="00E96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8867A" w14:textId="77777777" w:rsidR="0085422C" w:rsidRDefault="00000000">
    <w:pPr>
      <w:pStyle w:val="Header"/>
      <w:pBdr>
        <w:bottom w:val="single" w:sz="6" w:space="1" w:color="A73545"/>
      </w:pBdr>
    </w:pPr>
    <w:r>
      <w:rPr>
        <w:rFonts w:eastAsia="Noto Sans"/>
        <w:b/>
        <w:color w:val="66727D"/>
        <w:sz w:val="15"/>
      </w:rPr>
      <w:t xml:space="preserve">SANDISK / ATMOS     </w:t>
    </w:r>
    <w:proofErr w:type="spellStart"/>
    <w:r>
      <w:rPr>
        <w:rFonts w:eastAsia="Noto Sans"/>
        <w:b/>
        <w:color w:val="66727D"/>
        <w:sz w:val="15"/>
      </w:rPr>
      <w:t>MoE</w:t>
    </w:r>
    <w:proofErr w:type="spellEnd"/>
    <w:r>
      <w:rPr>
        <w:rFonts w:eastAsia="Noto Sans"/>
        <w:b/>
        <w:color w:val="66727D"/>
        <w:sz w:val="15"/>
      </w:rPr>
      <w:t xml:space="preserve"> HYBRID ARCHITECTURE • INTERNAL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65E26"/>
    <w:multiLevelType w:val="multilevel"/>
    <w:tmpl w:val="45F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930E2"/>
    <w:multiLevelType w:val="multilevel"/>
    <w:tmpl w:val="0DA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E0148"/>
    <w:multiLevelType w:val="multilevel"/>
    <w:tmpl w:val="AE92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045C5"/>
    <w:multiLevelType w:val="multilevel"/>
    <w:tmpl w:val="B94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A0812"/>
    <w:multiLevelType w:val="multilevel"/>
    <w:tmpl w:val="BC28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73E36"/>
    <w:multiLevelType w:val="multilevel"/>
    <w:tmpl w:val="AC5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41E3A"/>
    <w:multiLevelType w:val="multilevel"/>
    <w:tmpl w:val="9C4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10614"/>
    <w:multiLevelType w:val="multilevel"/>
    <w:tmpl w:val="D5D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D36EE"/>
    <w:multiLevelType w:val="multilevel"/>
    <w:tmpl w:val="120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D6A8A"/>
    <w:multiLevelType w:val="multilevel"/>
    <w:tmpl w:val="08B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D2DF8"/>
    <w:multiLevelType w:val="multilevel"/>
    <w:tmpl w:val="68C2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E25A7"/>
    <w:multiLevelType w:val="multilevel"/>
    <w:tmpl w:val="3DA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05B72"/>
    <w:multiLevelType w:val="multilevel"/>
    <w:tmpl w:val="EDE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50FCA"/>
    <w:multiLevelType w:val="multilevel"/>
    <w:tmpl w:val="C7D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61FF9"/>
    <w:multiLevelType w:val="multilevel"/>
    <w:tmpl w:val="75E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47EC4"/>
    <w:multiLevelType w:val="multilevel"/>
    <w:tmpl w:val="FA9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97DAE"/>
    <w:multiLevelType w:val="multilevel"/>
    <w:tmpl w:val="8A9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64B62"/>
    <w:multiLevelType w:val="multilevel"/>
    <w:tmpl w:val="8AD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150F8"/>
    <w:multiLevelType w:val="multilevel"/>
    <w:tmpl w:val="EF1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C5545"/>
    <w:multiLevelType w:val="multilevel"/>
    <w:tmpl w:val="185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A33A0"/>
    <w:multiLevelType w:val="multilevel"/>
    <w:tmpl w:val="79B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D59DA"/>
    <w:multiLevelType w:val="multilevel"/>
    <w:tmpl w:val="6F5E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75571"/>
    <w:multiLevelType w:val="multilevel"/>
    <w:tmpl w:val="4CA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3798C"/>
    <w:multiLevelType w:val="multilevel"/>
    <w:tmpl w:val="64E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69B8"/>
    <w:multiLevelType w:val="multilevel"/>
    <w:tmpl w:val="1BF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400DC"/>
    <w:multiLevelType w:val="multilevel"/>
    <w:tmpl w:val="3A4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7E5886"/>
    <w:multiLevelType w:val="multilevel"/>
    <w:tmpl w:val="955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551F3"/>
    <w:multiLevelType w:val="multilevel"/>
    <w:tmpl w:val="37B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84B40"/>
    <w:multiLevelType w:val="multilevel"/>
    <w:tmpl w:val="5A8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90A92"/>
    <w:multiLevelType w:val="multilevel"/>
    <w:tmpl w:val="884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D73B9"/>
    <w:multiLevelType w:val="multilevel"/>
    <w:tmpl w:val="C12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61FFB"/>
    <w:multiLevelType w:val="multilevel"/>
    <w:tmpl w:val="446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BB6186"/>
    <w:multiLevelType w:val="multilevel"/>
    <w:tmpl w:val="1ED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B515F"/>
    <w:multiLevelType w:val="multilevel"/>
    <w:tmpl w:val="D7DA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9B1F65"/>
    <w:multiLevelType w:val="multilevel"/>
    <w:tmpl w:val="4E32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44FF5"/>
    <w:multiLevelType w:val="multilevel"/>
    <w:tmpl w:val="42F6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A3409E"/>
    <w:multiLevelType w:val="multilevel"/>
    <w:tmpl w:val="45F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926C0"/>
    <w:multiLevelType w:val="multilevel"/>
    <w:tmpl w:val="9CF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25BE7"/>
    <w:multiLevelType w:val="multilevel"/>
    <w:tmpl w:val="09C6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AC6A4D"/>
    <w:multiLevelType w:val="multilevel"/>
    <w:tmpl w:val="C0E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74F06"/>
    <w:multiLevelType w:val="multilevel"/>
    <w:tmpl w:val="E13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F5AA4"/>
    <w:multiLevelType w:val="multilevel"/>
    <w:tmpl w:val="3E4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4435BB"/>
    <w:multiLevelType w:val="multilevel"/>
    <w:tmpl w:val="03C2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C4FF1"/>
    <w:multiLevelType w:val="multilevel"/>
    <w:tmpl w:val="1E70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545B2"/>
    <w:multiLevelType w:val="multilevel"/>
    <w:tmpl w:val="F04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63233"/>
    <w:multiLevelType w:val="multilevel"/>
    <w:tmpl w:val="13F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EF3181"/>
    <w:multiLevelType w:val="multilevel"/>
    <w:tmpl w:val="D0F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46404"/>
    <w:multiLevelType w:val="multilevel"/>
    <w:tmpl w:val="679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A627C"/>
    <w:multiLevelType w:val="multilevel"/>
    <w:tmpl w:val="F75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E1BBF"/>
    <w:multiLevelType w:val="multilevel"/>
    <w:tmpl w:val="37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C2881"/>
    <w:multiLevelType w:val="multilevel"/>
    <w:tmpl w:val="388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03D3F"/>
    <w:multiLevelType w:val="multilevel"/>
    <w:tmpl w:val="CB7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656702">
    <w:abstractNumId w:val="5"/>
  </w:num>
  <w:num w:numId="2" w16cid:durableId="897788251">
    <w:abstractNumId w:val="3"/>
  </w:num>
  <w:num w:numId="3" w16cid:durableId="1724132935">
    <w:abstractNumId w:val="2"/>
  </w:num>
  <w:num w:numId="4" w16cid:durableId="52772778">
    <w:abstractNumId w:val="4"/>
  </w:num>
  <w:num w:numId="5" w16cid:durableId="1468430453">
    <w:abstractNumId w:val="1"/>
  </w:num>
  <w:num w:numId="6" w16cid:durableId="6947222">
    <w:abstractNumId w:val="0"/>
  </w:num>
  <w:num w:numId="7" w16cid:durableId="104007174">
    <w:abstractNumId w:val="45"/>
  </w:num>
  <w:num w:numId="8" w16cid:durableId="368576947">
    <w:abstractNumId w:val="37"/>
  </w:num>
  <w:num w:numId="9" w16cid:durableId="1357806934">
    <w:abstractNumId w:val="38"/>
  </w:num>
  <w:num w:numId="10" w16cid:durableId="1972402609">
    <w:abstractNumId w:val="27"/>
  </w:num>
  <w:num w:numId="11" w16cid:durableId="574897221">
    <w:abstractNumId w:val="32"/>
  </w:num>
  <w:num w:numId="12" w16cid:durableId="1102067602">
    <w:abstractNumId w:val="12"/>
  </w:num>
  <w:num w:numId="13" w16cid:durableId="67001407">
    <w:abstractNumId w:val="10"/>
  </w:num>
  <w:num w:numId="14" w16cid:durableId="1207453495">
    <w:abstractNumId w:val="22"/>
  </w:num>
  <w:num w:numId="15" w16cid:durableId="386035488">
    <w:abstractNumId w:val="34"/>
  </w:num>
  <w:num w:numId="16" w16cid:durableId="1358585328">
    <w:abstractNumId w:val="56"/>
  </w:num>
  <w:num w:numId="17" w16cid:durableId="605578219">
    <w:abstractNumId w:val="54"/>
  </w:num>
  <w:num w:numId="18" w16cid:durableId="835999388">
    <w:abstractNumId w:val="46"/>
  </w:num>
  <w:num w:numId="19" w16cid:durableId="1002469624">
    <w:abstractNumId w:val="50"/>
  </w:num>
  <w:num w:numId="20" w16cid:durableId="1621647033">
    <w:abstractNumId w:val="20"/>
  </w:num>
  <w:num w:numId="21" w16cid:durableId="850337901">
    <w:abstractNumId w:val="21"/>
  </w:num>
  <w:num w:numId="22" w16cid:durableId="944121060">
    <w:abstractNumId w:val="28"/>
  </w:num>
  <w:num w:numId="23" w16cid:durableId="1906715419">
    <w:abstractNumId w:val="52"/>
  </w:num>
  <w:num w:numId="24" w16cid:durableId="846990833">
    <w:abstractNumId w:val="36"/>
  </w:num>
  <w:num w:numId="25" w16cid:durableId="704869266">
    <w:abstractNumId w:val="57"/>
  </w:num>
  <w:num w:numId="26" w16cid:durableId="181557297">
    <w:abstractNumId w:val="7"/>
  </w:num>
  <w:num w:numId="27" w16cid:durableId="313875238">
    <w:abstractNumId w:val="18"/>
  </w:num>
  <w:num w:numId="28" w16cid:durableId="1646081364">
    <w:abstractNumId w:val="24"/>
  </w:num>
  <w:num w:numId="29" w16cid:durableId="471095834">
    <w:abstractNumId w:val="33"/>
  </w:num>
  <w:num w:numId="30" w16cid:durableId="985554279">
    <w:abstractNumId w:val="43"/>
  </w:num>
  <w:num w:numId="31" w16cid:durableId="948972613">
    <w:abstractNumId w:val="55"/>
  </w:num>
  <w:num w:numId="32" w16cid:durableId="1930117515">
    <w:abstractNumId w:val="6"/>
  </w:num>
  <w:num w:numId="33" w16cid:durableId="1478034303">
    <w:abstractNumId w:val="23"/>
  </w:num>
  <w:num w:numId="34" w16cid:durableId="206573243">
    <w:abstractNumId w:val="41"/>
  </w:num>
  <w:num w:numId="35" w16cid:durableId="418870378">
    <w:abstractNumId w:val="35"/>
  </w:num>
  <w:num w:numId="36" w16cid:durableId="1919097420">
    <w:abstractNumId w:val="31"/>
  </w:num>
  <w:num w:numId="37" w16cid:durableId="690031562">
    <w:abstractNumId w:val="11"/>
  </w:num>
  <w:num w:numId="38" w16cid:durableId="328755564">
    <w:abstractNumId w:val="44"/>
  </w:num>
  <w:num w:numId="39" w16cid:durableId="140312592">
    <w:abstractNumId w:val="29"/>
  </w:num>
  <w:num w:numId="40" w16cid:durableId="683744345">
    <w:abstractNumId w:val="9"/>
  </w:num>
  <w:num w:numId="41" w16cid:durableId="1302805633">
    <w:abstractNumId w:val="26"/>
  </w:num>
  <w:num w:numId="42" w16cid:durableId="1570530243">
    <w:abstractNumId w:val="40"/>
  </w:num>
  <w:num w:numId="43" w16cid:durableId="1696492803">
    <w:abstractNumId w:val="8"/>
  </w:num>
  <w:num w:numId="44" w16cid:durableId="1715160357">
    <w:abstractNumId w:val="48"/>
  </w:num>
  <w:num w:numId="45" w16cid:durableId="895432314">
    <w:abstractNumId w:val="49"/>
  </w:num>
  <w:num w:numId="46" w16cid:durableId="2095589844">
    <w:abstractNumId w:val="16"/>
  </w:num>
  <w:num w:numId="47" w16cid:durableId="1310280832">
    <w:abstractNumId w:val="47"/>
  </w:num>
  <w:num w:numId="48" w16cid:durableId="880942006">
    <w:abstractNumId w:val="15"/>
  </w:num>
  <w:num w:numId="49" w16cid:durableId="1801805060">
    <w:abstractNumId w:val="39"/>
  </w:num>
  <w:num w:numId="50" w16cid:durableId="1923832194">
    <w:abstractNumId w:val="19"/>
  </w:num>
  <w:num w:numId="51" w16cid:durableId="609892894">
    <w:abstractNumId w:val="14"/>
  </w:num>
  <w:num w:numId="52" w16cid:durableId="1566262542">
    <w:abstractNumId w:val="30"/>
  </w:num>
  <w:num w:numId="53" w16cid:durableId="1288120485">
    <w:abstractNumId w:val="51"/>
  </w:num>
  <w:num w:numId="54" w16cid:durableId="1746106573">
    <w:abstractNumId w:val="53"/>
  </w:num>
  <w:num w:numId="55" w16cid:durableId="2145780107">
    <w:abstractNumId w:val="25"/>
  </w:num>
  <w:num w:numId="56" w16cid:durableId="1514953827">
    <w:abstractNumId w:val="42"/>
  </w:num>
  <w:num w:numId="57" w16cid:durableId="766582802">
    <w:abstractNumId w:val="17"/>
  </w:num>
  <w:num w:numId="58" w16cid:durableId="818419593">
    <w:abstractNumId w:val="13"/>
  </w:num>
  <w:numIdMacAtCleanup w:val="5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ED"/>
    <w:rsid w:val="00034616"/>
    <w:rsid w:val="0006063C"/>
    <w:rsid w:val="0007120A"/>
    <w:rsid w:val="000E731F"/>
    <w:rsid w:val="0015074B"/>
    <w:rsid w:val="0016549A"/>
    <w:rsid w:val="00167EA5"/>
    <w:rsid w:val="002451E4"/>
    <w:rsid w:val="0029639D"/>
    <w:rsid w:val="002D0B0E"/>
    <w:rsid w:val="00326F90"/>
    <w:rsid w:val="003431E3"/>
    <w:rsid w:val="003A08C8"/>
    <w:rsid w:val="003E2683"/>
    <w:rsid w:val="00427847"/>
    <w:rsid w:val="004C0CC2"/>
    <w:rsid w:val="00582286"/>
    <w:rsid w:val="005835B4"/>
    <w:rsid w:val="005A071E"/>
    <w:rsid w:val="005A5290"/>
    <w:rsid w:val="005C0755"/>
    <w:rsid w:val="006002B0"/>
    <w:rsid w:val="007E58D1"/>
    <w:rsid w:val="007F64FC"/>
    <w:rsid w:val="00846FAB"/>
    <w:rsid w:val="0085422C"/>
    <w:rsid w:val="00923766"/>
    <w:rsid w:val="009A2EBE"/>
    <w:rsid w:val="009E7494"/>
    <w:rsid w:val="00AA1D8D"/>
    <w:rsid w:val="00AE74B9"/>
    <w:rsid w:val="00B47730"/>
    <w:rsid w:val="00C21BF4"/>
    <w:rsid w:val="00C52885"/>
    <w:rsid w:val="00CB0664"/>
    <w:rsid w:val="00CB79E0"/>
    <w:rsid w:val="00DA45BD"/>
    <w:rsid w:val="00DA59E0"/>
    <w:rsid w:val="00DC1C50"/>
    <w:rsid w:val="00E96402"/>
    <w:rsid w:val="00F830EC"/>
    <w:rsid w:val="00FB52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AC189"/>
  <w14:defaultImageDpi w14:val="300"/>
  <w15:docId w15:val="{D68F0B68-AB14-0A43-B0F2-0C3F4233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w:hAnsi="Noto San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DA45BD"/>
    <w:rPr>
      <w:strike w:val="0"/>
      <w:dstrike w:val="0"/>
      <w:color w:val="464FEB"/>
      <w:u w:val="none"/>
      <w:effect w:val="none"/>
    </w:rPr>
  </w:style>
  <w:style w:type="paragraph" w:styleId="NormalWeb">
    <w:name w:val="Normal (Web)"/>
    <w:basedOn w:val="Normal"/>
    <w:uiPriority w:val="99"/>
    <w:semiHidden/>
    <w:unhideWhenUsed/>
    <w:rsid w:val="00DA45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hviae9b">
    <w:name w:val="ehviae9b"/>
    <w:basedOn w:val="DefaultParagraphFont"/>
    <w:rsid w:val="00DA4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16</Pages>
  <Words>4788</Words>
  <Characters>27295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ATMOS E3.S for Rack-Scale MoE Serving</vt:lpstr>
    </vt:vector>
  </TitlesOfParts>
  <Manager/>
  <Company/>
  <LinksUpToDate>false</LinksUpToDate>
  <CharactersWithSpaces>32019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E3.S for Rack-Scale MoE Serving</dc:title>
  <dc:subject>Rack-scale MoE hybrid architecture for NVIDIA NVL and AMD Helios; RTX POC/MVP reference</dc:subject>
  <dc:creator>Sandisk / ATMOS Architecture</dc:creator>
  <cp:keywords/>
  <dc:description>Planning targets are not measured ATMOS results.</dc:description>
  <cp:lastModifiedBy>Shailesh Pilare</cp:lastModifiedBy>
  <cp:revision>7</cp:revision>
  <dcterms:created xsi:type="dcterms:W3CDTF">2026-09-29T17:48:00Z</dcterms:created>
  <dcterms:modified xsi:type="dcterms:W3CDTF">2026-09-30T20:11:00Z</dcterms:modified>
  <cp:category/>
</cp:coreProperties>
</file>