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D3C562" w14:textId="77777777" w:rsidR="0085422C" w:rsidRDefault="00000000">
      <w:pPr>
        <w:spacing w:line="259" w:lineRule="auto"/>
      </w:pPr>
      <w:r>
        <w:rPr>
          <w:b/>
          <w:color w:val="A73545"/>
          <w:sz w:val="18"/>
        </w:rPr>
        <w:t>GATED FEASIBILITY • TURNKEY OEM PATHS • MoE ONLY • SWITCHED E3.S</w:t>
      </w:r>
    </w:p>
    <w:p w14:paraId="6948053C" w14:textId="49199BC2" w:rsidR="0085422C" w:rsidRDefault="00000000">
      <w:pPr>
        <w:spacing w:after="120"/>
      </w:pPr>
      <w:bookmarkStart w:id="0" w:name="OLE_LINK19"/>
      <w:r>
        <w:rPr>
          <w:b/>
          <w:color w:val="16324F"/>
          <w:sz w:val="60"/>
        </w:rPr>
        <w:t>ATMOS E3.S for MoE Serving — Version 3</w:t>
      </w:r>
    </w:p>
    <w:bookmarkEnd w:id="0"/>
    <w:p w14:paraId="0AFDB753" w14:textId="77777777" w:rsidR="0085422C" w:rsidRPr="006002B0" w:rsidRDefault="00427847">
      <w:pPr>
        <w:spacing w:after="280"/>
        <w:rPr>
          <w:sz w:val="15"/>
          <w:szCs w:val="18"/>
        </w:rPr>
      </w:pPr>
      <w:r>
        <w:rPr>
          <w:i/>
          <w:color w:val="66727D"/>
          <w:sz w:val="26"/>
        </w:rPr>
        <w:t>Hybrid expert acceleration across rack OEMs • RTX as a development vehicle</w:t>
      </w:r>
    </w:p>
    <w:p w14:paraId="426EAD8A" w14:textId="77777777" w:rsidR="0085422C" w:rsidRDefault="00000000" w:rsidP="00582286">
      <w:r>
        <w:rPr>
          <w:rFonts w:eastAsia="Noto Sans"/>
          <w:b/>
          <w:color w:val="16324F"/>
          <w:sz w:val="36"/>
        </w:rPr>
        <w:t>Executive summary</w:t>
      </w:r>
    </w:p>
    <w:p w14:paraId="61A74686" w14:textId="76793EDF" w:rsidR="0085422C" w:rsidRPr="00FB525F" w:rsidRDefault="00582286">
      <w:pPr>
        <w:spacing w:after="100" w:line="259" w:lineRule="auto"/>
        <w:rPr>
          <w:rFonts w:eastAsia="Noto Sans"/>
          <w:color w:val="24313D"/>
          <w:sz w:val="20"/>
        </w:rPr>
      </w:pPr>
      <w:bookmarkStart w:id="1" w:name="OLE_LINK17"/>
      <w:r>
        <w:rPr>
          <w:sz w:val="18"/>
        </w:rPr>
        <w:t>This V3 proposal converts the V2 assessment into an evidence-gated feasibility program. The first decision is whether a complete GPU-router-to-ATMOS-expert-to-GPU continuation fits the measured per-layer latency budget; capacity fit alone is not sufficient. A single Qwen3-235B-class FP8 configuration is qualified first on an RTX development vehicle, followed by a four-GPU/four-ATMOS tray emulator and one named turnkey OEM rack path. NVIDIA NVL and AMD Helios remain reference platforms, while additional rack integrators are screened through the same attachment, availability, lifecycle, and measured-ROI gates.</w:t>
      </w:r>
      <w:bookmarkStart w:id="2" w:name="OLE_LINK18"/>
      <w:bookmarkEnd w:id="2"/>
    </w:p>
    <w:bookmarkEnd w:id="1"/>
    <w:p w14:paraId="69497518" w14:textId="243CF8DD" w:rsidR="0085422C" w:rsidRDefault="00000000">
      <w:pPr>
        <w:pStyle w:val="ListBullet"/>
        <w:spacing w:after="60" w:line="252" w:lineRule="auto"/>
        <w:ind w:left="259" w:hanging="173"/>
      </w:pPr>
      <w:r w:rsidRPr="003431E3">
        <w:rPr>
          <w:b/>
          <w:bCs/>
        </w:rPr>
        <w:t>Product target: Earn a product claim separately on each named OEM/platform; the RTX system is a software and heterogeneous-execution development vehicle.</w:t>
      </w:r>
    </w:p>
    <w:p w14:paraId="421E0192" w14:textId="4921949D" w:rsidR="0085422C" w:rsidRDefault="00000000">
      <w:pPr>
        <w:pStyle w:val="ListBullet"/>
        <w:spacing w:after="60" w:line="252" w:lineRule="auto"/>
        <w:ind w:left="259" w:hanging="173"/>
      </w:pPr>
      <w:r w:rsidRPr="003431E3">
        <w:rPr>
          <w:b/>
          <w:bCs/>
        </w:rPr>
        <w:t>Economic thesis</w:t>
      </w:r>
      <w:r>
        <w:t xml:space="preserve">: </w:t>
      </w:r>
      <w:r w:rsidR="00AE74B9" w:rsidRPr="00AE74B9">
        <w:rPr>
          <w:b/>
          <w:bCs/>
        </w:rPr>
        <w:t>I</w:t>
      </w:r>
      <w:r w:rsidRPr="00AE74B9">
        <w:rPr>
          <w:b/>
          <w:bCs/>
        </w:rPr>
        <w:t>ncrease accepted MoE work per unit of GPU infrastructure</w:t>
      </w:r>
      <w:r>
        <w:t>, then spend the headroom on throughput, KV/concurrency, fewer active GPU units, or lower scale-out traffic while preserving quality, TTFT and TPOT.</w:t>
      </w:r>
    </w:p>
    <w:p w14:paraId="142F0E71" w14:textId="7D3B4E95" w:rsidR="0085422C" w:rsidRDefault="00000000">
      <w:pPr>
        <w:pStyle w:val="ListBullet"/>
        <w:spacing w:after="60" w:line="252" w:lineRule="auto"/>
        <w:ind w:left="259" w:hanging="173"/>
      </w:pPr>
      <w:r w:rsidRPr="003431E3">
        <w:rPr>
          <w:b/>
          <w:bCs/>
        </w:rPr>
        <w:t>Portability rule</w:t>
      </w:r>
      <w:r>
        <w:t xml:space="preserve">: </w:t>
      </w:r>
      <w:r w:rsidR="00AE74B9" w:rsidRPr="00AE74B9">
        <w:rPr>
          <w:b/>
          <w:bCs/>
        </w:rPr>
        <w:t>U</w:t>
      </w:r>
      <w:r w:rsidRPr="00AE74B9">
        <w:rPr>
          <w:b/>
          <w:bCs/>
        </w:rPr>
        <w:t>se</w:t>
      </w:r>
      <w:r>
        <w:t xml:space="preserve"> stock </w:t>
      </w:r>
      <w:r w:rsidRPr="00AE74B9">
        <w:rPr>
          <w:b/>
          <w:bCs/>
        </w:rPr>
        <w:t>CUDA/NCCL or ROCm/HIP/RCCL</w:t>
      </w:r>
      <w:r>
        <w:t xml:space="preserve">; </w:t>
      </w:r>
      <w:r w:rsidRPr="003431E3">
        <w:rPr>
          <w:b/>
          <w:bCs/>
        </w:rPr>
        <w:t>do not modify proprietary GPU firmware/drivers; keep ATMOS outside NVLink/NVSwitch and UALink</w:t>
      </w:r>
      <w:r>
        <w:t>. Host staging is the guaranteed transport baseline.</w:t>
      </w:r>
    </w:p>
    <w:p w14:paraId="6C49B4B4" w14:textId="00E6EF27" w:rsidR="0085422C" w:rsidRDefault="00000000">
      <w:pPr>
        <w:pStyle w:val="ListBullet"/>
        <w:spacing w:after="60" w:line="252" w:lineRule="auto"/>
        <w:ind w:left="259" w:hanging="173"/>
      </w:pPr>
      <w:r w:rsidRPr="003431E3">
        <w:rPr>
          <w:b/>
          <w:bCs/>
        </w:rPr>
        <w:t>Validation discipline: Six sequential decision gates cover baseline freeze, primitive latency/service curves, tray-scale routing and faults, full RTX service, named OEM attachment, and independent rack-scale ROI qualification.</w:t>
      </w:r>
    </w:p>
    <w:p w14:paraId="38CD59BD" w14:textId="77777777" w:rsidR="00DA59E0" w:rsidRDefault="00DA59E0" w:rsidP="00DA59E0">
      <w:pPr>
        <w:pStyle w:val="ListBullet"/>
        <w:numPr>
          <w:ilvl w:val="0"/>
          <w:numId w:val="0"/>
        </w:numPr>
        <w:spacing w:after="60" w:line="252" w:lineRule="auto"/>
        <w:ind w:left="259"/>
      </w:pPr>
    </w:p>
    <w:tbl>
      <w:tblPr>
        <w:tblStyle w:val="TableGrid"/>
        <w:tblW w:w="0" w:type="auto"/>
        <w:tblInd w:w="360" w:type="dxa"/>
        <w:tblLook w:val="04A0" w:firstRow="1" w:lastRow="0" w:firstColumn="1" w:lastColumn="0" w:noHBand="0" w:noVBand="1"/>
      </w:tblPr>
      <w:tblGrid>
        <w:gridCol w:w="9998"/>
      </w:tblGrid>
      <w:tr w:rsidR="00DA59E0" w14:paraId="79FB14B6" w14:textId="77777777" w:rsidTr="00DA59E0">
        <w:tc>
          <w:tcPr>
            <w:tcW w:w="10358" w:type="dxa"/>
          </w:tcPr>
          <w:p w14:paraId="103FC87D" w14:textId="1A6499C9" w:rsidR="00DA59E0" w:rsidRDefault="002D0B0E" w:rsidP="00DA59E0">
            <w:pPr>
              <w:pStyle w:val="ListBullet"/>
              <w:numPr>
                <w:ilvl w:val="0"/>
                <w:numId w:val="0"/>
              </w:numPr>
              <w:spacing w:after="60" w:line="252" w:lineRule="auto"/>
            </w:pPr>
            <w:r w:rsidRPr="00020EED">
              <w:rPr>
                <w:noProof/>
              </w:rPr>
              <w:drawing>
                <wp:inline distT="0" distB="0" distL="0" distR="0" wp14:anchorId="206C7236" wp14:editId="7B665250">
                  <wp:extent cx="5776109" cy="4332083"/>
                  <wp:effectExtent l="0" t="0" r="2540" b="0"/>
                  <wp:docPr id="319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5270" name=""/>
                          <pic:cNvPicPr/>
                        </pic:nvPicPr>
                        <pic:blipFill>
                          <a:blip r:embed="rId8"/>
                          <a:stretch>
                            <a:fillRect/>
                          </a:stretch>
                        </pic:blipFill>
                        <pic:spPr>
                          <a:xfrm>
                            <a:off x="0" y="0"/>
                            <a:ext cx="5862857" cy="4397144"/>
                          </a:xfrm>
                          <a:prstGeom prst="rect">
                            <a:avLst/>
                          </a:prstGeom>
                        </pic:spPr>
                      </pic:pic>
                    </a:graphicData>
                  </a:graphic>
                </wp:inline>
              </w:drawing>
            </w:r>
          </w:p>
        </w:tc>
      </w:tr>
    </w:tbl>
    <w:p w14:paraId="0AB7966E" w14:textId="4A7A9CED" w:rsidR="00DA59E0" w:rsidRDefault="00DA59E0" w:rsidP="00DA59E0">
      <w:pPr>
        <w:pStyle w:val="ListBullet"/>
        <w:numPr>
          <w:ilvl w:val="0"/>
          <w:numId w:val="0"/>
        </w:numPr>
        <w:spacing w:after="60" w:line="252" w:lineRule="auto"/>
        <w:ind w:left="360" w:hanging="360"/>
      </w:pPr>
    </w:p>
    <w:p w14:paraId="62A64B4F" w14:textId="77777777" w:rsidR="0085422C" w:rsidRDefault="0085422C">
      <w:pPr>
        <w:spacing w:after="20"/>
      </w:pPr>
    </w:p>
    <w:p w14:paraId="20A40186" w14:textId="77777777" w:rsidR="0085422C" w:rsidRDefault="00000000">
      <w:pPr>
        <w:keepNext/>
        <w:spacing w:before="60" w:after="60"/>
      </w:pPr>
      <w:r>
        <w:rPr>
          <w:rFonts w:eastAsia="Noto Sans"/>
          <w:b/>
          <w:color w:val="16324F"/>
          <w:sz w:val="25"/>
        </w:rPr>
        <w:lastRenderedPageBreak/>
        <w:t>Reading map</w:t>
      </w:r>
    </w:p>
    <w:tbl>
      <w:tblPr>
        <w:tblStyle w:val="TableGrid"/>
        <w:tblW w:w="0" w:type="auto"/>
        <w:jc w:val="center"/>
        <w:tblLayout w:type="fixed"/>
        <w:tblLook w:val="04A0" w:firstRow="1" w:lastRow="0" w:firstColumn="1" w:lastColumn="0" w:noHBand="0" w:noVBand="1"/>
      </w:tblPr>
      <w:tblGrid>
        <w:gridCol w:w="1440"/>
        <w:gridCol w:w="3960"/>
        <w:gridCol w:w="4608"/>
      </w:tblGrid>
      <w:tr w:rsidR="0085422C" w14:paraId="18954CEC" w14:textId="77777777">
        <w:trPr>
          <w:tblHeader/>
          <w:jc w:val="center"/>
        </w:trPr>
        <w:tc>
          <w:tcPr>
            <w:tcW w:w="1440" w:type="dxa"/>
            <w:shd w:val="clear" w:color="auto" w:fill="16324F"/>
            <w:tcMar>
              <w:top w:w="80" w:type="dxa"/>
              <w:left w:w="90" w:type="dxa"/>
              <w:bottom w:w="80" w:type="dxa"/>
              <w:right w:w="90" w:type="dxa"/>
            </w:tcMar>
            <w:vAlign w:val="center"/>
          </w:tcPr>
          <w:p w14:paraId="4EDB33C4" w14:textId="77777777" w:rsidR="00846FAB" w:rsidRDefault="00000000">
            <w:r>
              <w:rPr>
                <w:b/>
                <w:color w:val="FFFFFF"/>
                <w:sz w:val="16"/>
              </w:rPr>
              <w:t>Part</w:t>
            </w:r>
          </w:p>
        </w:tc>
        <w:tc>
          <w:tcPr>
            <w:tcW w:w="3960" w:type="dxa"/>
            <w:shd w:val="clear" w:color="auto" w:fill="16324F"/>
            <w:tcMar>
              <w:top w:w="80" w:type="dxa"/>
              <w:left w:w="90" w:type="dxa"/>
              <w:bottom w:w="80" w:type="dxa"/>
              <w:right w:w="90" w:type="dxa"/>
            </w:tcMar>
            <w:vAlign w:val="center"/>
          </w:tcPr>
          <w:p w14:paraId="4A5DC7FC" w14:textId="77777777" w:rsidR="00846FAB" w:rsidRDefault="00000000">
            <w:r>
              <w:rPr>
                <w:b/>
                <w:color w:val="FFFFFF"/>
                <w:sz w:val="16"/>
              </w:rPr>
              <w:t>Question answered</w:t>
            </w:r>
          </w:p>
        </w:tc>
        <w:tc>
          <w:tcPr>
            <w:tcW w:w="4608" w:type="dxa"/>
            <w:shd w:val="clear" w:color="auto" w:fill="16324F"/>
            <w:tcMar>
              <w:top w:w="80" w:type="dxa"/>
              <w:left w:w="90" w:type="dxa"/>
              <w:bottom w:w="80" w:type="dxa"/>
              <w:right w:w="90" w:type="dxa"/>
            </w:tcMar>
            <w:vAlign w:val="center"/>
          </w:tcPr>
          <w:p w14:paraId="0ACDE9F7" w14:textId="77777777" w:rsidR="00846FAB" w:rsidRDefault="00000000">
            <w:r>
              <w:rPr>
                <w:b/>
                <w:color w:val="FFFFFF"/>
                <w:sz w:val="16"/>
              </w:rPr>
              <w:t>Outcome</w:t>
            </w:r>
          </w:p>
        </w:tc>
      </w:tr>
      <w:tr w:rsidR="0085422C" w14:paraId="1B5249B2" w14:textId="77777777">
        <w:trPr>
          <w:cantSplit/>
          <w:jc w:val="center"/>
        </w:trPr>
        <w:tc>
          <w:tcPr>
            <w:tcW w:w="1440" w:type="dxa"/>
            <w:tcMar>
              <w:top w:w="70" w:type="dxa"/>
              <w:left w:w="80" w:type="dxa"/>
              <w:bottom w:w="70" w:type="dxa"/>
              <w:right w:w="80" w:type="dxa"/>
            </w:tcMar>
            <w:vAlign w:val="center"/>
          </w:tcPr>
          <w:p w14:paraId="32B4C94F" w14:textId="77777777" w:rsidR="00846FAB" w:rsidRPr="00AE74B9" w:rsidRDefault="00000000">
            <w:pPr>
              <w:rPr>
                <w:b/>
                <w:bCs/>
              </w:rPr>
            </w:pPr>
            <w:r w:rsidRPr="00AE74B9">
              <w:rPr>
                <w:b/>
                <w:bCs/>
                <w:sz w:val="16"/>
              </w:rPr>
              <w:t>Background</w:t>
            </w:r>
          </w:p>
        </w:tc>
        <w:tc>
          <w:tcPr>
            <w:tcW w:w="3960" w:type="dxa"/>
            <w:tcMar>
              <w:top w:w="70" w:type="dxa"/>
              <w:left w:w="80" w:type="dxa"/>
              <w:bottom w:w="70" w:type="dxa"/>
              <w:right w:w="80" w:type="dxa"/>
            </w:tcMar>
            <w:vAlign w:val="center"/>
          </w:tcPr>
          <w:p w14:paraId="5C9BB1CA" w14:textId="36714C4A" w:rsidR="00846FAB" w:rsidRDefault="00000000">
            <w:r>
              <w:rPr>
                <w:sz w:val="16"/>
              </w:rPr>
              <w:t>Why an ATMOS expert tier matter?</w:t>
            </w:r>
          </w:p>
        </w:tc>
        <w:tc>
          <w:tcPr>
            <w:tcW w:w="4608" w:type="dxa"/>
            <w:tcMar>
              <w:top w:w="70" w:type="dxa"/>
              <w:left w:w="80" w:type="dxa"/>
              <w:bottom w:w="70" w:type="dxa"/>
              <w:right w:w="80" w:type="dxa"/>
            </w:tcMar>
            <w:vAlign w:val="center"/>
          </w:tcPr>
          <w:p w14:paraId="5C008745" w14:textId="77777777" w:rsidR="00846FAB" w:rsidRDefault="00000000">
            <w:r>
              <w:rPr>
                <w:sz w:val="16"/>
              </w:rPr>
              <w:t>Value hypothesis, claim boundary and common resource model.</w:t>
            </w:r>
          </w:p>
        </w:tc>
      </w:tr>
      <w:tr w:rsidR="00C52885" w14:paraId="792C5AFF" w14:textId="77777777">
        <w:trPr>
          <w:cantSplit/>
          <w:jc w:val="center"/>
        </w:trPr>
        <w:tc>
          <w:tcPr>
            <w:tcW w:w="1440" w:type="dxa"/>
            <w:shd w:val="clear" w:color="auto" w:fill="F3F6F8"/>
            <w:tcMar>
              <w:top w:w="70" w:type="dxa"/>
              <w:left w:w="80" w:type="dxa"/>
              <w:bottom w:w="70" w:type="dxa"/>
              <w:right w:w="80" w:type="dxa"/>
            </w:tcMar>
            <w:vAlign w:val="center"/>
          </w:tcPr>
          <w:p w14:paraId="3EE1ED28" w14:textId="77777777" w:rsidR="00846FAB" w:rsidRPr="00AE74B9" w:rsidRDefault="00000000">
            <w:pPr>
              <w:rPr>
                <w:b/>
                <w:bCs/>
              </w:rPr>
            </w:pPr>
            <w:r w:rsidRPr="00AE74B9">
              <w:rPr>
                <w:b/>
                <w:bCs/>
                <w:sz w:val="16"/>
              </w:rPr>
              <w:t>Product target</w:t>
            </w:r>
          </w:p>
        </w:tc>
        <w:tc>
          <w:tcPr>
            <w:tcW w:w="3960" w:type="dxa"/>
            <w:shd w:val="clear" w:color="auto" w:fill="F3F6F8"/>
            <w:tcMar>
              <w:top w:w="70" w:type="dxa"/>
              <w:left w:w="80" w:type="dxa"/>
              <w:bottom w:w="70" w:type="dxa"/>
              <w:right w:w="80" w:type="dxa"/>
            </w:tcMar>
            <w:vAlign w:val="center"/>
          </w:tcPr>
          <w:p w14:paraId="7C53F9E9" w14:textId="77777777" w:rsidR="00846FAB" w:rsidRDefault="00000000">
            <w:r>
              <w:rPr>
                <w:sz w:val="16"/>
              </w:rPr>
              <w:t>How does the RTX development vehicle lead to rack scale?</w:t>
            </w:r>
          </w:p>
        </w:tc>
        <w:tc>
          <w:tcPr>
            <w:tcW w:w="4608" w:type="dxa"/>
            <w:shd w:val="clear" w:color="auto" w:fill="F3F6F8"/>
            <w:tcMar>
              <w:top w:w="70" w:type="dxa"/>
              <w:left w:w="80" w:type="dxa"/>
              <w:bottom w:w="70" w:type="dxa"/>
              <w:right w:w="80" w:type="dxa"/>
            </w:tcMar>
            <w:vAlign w:val="center"/>
          </w:tcPr>
          <w:p w14:paraId="3CA74C71" w14:textId="77777777" w:rsidR="00846FAB" w:rsidRDefault="00000000">
            <w:r>
              <w:rPr>
                <w:sz w:val="16"/>
              </w:rPr>
              <w:t>NVIDIA NVL and AMD Helios are the production targets; RTX is the proving ground.</w:t>
            </w:r>
          </w:p>
        </w:tc>
      </w:tr>
      <w:tr w:rsidR="0085422C" w14:paraId="6DBB5C21" w14:textId="77777777">
        <w:trPr>
          <w:cantSplit/>
          <w:jc w:val="center"/>
        </w:trPr>
        <w:tc>
          <w:tcPr>
            <w:tcW w:w="1440" w:type="dxa"/>
            <w:shd w:val="clear" w:color="auto" w:fill="F6F8FA"/>
            <w:tcMar>
              <w:top w:w="70" w:type="dxa"/>
              <w:left w:w="80" w:type="dxa"/>
              <w:bottom w:w="70" w:type="dxa"/>
              <w:right w:w="80" w:type="dxa"/>
            </w:tcMar>
            <w:vAlign w:val="center"/>
          </w:tcPr>
          <w:p w14:paraId="35ABE192" w14:textId="77777777" w:rsidR="00846FAB" w:rsidRPr="00AE74B9" w:rsidRDefault="00000000">
            <w:pPr>
              <w:rPr>
                <w:b/>
                <w:bCs/>
              </w:rPr>
            </w:pPr>
            <w:r w:rsidRPr="00AE74B9">
              <w:rPr>
                <w:b/>
                <w:bCs/>
                <w:sz w:val="16"/>
              </w:rPr>
              <w:t>Part I</w:t>
            </w:r>
          </w:p>
        </w:tc>
        <w:tc>
          <w:tcPr>
            <w:tcW w:w="3960" w:type="dxa"/>
            <w:shd w:val="clear" w:color="auto" w:fill="F6F8FA"/>
            <w:tcMar>
              <w:top w:w="70" w:type="dxa"/>
              <w:left w:w="80" w:type="dxa"/>
              <w:bottom w:w="70" w:type="dxa"/>
              <w:right w:w="80" w:type="dxa"/>
            </w:tcMar>
            <w:vAlign w:val="center"/>
          </w:tcPr>
          <w:p w14:paraId="1DF97E53" w14:textId="77777777" w:rsidR="00846FAB" w:rsidRDefault="00000000">
            <w:r>
              <w:rPr>
                <w:sz w:val="16"/>
              </w:rPr>
              <w:t>How does the switched E3.S subsystem attach?</w:t>
            </w:r>
          </w:p>
        </w:tc>
        <w:tc>
          <w:tcPr>
            <w:tcW w:w="4608" w:type="dxa"/>
            <w:shd w:val="clear" w:color="auto" w:fill="F6F8FA"/>
            <w:tcMar>
              <w:top w:w="70" w:type="dxa"/>
              <w:left w:w="80" w:type="dxa"/>
              <w:bottom w:w="70" w:type="dxa"/>
              <w:right w:w="80" w:type="dxa"/>
            </w:tcMar>
            <w:vAlign w:val="center"/>
          </w:tcPr>
          <w:p w14:paraId="076FF94B" w14:textId="77777777" w:rsidR="00846FAB" w:rsidRDefault="00000000">
            <w:r>
              <w:rPr>
                <w:sz w:val="16"/>
              </w:rPr>
              <w:t>Gen5 baseline, Gen6 path, DMA/peer rules and OEM/rack gates.</w:t>
            </w:r>
          </w:p>
        </w:tc>
      </w:tr>
      <w:tr w:rsidR="0085422C" w14:paraId="37741A81" w14:textId="77777777">
        <w:trPr>
          <w:cantSplit/>
          <w:jc w:val="center"/>
        </w:trPr>
        <w:tc>
          <w:tcPr>
            <w:tcW w:w="1440" w:type="dxa"/>
            <w:shd w:val="clear" w:color="auto" w:fill="F3F6F8"/>
            <w:tcMar>
              <w:top w:w="70" w:type="dxa"/>
              <w:left w:w="80" w:type="dxa"/>
              <w:bottom w:w="70" w:type="dxa"/>
              <w:right w:w="80" w:type="dxa"/>
            </w:tcMar>
            <w:vAlign w:val="center"/>
          </w:tcPr>
          <w:p w14:paraId="47CA4C6F" w14:textId="77777777" w:rsidR="00846FAB" w:rsidRPr="00AE74B9" w:rsidRDefault="00000000">
            <w:pPr>
              <w:rPr>
                <w:b/>
                <w:bCs/>
              </w:rPr>
            </w:pPr>
            <w:r w:rsidRPr="00AE74B9">
              <w:rPr>
                <w:b/>
                <w:bCs/>
                <w:sz w:val="16"/>
              </w:rPr>
              <w:t>Part II</w:t>
            </w:r>
          </w:p>
        </w:tc>
        <w:tc>
          <w:tcPr>
            <w:tcW w:w="3960" w:type="dxa"/>
            <w:shd w:val="clear" w:color="auto" w:fill="F3F6F8"/>
            <w:tcMar>
              <w:top w:w="70" w:type="dxa"/>
              <w:left w:w="80" w:type="dxa"/>
              <w:bottom w:w="70" w:type="dxa"/>
              <w:right w:w="80" w:type="dxa"/>
            </w:tcMar>
            <w:vAlign w:val="center"/>
          </w:tcPr>
          <w:p w14:paraId="36E30E20" w14:textId="77777777" w:rsidR="00846FAB" w:rsidRDefault="00000000">
            <w:r>
              <w:rPr>
                <w:sz w:val="16"/>
              </w:rPr>
              <w:t>What changes in the serving stack?</w:t>
            </w:r>
          </w:p>
        </w:tc>
        <w:tc>
          <w:tcPr>
            <w:tcW w:w="4608" w:type="dxa"/>
            <w:shd w:val="clear" w:color="auto" w:fill="F3F6F8"/>
            <w:tcMar>
              <w:top w:w="70" w:type="dxa"/>
              <w:left w:w="80" w:type="dxa"/>
              <w:bottom w:w="70" w:type="dxa"/>
              <w:right w:w="80" w:type="dxa"/>
            </w:tcMar>
            <w:vAlign w:val="center"/>
          </w:tcPr>
          <w:p w14:paraId="3FA1A642" w14:textId="77777777" w:rsidR="00846FAB" w:rsidRDefault="00000000">
            <w:r>
              <w:rPr>
                <w:sz w:val="16"/>
              </w:rPr>
              <w:t>One vendor-neutral workstream with explicit NVIDIA and AMD seams.</w:t>
            </w:r>
          </w:p>
        </w:tc>
      </w:tr>
      <w:tr w:rsidR="0085422C" w14:paraId="249ACF86" w14:textId="77777777">
        <w:trPr>
          <w:cantSplit/>
          <w:jc w:val="center"/>
        </w:trPr>
        <w:tc>
          <w:tcPr>
            <w:tcW w:w="1440" w:type="dxa"/>
            <w:tcMar>
              <w:top w:w="70" w:type="dxa"/>
              <w:left w:w="80" w:type="dxa"/>
              <w:bottom w:w="70" w:type="dxa"/>
              <w:right w:w="80" w:type="dxa"/>
            </w:tcMar>
            <w:vAlign w:val="center"/>
          </w:tcPr>
          <w:p w14:paraId="7C29893F" w14:textId="77777777" w:rsidR="00846FAB" w:rsidRPr="00AE74B9" w:rsidRDefault="00000000">
            <w:pPr>
              <w:rPr>
                <w:b/>
                <w:bCs/>
              </w:rPr>
            </w:pPr>
            <w:r w:rsidRPr="00AE74B9">
              <w:rPr>
                <w:b/>
                <w:bCs/>
                <w:sz w:val="16"/>
              </w:rPr>
              <w:t>Part III</w:t>
            </w:r>
          </w:p>
        </w:tc>
        <w:tc>
          <w:tcPr>
            <w:tcW w:w="3960" w:type="dxa"/>
            <w:tcMar>
              <w:top w:w="70" w:type="dxa"/>
              <w:left w:w="80" w:type="dxa"/>
              <w:bottom w:w="70" w:type="dxa"/>
              <w:right w:w="80" w:type="dxa"/>
            </w:tcMar>
            <w:vAlign w:val="center"/>
          </w:tcPr>
          <w:p>
            <w:r>
              <w:t>What measured economics would justify ATMOS?</w:t>
            </w:r>
          </w:p>
        </w:tc>
        <w:tc>
          <w:tcPr>
            <w:tcW w:w="4608" w:type="dxa"/>
            <w:tcMar>
              <w:top w:w="70" w:type="dxa"/>
              <w:left w:w="80" w:type="dxa"/>
              <w:bottom w:w="70" w:type="dxa"/>
              <w:right w:w="80" w:type="dxa"/>
            </w:tcMar>
            <w:vAlign w:val="center"/>
          </w:tcPr>
          <w:p>
            <w:r>
              <w:t>Break-even equations; illustrative RTX numbers are not claims.</w:t>
            </w:r>
          </w:p>
        </w:tc>
      </w:tr>
      <w:tr w:rsidR="00846FAB" w14:paraId="122DBE26" w14:textId="77777777">
        <w:trPr>
          <w:jc w:val="center"/>
        </w:trPr>
        <w:tc>
          <w:tcPr>
            <w:tcW w:w="1440" w:type="dxa"/>
            <w:shd w:val="clear" w:color="auto" w:fill="F3F6F8"/>
            <w:vAlign w:val="center"/>
          </w:tcPr>
          <w:p>
            <w:r>
              <w:t>Part IV</w:t>
            </w:r>
          </w:p>
        </w:tc>
        <w:tc>
          <w:tcPr>
            <w:tcW w:w="3960" w:type="dxa"/>
            <w:shd w:val="clear" w:color="auto" w:fill="F3F6F8"/>
            <w:vAlign w:val="center"/>
          </w:tcPr>
          <w:p>
            <w:r>
              <w:t>Which turnkey partners should be engaged first?</w:t>
            </w:r>
          </w:p>
        </w:tc>
        <w:tc>
          <w:tcPr>
            <w:tcW w:w="4608" w:type="dxa"/>
            <w:shd w:val="clear" w:color="auto" w:fill="F3F6F8"/>
            <w:vAlign w:val="center"/>
          </w:tcPr>
          <w:p>
            <w:r>
              <w:t>Preliminary scored shortlist plus a common RFI gate.</w:t>
            </w:r>
          </w:p>
        </w:tc>
      </w:tr>
      <w:tr>
        <w:tc>
          <w:tcPr>
            <w:tcW w:type="dxa" w:w="1440"/>
          </w:tcPr>
          <w:p>
            <w:r>
              <w:t>Part V</w:t>
            </w:r>
          </w:p>
        </w:tc>
        <w:tc>
          <w:tcPr>
            <w:tcW w:type="dxa" w:w="3960"/>
          </w:tcPr>
          <w:p>
            <w:r>
              <w:t>What evidence is needed before product commitment?</w:t>
            </w:r>
          </w:p>
        </w:tc>
        <w:tc>
          <w:tcPr>
            <w:tcW w:type="dxa" w:w="4608"/>
          </w:tcPr>
          <w:p>
            <w:r>
              <w:t>Six gated POCs with explicit pass, stop, pivot, owner, and evidence rules.</w:t>
            </w:r>
          </w:p>
        </w:tc>
      </w:tr>
    </w:tbl>
    <w:p w14:paraId="7FE47F0F" w14:textId="77777777" w:rsidR="0085422C" w:rsidRDefault="0085422C">
      <w:pPr>
        <w:spacing w:after="20"/>
      </w:pPr>
    </w:p>
    <w:p w14:paraId="7BEB58AF" w14:textId="77777777" w:rsidR="0085422C" w:rsidRDefault="0085422C"/>
    <w:p w14:paraId="0EB6238B" w14:textId="4A06D1AB" w:rsidR="0085422C" w:rsidRPr="002D0B0E" w:rsidRDefault="00FB525F" w:rsidP="002D0B0E">
      <w:pPr>
        <w:rPr>
          <w:b/>
          <w:color w:val="16324F"/>
          <w:sz w:val="36"/>
        </w:rPr>
      </w:pPr>
      <w:r>
        <w:rPr>
          <w:b/>
          <w:color w:val="16324F"/>
          <w:sz w:val="36"/>
        </w:rPr>
        <w:br w:type="page"/>
      </w:r>
      <w:r w:rsidR="00000000">
        <w:rPr>
          <w:b/>
          <w:color w:val="16324F"/>
          <w:sz w:val="36"/>
        </w:rPr>
        <w:lastRenderedPageBreak/>
        <w:t>Background: Why an ATMOS expert tier can matter at rack scale</w:t>
      </w:r>
    </w:p>
    <w:p w14:paraId="7C7E499C" w14:textId="77777777" w:rsidR="0085422C" w:rsidRDefault="00000000">
      <w:pPr>
        <w:spacing w:after="100" w:line="259" w:lineRule="auto"/>
      </w:pPr>
      <w:r>
        <w:t xml:space="preserve">Large Mixture-of-Experts models create a useful asymmetry: </w:t>
      </w:r>
      <w:r w:rsidRPr="00AE74B9">
        <w:rPr>
          <w:b/>
          <w:bCs/>
        </w:rPr>
        <w:t>every token activates only a subset of experts</w:t>
      </w:r>
      <w:r>
        <w:t>, yet the serving system must keep a much larger expert population resident and ready. On GPU systems, those expert tensors compete with attention weights, live KV, graph/workspace and batching headroom. At scale, Expert Parallelism can also add dispatch/combine traffic across GPUs and racks.</w:t>
      </w:r>
    </w:p>
    <w:p w14:paraId="13DAD5C5" w14:textId="77777777" w:rsidR="0085422C" w:rsidRDefault="00000000">
      <w:pPr>
        <w:spacing w:after="100" w:line="259" w:lineRule="auto"/>
      </w:pPr>
      <w:r>
        <w:t xml:space="preserve">ATMOS is not treated as a storage device. Each E3.S worker combines HBF, local LPDDR/SRAM working memory and an NPU. The </w:t>
      </w:r>
      <w:r w:rsidRPr="00AE74B9">
        <w:rPr>
          <w:b/>
          <w:bCs/>
        </w:rPr>
        <w:t>architectural bet is to keep routed-expert weights beside the NPU that executes them</w:t>
      </w:r>
      <w:r>
        <w:t xml:space="preserve">, leaving the native GPU platform to do what it already does well. </w:t>
      </w:r>
      <w:r w:rsidRPr="00AE74B9">
        <w:rPr>
          <w:b/>
          <w:bCs/>
        </w:rPr>
        <w:t>RTX is used to prove that split first</w:t>
      </w:r>
      <w:r>
        <w:t>; the production value must then be re-established against the much stronger memory, compute and scale-up fabrics of NVIDIA NVL and AMD Helios.</w:t>
      </w:r>
    </w:p>
    <w:tbl>
      <w:tblPr>
        <w:tblStyle w:val="TableGrid"/>
        <w:tblW w:w="0" w:type="auto"/>
        <w:tblLook w:val="04A0" w:firstRow="1" w:lastRow="0" w:firstColumn="1" w:lastColumn="0" w:noHBand="0" w:noVBand="1"/>
      </w:tblPr>
      <w:tblGrid>
        <w:gridCol w:w="10358"/>
      </w:tblGrid>
      <w:tr w:rsidR="005A5290" w14:paraId="010CEFEA" w14:textId="77777777" w:rsidTr="005A5290">
        <w:tc>
          <w:tcPr>
            <w:tcW w:w="10584" w:type="dxa"/>
          </w:tcPr>
          <w:p w14:paraId="6FAAA871" w14:textId="44AC3919" w:rsidR="005A5290" w:rsidRDefault="005A5290">
            <w:pPr>
              <w:spacing w:after="40"/>
              <w:jc w:val="center"/>
            </w:pPr>
            <w:r>
              <w:rPr>
                <w:noProof/>
              </w:rPr>
              <w:drawing>
                <wp:inline distT="0" distB="0" distL="0" distR="0" wp14:anchorId="1E17418F" wp14:editId="5685884A">
                  <wp:extent cx="6680569" cy="332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rrent_vs_hybrid.png"/>
                          <pic:cNvPicPr/>
                        </pic:nvPicPr>
                        <pic:blipFill>
                          <a:blip r:embed="rId9"/>
                          <a:stretch>
                            <a:fillRect/>
                          </a:stretch>
                        </pic:blipFill>
                        <pic:spPr>
                          <a:xfrm>
                            <a:off x="0" y="0"/>
                            <a:ext cx="6708851" cy="3335109"/>
                          </a:xfrm>
                          <a:prstGeom prst="rect">
                            <a:avLst/>
                          </a:prstGeom>
                        </pic:spPr>
                      </pic:pic>
                    </a:graphicData>
                  </a:graphic>
                </wp:inline>
              </w:drawing>
            </w:r>
          </w:p>
        </w:tc>
      </w:tr>
    </w:tbl>
    <w:p w14:paraId="4D478FDA" w14:textId="383891DF" w:rsidR="0085422C" w:rsidRDefault="0085422C">
      <w:pPr>
        <w:spacing w:after="40"/>
        <w:jc w:val="center"/>
      </w:pPr>
    </w:p>
    <w:p w14:paraId="7E72F37F" w14:textId="77777777" w:rsidR="0085422C" w:rsidRDefault="00000000">
      <w:pPr>
        <w:keepNext/>
        <w:spacing w:before="60" w:after="60"/>
      </w:pPr>
      <w:r>
        <w:rPr>
          <w:rFonts w:eastAsia="Noto Sans"/>
          <w:b/>
          <w:color w:val="16324F"/>
          <w:sz w:val="25"/>
        </w:rPr>
        <w:t>What we can claim — and what we cannot</w:t>
      </w:r>
    </w:p>
    <w:tbl>
      <w:tblPr>
        <w:tblStyle w:val="TableGrid"/>
        <w:tblW w:w="0" w:type="auto"/>
        <w:jc w:val="center"/>
        <w:tblLayout w:type="fixed"/>
        <w:tblLook w:val="04A0" w:firstRow="1" w:lastRow="0" w:firstColumn="1" w:lastColumn="0" w:noHBand="0" w:noVBand="1"/>
      </w:tblPr>
      <w:tblGrid>
        <w:gridCol w:w="1944"/>
        <w:gridCol w:w="4320"/>
        <w:gridCol w:w="3816"/>
      </w:tblGrid>
      <w:tr w:rsidR="0085422C" w14:paraId="5A6C1229" w14:textId="77777777">
        <w:trPr>
          <w:tblHeader/>
          <w:jc w:val="center"/>
        </w:trPr>
        <w:tc>
          <w:tcPr>
            <w:tcW w:w="1944" w:type="dxa"/>
            <w:shd w:val="clear" w:color="auto" w:fill="16324F"/>
            <w:tcMar>
              <w:top w:w="80" w:type="dxa"/>
              <w:left w:w="90" w:type="dxa"/>
              <w:bottom w:w="80" w:type="dxa"/>
              <w:right w:w="90" w:type="dxa"/>
            </w:tcMar>
            <w:vAlign w:val="center"/>
          </w:tcPr>
          <w:p w14:paraId="1AF45BDB" w14:textId="77777777" w:rsidR="0085422C" w:rsidRDefault="00000000">
            <w:r>
              <w:rPr>
                <w:rFonts w:eastAsia="Noto Sans"/>
                <w:b/>
                <w:color w:val="FFFFFF"/>
                <w:sz w:val="15"/>
              </w:rPr>
              <w:t>Expected mechanism</w:t>
            </w:r>
          </w:p>
        </w:tc>
        <w:tc>
          <w:tcPr>
            <w:tcW w:w="4320" w:type="dxa"/>
            <w:shd w:val="clear" w:color="auto" w:fill="16324F"/>
            <w:tcMar>
              <w:top w:w="80" w:type="dxa"/>
              <w:left w:w="90" w:type="dxa"/>
              <w:bottom w:w="80" w:type="dxa"/>
              <w:right w:w="90" w:type="dxa"/>
            </w:tcMar>
            <w:vAlign w:val="center"/>
          </w:tcPr>
          <w:p w14:paraId="2B7498AE" w14:textId="77777777" w:rsidR="0085422C" w:rsidRDefault="00000000">
            <w:r>
              <w:rPr>
                <w:rFonts w:eastAsia="Noto Sans"/>
                <w:b/>
                <w:color w:val="FFFFFF"/>
                <w:sz w:val="15"/>
              </w:rPr>
              <w:t>Defensible target</w:t>
            </w:r>
          </w:p>
        </w:tc>
        <w:tc>
          <w:tcPr>
            <w:tcW w:w="3816" w:type="dxa"/>
            <w:shd w:val="clear" w:color="auto" w:fill="16324F"/>
            <w:tcMar>
              <w:top w:w="80" w:type="dxa"/>
              <w:left w:w="90" w:type="dxa"/>
              <w:bottom w:w="80" w:type="dxa"/>
              <w:right w:w="90" w:type="dxa"/>
            </w:tcMar>
            <w:vAlign w:val="center"/>
          </w:tcPr>
          <w:p w14:paraId="331226ED" w14:textId="77777777" w:rsidR="0085422C" w:rsidRDefault="00000000">
            <w:r>
              <w:rPr>
                <w:rFonts w:eastAsia="Noto Sans"/>
                <w:b/>
                <w:color w:val="FFFFFF"/>
                <w:sz w:val="15"/>
              </w:rPr>
              <w:t>Not assumed</w:t>
            </w:r>
          </w:p>
        </w:tc>
      </w:tr>
      <w:tr w:rsidR="0085422C" w14:paraId="063336A6" w14:textId="77777777">
        <w:trPr>
          <w:cantSplit/>
          <w:jc w:val="center"/>
        </w:trPr>
        <w:tc>
          <w:tcPr>
            <w:tcW w:w="1944" w:type="dxa"/>
            <w:tcMar>
              <w:top w:w="70" w:type="dxa"/>
              <w:left w:w="80" w:type="dxa"/>
              <w:bottom w:w="70" w:type="dxa"/>
              <w:right w:w="80" w:type="dxa"/>
            </w:tcMar>
          </w:tcPr>
          <w:p w14:paraId="7F019458" w14:textId="77777777" w:rsidR="0085422C" w:rsidRDefault="00000000">
            <w:r>
              <w:rPr>
                <w:rFonts w:eastAsia="Noto Sans"/>
                <w:b/>
                <w:color w:val="24313D"/>
                <w:sz w:val="15"/>
              </w:rPr>
              <w:t>GPU memory relief</w:t>
            </w:r>
          </w:p>
        </w:tc>
        <w:tc>
          <w:tcPr>
            <w:tcW w:w="4320" w:type="dxa"/>
            <w:tcMar>
              <w:top w:w="70" w:type="dxa"/>
              <w:left w:w="80" w:type="dxa"/>
              <w:bottom w:w="70" w:type="dxa"/>
              <w:right w:w="80" w:type="dxa"/>
            </w:tcMar>
          </w:tcPr>
          <w:p w14:paraId="7AA4F1EC" w14:textId="76719C53" w:rsidR="0085422C" w:rsidRDefault="00000000">
            <w:r>
              <w:rPr>
                <w:rFonts w:eastAsia="Noto Sans"/>
                <w:color w:val="24313D"/>
                <w:sz w:val="15"/>
              </w:rPr>
              <w:t>ATMOS-owned expert tensors are omitted from GPU residency, creating useful GDDR</w:t>
            </w:r>
            <w:r w:rsidR="002D0B0E">
              <w:rPr>
                <w:rFonts w:eastAsia="Noto Sans"/>
                <w:color w:val="24313D"/>
                <w:sz w:val="15"/>
              </w:rPr>
              <w:t>/HBM</w:t>
            </w:r>
            <w:r>
              <w:rPr>
                <w:rFonts w:eastAsia="Noto Sans"/>
                <w:color w:val="24313D"/>
                <w:sz w:val="15"/>
              </w:rPr>
              <w:t xml:space="preserve"> headroom.</w:t>
            </w:r>
          </w:p>
        </w:tc>
        <w:tc>
          <w:tcPr>
            <w:tcW w:w="3816" w:type="dxa"/>
            <w:tcMar>
              <w:top w:w="70" w:type="dxa"/>
              <w:left w:w="80" w:type="dxa"/>
              <w:bottom w:w="70" w:type="dxa"/>
              <w:right w:w="80" w:type="dxa"/>
            </w:tcMar>
          </w:tcPr>
          <w:p w14:paraId="24E1D19D" w14:textId="77777777" w:rsidR="0085422C" w:rsidRDefault="00000000">
            <w:r>
              <w:rPr>
                <w:rFonts w:eastAsia="Noto Sans"/>
                <w:color w:val="24313D"/>
                <w:sz w:val="15"/>
              </w:rPr>
              <w:t>That every freed GB converts directly into cash savings.</w:t>
            </w:r>
          </w:p>
        </w:tc>
      </w:tr>
      <w:tr w:rsidR="0085422C" w14:paraId="79CA160D" w14:textId="77777777">
        <w:trPr>
          <w:cantSplit/>
          <w:jc w:val="center"/>
        </w:trPr>
        <w:tc>
          <w:tcPr>
            <w:tcW w:w="1944" w:type="dxa"/>
            <w:shd w:val="clear" w:color="auto" w:fill="F3F6F8"/>
            <w:tcMar>
              <w:top w:w="70" w:type="dxa"/>
              <w:left w:w="80" w:type="dxa"/>
              <w:bottom w:w="70" w:type="dxa"/>
              <w:right w:w="80" w:type="dxa"/>
            </w:tcMar>
          </w:tcPr>
          <w:p w14:paraId="75C44423" w14:textId="77777777" w:rsidR="0085422C" w:rsidRDefault="00000000">
            <w:r>
              <w:rPr>
                <w:rFonts w:eastAsia="Noto Sans"/>
                <w:b/>
                <w:color w:val="24313D"/>
                <w:sz w:val="15"/>
              </w:rPr>
              <w:t>Additional compute</w:t>
            </w:r>
          </w:p>
        </w:tc>
        <w:tc>
          <w:tcPr>
            <w:tcW w:w="4320" w:type="dxa"/>
            <w:shd w:val="clear" w:color="auto" w:fill="F3F6F8"/>
            <w:tcMar>
              <w:top w:w="70" w:type="dxa"/>
              <w:left w:w="80" w:type="dxa"/>
              <w:bottom w:w="70" w:type="dxa"/>
              <w:right w:w="80" w:type="dxa"/>
            </w:tcMar>
          </w:tcPr>
          <w:p w14:paraId="0576D7A6" w14:textId="77777777" w:rsidR="0085422C" w:rsidRDefault="00000000">
            <w:r>
              <w:rPr>
                <w:rFonts w:eastAsia="Noto Sans"/>
                <w:color w:val="24313D"/>
                <w:sz w:val="15"/>
              </w:rPr>
              <w:t>ATMOS NPU performs the expert FFN instead of returning weights to a GPU for execution.</w:t>
            </w:r>
          </w:p>
        </w:tc>
        <w:tc>
          <w:tcPr>
            <w:tcW w:w="3816" w:type="dxa"/>
            <w:shd w:val="clear" w:color="auto" w:fill="F3F6F8"/>
            <w:tcMar>
              <w:top w:w="70" w:type="dxa"/>
              <w:left w:w="80" w:type="dxa"/>
              <w:bottom w:w="70" w:type="dxa"/>
              <w:right w:w="80" w:type="dxa"/>
            </w:tcMar>
          </w:tcPr>
          <w:p w14:paraId="3B3BA231" w14:textId="77777777" w:rsidR="0085422C" w:rsidRDefault="00000000">
            <w:r>
              <w:rPr>
                <w:rFonts w:eastAsia="Noto Sans"/>
                <w:color w:val="24313D"/>
                <w:sz w:val="15"/>
              </w:rPr>
              <w:t>That NPU peak TOPS maps directly to token throughput.</w:t>
            </w:r>
          </w:p>
        </w:tc>
      </w:tr>
      <w:tr w:rsidR="0085422C" w14:paraId="071225C6" w14:textId="77777777">
        <w:trPr>
          <w:cantSplit/>
          <w:jc w:val="center"/>
        </w:trPr>
        <w:tc>
          <w:tcPr>
            <w:tcW w:w="1944" w:type="dxa"/>
            <w:tcMar>
              <w:top w:w="70" w:type="dxa"/>
              <w:left w:w="80" w:type="dxa"/>
              <w:bottom w:w="70" w:type="dxa"/>
              <w:right w:w="80" w:type="dxa"/>
            </w:tcMar>
          </w:tcPr>
          <w:p w14:paraId="58BCF246" w14:textId="77777777" w:rsidR="0085422C" w:rsidRDefault="00000000">
            <w:r>
              <w:rPr>
                <w:rFonts w:eastAsia="Noto Sans"/>
                <w:b/>
                <w:color w:val="24313D"/>
                <w:sz w:val="15"/>
              </w:rPr>
              <w:t>Throughput / node count</w:t>
            </w:r>
          </w:p>
        </w:tc>
        <w:tc>
          <w:tcPr>
            <w:tcW w:w="4320" w:type="dxa"/>
            <w:tcMar>
              <w:top w:w="70" w:type="dxa"/>
              <w:left w:w="80" w:type="dxa"/>
              <w:bottom w:w="70" w:type="dxa"/>
              <w:right w:w="80" w:type="dxa"/>
            </w:tcMar>
            <w:vAlign w:val="center"/>
          </w:tcPr>
          <w:p w14:paraId="63A74384" w14:textId="77777777" w:rsidR="00846FAB" w:rsidRDefault="00000000">
            <w:r>
              <w:rPr>
                <w:sz w:val="15"/>
              </w:rPr>
              <w:t>At fixed SLO, accepted work per GPU service unit increases enough to serve more demand or reduce required GPU nodes/trays/racks.</w:t>
            </w:r>
          </w:p>
        </w:tc>
        <w:tc>
          <w:tcPr>
            <w:tcW w:w="3816" w:type="dxa"/>
            <w:tcMar>
              <w:top w:w="70" w:type="dxa"/>
              <w:left w:w="80" w:type="dxa"/>
              <w:bottom w:w="70" w:type="dxa"/>
              <w:right w:w="80" w:type="dxa"/>
            </w:tcMar>
            <w:vAlign w:val="center"/>
          </w:tcPr>
          <w:p w14:paraId="22D601DC" w14:textId="77777777" w:rsidR="00846FAB" w:rsidRDefault="00000000">
            <w:r>
              <w:rPr>
                <w:sz w:val="15"/>
              </w:rPr>
              <w:t>A universal node- or rack-reduction ratio, or transfer of the RTX development vehicle result to NVL/Helios.</w:t>
            </w:r>
          </w:p>
        </w:tc>
      </w:tr>
      <w:tr w:rsidR="0085422C" w14:paraId="1D77FC9F" w14:textId="77777777">
        <w:trPr>
          <w:cantSplit/>
          <w:jc w:val="center"/>
        </w:trPr>
        <w:tc>
          <w:tcPr>
            <w:tcW w:w="1944" w:type="dxa"/>
            <w:shd w:val="clear" w:color="auto" w:fill="F3F6F8"/>
            <w:tcMar>
              <w:top w:w="70" w:type="dxa"/>
              <w:left w:w="80" w:type="dxa"/>
              <w:bottom w:w="70" w:type="dxa"/>
              <w:right w:w="80" w:type="dxa"/>
            </w:tcMar>
          </w:tcPr>
          <w:p w14:paraId="5E3FD007" w14:textId="77777777" w:rsidR="0085422C" w:rsidRDefault="00000000">
            <w:r>
              <w:rPr>
                <w:rFonts w:eastAsia="Noto Sans"/>
                <w:b/>
                <w:color w:val="24313D"/>
                <w:sz w:val="15"/>
              </w:rPr>
              <w:t>TTFT / TPOT</w:t>
            </w:r>
          </w:p>
        </w:tc>
        <w:tc>
          <w:tcPr>
            <w:tcW w:w="4320" w:type="dxa"/>
            <w:shd w:val="clear" w:color="auto" w:fill="F3F6F8"/>
            <w:tcMar>
              <w:top w:w="70" w:type="dxa"/>
              <w:left w:w="80" w:type="dxa"/>
              <w:bottom w:w="70" w:type="dxa"/>
              <w:right w:w="80" w:type="dxa"/>
            </w:tcMar>
          </w:tcPr>
          <w:p w14:paraId="511C9819" w14:textId="77777777" w:rsidR="0085422C" w:rsidRDefault="00000000">
            <w:r>
              <w:rPr>
                <w:rFonts w:eastAsia="Noto Sans"/>
                <w:color w:val="24313D"/>
                <w:sz w:val="15"/>
              </w:rPr>
              <w:t>Preserve the existing SLO; improve tails if reduced queueing/expert work is on the critical path.</w:t>
            </w:r>
          </w:p>
        </w:tc>
        <w:tc>
          <w:tcPr>
            <w:tcW w:w="3816" w:type="dxa"/>
            <w:shd w:val="clear" w:color="auto" w:fill="F3F6F8"/>
            <w:tcMar>
              <w:top w:w="70" w:type="dxa"/>
              <w:left w:w="80" w:type="dxa"/>
              <w:bottom w:w="70" w:type="dxa"/>
              <w:right w:w="80" w:type="dxa"/>
            </w:tcMar>
          </w:tcPr>
          <w:p w14:paraId="5103E513" w14:textId="77777777" w:rsidR="0085422C" w:rsidRDefault="00000000">
            <w:r>
              <w:rPr>
                <w:rFonts w:eastAsia="Noto Sans"/>
                <w:color w:val="24313D"/>
                <w:sz w:val="15"/>
              </w:rPr>
              <w:t>Automatic per-request latency improvement.</w:t>
            </w:r>
          </w:p>
        </w:tc>
      </w:tr>
      <w:tr w:rsidR="0085422C" w14:paraId="2B2DFD53" w14:textId="77777777">
        <w:trPr>
          <w:cantSplit/>
          <w:jc w:val="center"/>
        </w:trPr>
        <w:tc>
          <w:tcPr>
            <w:tcW w:w="1944" w:type="dxa"/>
            <w:tcMar>
              <w:top w:w="70" w:type="dxa"/>
              <w:left w:w="80" w:type="dxa"/>
              <w:bottom w:w="70" w:type="dxa"/>
              <w:right w:w="80" w:type="dxa"/>
            </w:tcMar>
          </w:tcPr>
          <w:p w14:paraId="1F2316C3" w14:textId="77777777" w:rsidR="0085422C" w:rsidRDefault="00000000">
            <w:r>
              <w:rPr>
                <w:rFonts w:eastAsia="Noto Sans"/>
                <w:b/>
                <w:color w:val="24313D"/>
                <w:sz w:val="15"/>
              </w:rPr>
              <w:t>Network locality</w:t>
            </w:r>
          </w:p>
        </w:tc>
        <w:tc>
          <w:tcPr>
            <w:tcW w:w="4320" w:type="dxa"/>
            <w:tcMar>
              <w:top w:w="70" w:type="dxa"/>
              <w:left w:w="80" w:type="dxa"/>
              <w:bottom w:w="70" w:type="dxa"/>
              <w:right w:w="80" w:type="dxa"/>
            </w:tcMar>
            <w:vAlign w:val="center"/>
          </w:tcPr>
          <w:p w14:paraId="202CF6C2" w14:textId="77777777" w:rsidR="00846FAB" w:rsidRDefault="00000000">
            <w:r>
              <w:rPr>
                <w:sz w:val="15"/>
              </w:rPr>
              <w:t>A larger local expert bank can reduce remote expert edges when the complete execution graph and transport path are actually local.</w:t>
            </w:r>
          </w:p>
        </w:tc>
        <w:tc>
          <w:tcPr>
            <w:tcW w:w="3816" w:type="dxa"/>
            <w:tcMar>
              <w:top w:w="70" w:type="dxa"/>
              <w:left w:w="80" w:type="dxa"/>
              <w:bottom w:w="70" w:type="dxa"/>
              <w:right w:w="80" w:type="dxa"/>
            </w:tcMar>
            <w:vAlign w:val="center"/>
          </w:tcPr>
          <w:p w14:paraId="780321A0" w14:textId="77777777" w:rsidR="00846FAB" w:rsidRDefault="00000000">
            <w:r>
              <w:rPr>
                <w:sz w:val="15"/>
              </w:rPr>
              <w:t>That an E3.S switch joins NVLink/NVSwitch or UALink, or eliminates scale-out communication by itself.</w:t>
            </w:r>
          </w:p>
        </w:tc>
      </w:tr>
    </w:tbl>
    <w:p w14:paraId="474970F5" w14:textId="77777777" w:rsidR="00FB525F" w:rsidRDefault="00FB525F">
      <w:pPr>
        <w:rPr>
          <w:b/>
          <w:color w:val="16324F"/>
          <w:sz w:val="36"/>
        </w:rPr>
      </w:pPr>
    </w:p>
    <w:p w14:paraId="57A82A5A" w14:textId="157D6BF3" w:rsidR="00846FAB" w:rsidRDefault="00000000">
      <w:r>
        <w:rPr>
          <w:b/>
          <w:color w:val="16324F"/>
          <w:sz w:val="36"/>
        </w:rPr>
        <w:lastRenderedPageBreak/>
        <w:t>Rack-scale is the product; RTX is the proving ground</w:t>
      </w:r>
      <w:r w:rsidR="00FB525F">
        <w:br/>
      </w:r>
      <w:r>
        <w:rPr>
          <w:sz w:val="18"/>
        </w:rPr>
        <w:t>The common Sandisk contract is intentionally independent of one GPU vendor: vLLM selects the same neural experts, the Sandisk adapter maps those experts to ATMOS workers, and the ATMOS runtime executes them. What changes by platform is the GPU framework seam, transport path, host architecture, rack topology and lifecycle integration.</w:t>
      </w:r>
    </w:p>
    <w:tbl>
      <w:tblPr>
        <w:tblStyle w:val="TableGrid"/>
        <w:tblW w:w="0" w:type="auto"/>
        <w:jc w:val="center"/>
        <w:tblLayout w:type="fixed"/>
        <w:tblLook w:val="04A0" w:firstRow="1" w:lastRow="0" w:firstColumn="1" w:lastColumn="0" w:noHBand="0" w:noVBand="1"/>
      </w:tblPr>
      <w:tblGrid>
        <w:gridCol w:w="1440"/>
        <w:gridCol w:w="2880"/>
        <w:gridCol w:w="2880"/>
        <w:gridCol w:w="3024"/>
      </w:tblGrid>
      <w:tr w:rsidR="00846FAB" w14:paraId="6EEDAD00" w14:textId="77777777">
        <w:trPr>
          <w:tblHeader/>
          <w:jc w:val="center"/>
        </w:trPr>
        <w:tc>
          <w:tcPr>
            <w:tcW w:w="1440" w:type="dxa"/>
            <w:shd w:val="clear" w:color="auto" w:fill="16324F"/>
            <w:vAlign w:val="center"/>
          </w:tcPr>
          <w:p w14:paraId="696DA3FF" w14:textId="77777777" w:rsidR="00846FAB" w:rsidRDefault="00000000">
            <w:r>
              <w:rPr>
                <w:b/>
                <w:color w:val="FFFFFF"/>
                <w:sz w:val="14"/>
              </w:rPr>
              <w:t>Stage</w:t>
            </w:r>
          </w:p>
        </w:tc>
        <w:tc>
          <w:tcPr>
            <w:tcW w:w="2880" w:type="dxa"/>
            <w:shd w:val="clear" w:color="auto" w:fill="16324F"/>
            <w:vAlign w:val="center"/>
          </w:tcPr>
          <w:p w14:paraId="2E395DA8" w14:textId="77777777" w:rsidR="00846FAB" w:rsidRDefault="00000000">
            <w:r>
              <w:rPr>
                <w:b/>
                <w:color w:val="FFFFFF"/>
                <w:sz w:val="14"/>
              </w:rPr>
              <w:t>Concrete reference</w:t>
            </w:r>
          </w:p>
        </w:tc>
        <w:tc>
          <w:tcPr>
            <w:tcW w:w="2880" w:type="dxa"/>
            <w:shd w:val="clear" w:color="auto" w:fill="16324F"/>
            <w:vAlign w:val="center"/>
          </w:tcPr>
          <w:p w14:paraId="69CABEB6" w14:textId="77777777" w:rsidR="00846FAB" w:rsidRDefault="00000000">
            <w:r>
              <w:rPr>
                <w:b/>
                <w:color w:val="FFFFFF"/>
                <w:sz w:val="14"/>
              </w:rPr>
              <w:t>Native GPU fabric / software</w:t>
            </w:r>
          </w:p>
        </w:tc>
        <w:tc>
          <w:tcPr>
            <w:tcW w:w="3024" w:type="dxa"/>
            <w:shd w:val="clear" w:color="auto" w:fill="16324F"/>
            <w:vAlign w:val="center"/>
          </w:tcPr>
          <w:p w14:paraId="22032D4D" w14:textId="77777777" w:rsidR="00846FAB" w:rsidRDefault="00000000">
            <w:r>
              <w:rPr>
                <w:b/>
                <w:color w:val="FFFFFF"/>
                <w:sz w:val="14"/>
              </w:rPr>
              <w:t>ATMOS integration rule</w:t>
            </w:r>
          </w:p>
        </w:tc>
      </w:tr>
      <w:tr w:rsidR="00846FAB" w14:paraId="227FAC83" w14:textId="77777777">
        <w:trPr>
          <w:jc w:val="center"/>
        </w:trPr>
        <w:tc>
          <w:tcPr>
            <w:tcW w:w="1440" w:type="dxa"/>
            <w:vAlign w:val="center"/>
          </w:tcPr>
          <w:p w14:paraId="2F12C486" w14:textId="77777777" w:rsidR="00846FAB" w:rsidRDefault="00000000">
            <w:r>
              <w:rPr>
                <w:sz w:val="14"/>
              </w:rPr>
              <w:t>RTX development vehicle</w:t>
            </w:r>
          </w:p>
        </w:tc>
        <w:tc>
          <w:tcPr>
            <w:tcW w:w="2880" w:type="dxa"/>
            <w:vAlign w:val="center"/>
          </w:tcPr>
          <w:p w14:paraId="7E0A1554" w14:textId="77777777" w:rsidR="00846FAB" w:rsidRDefault="00000000">
            <w:r>
              <w:rPr>
                <w:sz w:val="14"/>
              </w:rPr>
              <w:t>8 × RTX PRO 6000-class server + 8 ATMOS E3.S</w:t>
            </w:r>
          </w:p>
        </w:tc>
        <w:tc>
          <w:tcPr>
            <w:tcW w:w="2880" w:type="dxa"/>
            <w:vAlign w:val="center"/>
          </w:tcPr>
          <w:p w14:paraId="63E130BF" w14:textId="77777777" w:rsidR="00846FAB" w:rsidRDefault="00000000">
            <w:r>
              <w:rPr>
                <w:sz w:val="14"/>
              </w:rPr>
              <w:t>CUDA / NCCL on a conventional server topology</w:t>
            </w:r>
          </w:p>
        </w:tc>
        <w:tc>
          <w:tcPr>
            <w:tcW w:w="3024" w:type="dxa"/>
            <w:vAlign w:val="center"/>
          </w:tcPr>
          <w:p w14:paraId="51180B8B" w14:textId="77777777" w:rsidR="00846FAB" w:rsidRDefault="00000000">
            <w:r>
              <w:rPr>
                <w:sz w:val="14"/>
              </w:rPr>
              <w:t>Prove expert ABI, switched E3.S, DMA, vLLM integration and economic threshold. Not the final product claim.</w:t>
            </w:r>
          </w:p>
        </w:tc>
      </w:tr>
      <w:tr w:rsidR="00846FAB" w14:paraId="1AEC9586" w14:textId="77777777">
        <w:trPr>
          <w:jc w:val="center"/>
        </w:trPr>
        <w:tc>
          <w:tcPr>
            <w:tcW w:w="1440" w:type="dxa"/>
            <w:shd w:val="clear" w:color="auto" w:fill="F3F6F8"/>
            <w:vAlign w:val="center"/>
          </w:tcPr>
          <w:p w14:paraId="1709EF57" w14:textId="77777777" w:rsidR="00846FAB" w:rsidRDefault="00000000">
            <w:r>
              <w:rPr>
                <w:sz w:val="14"/>
              </w:rPr>
              <w:t>NVIDIA target</w:t>
            </w:r>
          </w:p>
        </w:tc>
        <w:tc>
          <w:tcPr>
            <w:tcW w:w="2880" w:type="dxa"/>
            <w:shd w:val="clear" w:color="auto" w:fill="F3F6F8"/>
            <w:vAlign w:val="center"/>
          </w:tcPr>
          <w:p w14:paraId="732F9699" w14:textId="77777777" w:rsidR="00846FAB" w:rsidRDefault="00000000">
            <w:r>
              <w:rPr>
                <w:sz w:val="14"/>
              </w:rPr>
              <w:t>NVIDIA NVL rack-scale family; GB300 NVL72 and Vera Rubin NVL72 are current concrete references</w:t>
            </w:r>
          </w:p>
        </w:tc>
        <w:tc>
          <w:tcPr>
            <w:tcW w:w="2880" w:type="dxa"/>
            <w:shd w:val="clear" w:color="auto" w:fill="F3F6F8"/>
            <w:vAlign w:val="center"/>
          </w:tcPr>
          <w:p w14:paraId="03B15C0E" w14:textId="77777777" w:rsidR="00846FAB" w:rsidRDefault="00000000">
            <w:r>
              <w:rPr>
                <w:sz w:val="14"/>
              </w:rPr>
              <w:t>CUDA / NCCL with NVLink/NVSwitch; Grace/Vera host architecture varies by generation</w:t>
            </w:r>
          </w:p>
        </w:tc>
        <w:tc>
          <w:tcPr>
            <w:tcW w:w="3024" w:type="dxa"/>
            <w:shd w:val="clear" w:color="auto" w:fill="F3F6F8"/>
            <w:vAlign w:val="center"/>
          </w:tcPr>
          <w:p w14:paraId="46252AED" w14:textId="77777777" w:rsidR="00846FAB" w:rsidRDefault="00000000">
            <w:r>
              <w:rPr>
                <w:sz w:val="14"/>
              </w:rPr>
              <w:t>Preserve the NVLink scale-up domain. Use only an OEM-approved PCIe branch or a separately costed companion ATMOS service/tray.</w:t>
            </w:r>
          </w:p>
        </w:tc>
      </w:tr>
      <w:tr w:rsidR="00846FAB" w14:paraId="6731BE69" w14:textId="77777777">
        <w:trPr>
          <w:jc w:val="center"/>
        </w:trPr>
        <w:tc>
          <w:tcPr>
            <w:tcW w:w="1440" w:type="dxa"/>
            <w:vAlign w:val="center"/>
          </w:tcPr>
          <w:p w14:paraId="0130FDD7" w14:textId="77777777" w:rsidR="00846FAB" w:rsidRDefault="00000000">
            <w:r>
              <w:rPr>
                <w:sz w:val="14"/>
              </w:rPr>
              <w:t>AMD target</w:t>
            </w:r>
          </w:p>
        </w:tc>
        <w:tc>
          <w:tcPr>
            <w:tcW w:w="2880" w:type="dxa"/>
            <w:vAlign w:val="center"/>
          </w:tcPr>
          <w:p w14:paraId="4F86D182" w14:textId="77777777" w:rsidR="00846FAB" w:rsidRDefault="00000000">
            <w:r>
              <w:rPr>
                <w:sz w:val="14"/>
              </w:rPr>
              <w:t>AMD Helios reference architecture with 72 Instinct MI455X GPUs and EPYC Venice hosts</w:t>
            </w:r>
          </w:p>
        </w:tc>
        <w:tc>
          <w:tcPr>
            <w:tcW w:w="2880" w:type="dxa"/>
            <w:vAlign w:val="center"/>
          </w:tcPr>
          <w:p w14:paraId="02204F1C" w14:textId="77777777" w:rsidR="00846FAB" w:rsidRDefault="00000000">
            <w:r>
              <w:rPr>
                <w:sz w:val="14"/>
              </w:rPr>
              <w:t>ROCm / HIP / RCCL with UALink-based scale-up</w:t>
            </w:r>
          </w:p>
        </w:tc>
        <w:tc>
          <w:tcPr>
            <w:tcW w:w="3024" w:type="dxa"/>
            <w:vAlign w:val="center"/>
          </w:tcPr>
          <w:p w14:paraId="2C878CCF" w14:textId="77777777" w:rsidR="00846FAB" w:rsidRDefault="00000000">
            <w:r>
              <w:rPr>
                <w:sz w:val="14"/>
              </w:rPr>
              <w:t>Preserve the UALink scale-up domain. Reuse the logical expert ABI; requalify HIP transport, rack attachment, operator and service economics.</w:t>
            </w:r>
          </w:p>
        </w:tc>
      </w:tr>
      <w:tr w:rsidR="00846FAB" w14:paraId="373FDF1A" w14:textId="77777777">
        <w:trPr>
          <w:tblHeader/>
          <w:jc w:val="center"/>
        </w:trPr>
        <w:tc>
          <w:tcPr>
            <w:tcW w:w="10224" w:type="dxa"/>
            <w:gridSpan w:val="4"/>
            <w:shd w:val="clear" w:color="auto" w:fill="F9ECEF"/>
            <w:vAlign w:val="center"/>
          </w:tcPr>
          <w:p w14:paraId="7A62B17C" w14:textId="77777777" w:rsidR="00846FAB" w:rsidRDefault="00000000">
            <w:r>
              <w:rPr>
                <w:b/>
                <w:color w:val="A73545"/>
                <w:sz w:val="16"/>
              </w:rPr>
              <w:t>ARCHITECTURE INVARIANT — ATMOS does not become an NVLink/NVSwitch or UALink endpoint, and the product does not require proprietary NVIDIA or AMD GPU firmware/driver modifications. Stock vendor stacks are the supported boundary.</w:t>
            </w:r>
          </w:p>
        </w:tc>
      </w:tr>
    </w:tbl>
    <w:p w14:paraId="285EC86E" w14:textId="77777777" w:rsidR="0085422C" w:rsidRDefault="0085422C">
      <w:pPr>
        <w:spacing w:after="20"/>
      </w:pPr>
    </w:p>
    <w:p w14:paraId="573BF196" w14:textId="77777777" w:rsidR="009E7494" w:rsidRDefault="009E7494">
      <w:r>
        <w:br w:type="page"/>
      </w:r>
    </w:p>
    <w:p w14:paraId="31AFE83A" w14:textId="77777777" w:rsidR="009E7494" w:rsidRDefault="009E7494" w:rsidP="009E7494">
      <w:pPr>
        <w:keepNext/>
        <w:spacing w:before="80" w:after="40"/>
      </w:pPr>
      <w:r>
        <w:rPr>
          <w:rFonts w:eastAsia="Noto Sans"/>
          <w:b/>
          <w:color w:val="A73545"/>
          <w:sz w:val="17"/>
        </w:rPr>
        <w:lastRenderedPageBreak/>
        <w:t>HARDWARE PLATFORM</w:t>
      </w:r>
    </w:p>
    <w:p w14:paraId="446CBFA7" w14:textId="77777777" w:rsidR="009E7494" w:rsidRDefault="009E7494" w:rsidP="009E7494">
      <w:pPr>
        <w:keepNext/>
        <w:spacing w:before="100" w:after="100"/>
        <w:rPr>
          <w:b/>
          <w:color w:val="16324F"/>
          <w:sz w:val="36"/>
        </w:rPr>
      </w:pPr>
      <w:r>
        <w:rPr>
          <w:b/>
          <w:color w:val="16324F"/>
          <w:sz w:val="36"/>
        </w:rPr>
        <w:t>Part I — Switched E3.S subsystem: one building block from RTX development vehicle to rack scale</w:t>
      </w:r>
    </w:p>
    <w:tbl>
      <w:tblPr>
        <w:tblStyle w:val="TableGrid"/>
        <w:tblW w:w="0" w:type="auto"/>
        <w:jc w:val="center"/>
        <w:tblLayout w:type="fixed"/>
        <w:tblLook w:val="04A0" w:firstRow="1" w:lastRow="0" w:firstColumn="1" w:lastColumn="0" w:noHBand="0" w:noVBand="1"/>
      </w:tblPr>
      <w:tblGrid>
        <w:gridCol w:w="1800"/>
        <w:gridCol w:w="4176"/>
        <w:gridCol w:w="4248"/>
      </w:tblGrid>
      <w:tr w:rsidR="00FB525F" w14:paraId="5FA6CD3D" w14:textId="77777777" w:rsidTr="002E7283">
        <w:trPr>
          <w:tblHeader/>
          <w:jc w:val="center"/>
        </w:trPr>
        <w:tc>
          <w:tcPr>
            <w:tcW w:w="1800" w:type="dxa"/>
            <w:shd w:val="clear" w:color="auto" w:fill="16324F"/>
            <w:tcMar>
              <w:top w:w="80" w:type="dxa"/>
              <w:left w:w="90" w:type="dxa"/>
              <w:bottom w:w="80" w:type="dxa"/>
              <w:right w:w="90" w:type="dxa"/>
            </w:tcMar>
            <w:vAlign w:val="center"/>
          </w:tcPr>
          <w:p w14:paraId="6EE97713" w14:textId="77777777" w:rsidR="00FB525F" w:rsidRDefault="00FB525F" w:rsidP="002E7283">
            <w:r>
              <w:rPr>
                <w:rFonts w:eastAsia="Noto Sans"/>
                <w:b/>
                <w:color w:val="FFFFFF"/>
                <w:sz w:val="15"/>
              </w:rPr>
              <w:t>Topology</w:t>
            </w:r>
          </w:p>
        </w:tc>
        <w:tc>
          <w:tcPr>
            <w:tcW w:w="4176" w:type="dxa"/>
            <w:shd w:val="clear" w:color="auto" w:fill="16324F"/>
            <w:tcMar>
              <w:top w:w="80" w:type="dxa"/>
              <w:left w:w="90" w:type="dxa"/>
              <w:bottom w:w="80" w:type="dxa"/>
              <w:right w:w="90" w:type="dxa"/>
            </w:tcMar>
            <w:vAlign w:val="center"/>
          </w:tcPr>
          <w:p w14:paraId="0D8A0D24" w14:textId="142C8254" w:rsidR="00FB525F" w:rsidRDefault="005835B4" w:rsidP="002E7283">
            <w:r>
              <w:rPr>
                <w:rFonts w:eastAsia="Noto Sans"/>
                <w:b/>
                <w:color w:val="FFFFFF"/>
                <w:sz w:val="15"/>
              </w:rPr>
              <w:t>Pros</w:t>
            </w:r>
          </w:p>
        </w:tc>
        <w:tc>
          <w:tcPr>
            <w:tcW w:w="4248" w:type="dxa"/>
            <w:shd w:val="clear" w:color="auto" w:fill="16324F"/>
            <w:tcMar>
              <w:top w:w="80" w:type="dxa"/>
              <w:left w:w="90" w:type="dxa"/>
              <w:bottom w:w="80" w:type="dxa"/>
              <w:right w:w="90" w:type="dxa"/>
            </w:tcMar>
            <w:vAlign w:val="center"/>
          </w:tcPr>
          <w:p w14:paraId="0426CD83" w14:textId="67D939D4" w:rsidR="00FB525F" w:rsidRDefault="005835B4" w:rsidP="002E7283">
            <w:r>
              <w:rPr>
                <w:rFonts w:eastAsia="Noto Sans"/>
                <w:b/>
                <w:color w:val="FFFFFF"/>
                <w:sz w:val="15"/>
              </w:rPr>
              <w:t>Cons</w:t>
            </w:r>
          </w:p>
        </w:tc>
      </w:tr>
      <w:tr w:rsidR="00FB525F" w14:paraId="6E222097" w14:textId="77777777" w:rsidTr="002E7283">
        <w:trPr>
          <w:cantSplit/>
          <w:jc w:val="center"/>
        </w:trPr>
        <w:tc>
          <w:tcPr>
            <w:tcW w:w="1800" w:type="dxa"/>
            <w:tcMar>
              <w:top w:w="70" w:type="dxa"/>
              <w:left w:w="80" w:type="dxa"/>
              <w:bottom w:w="70" w:type="dxa"/>
              <w:right w:w="80" w:type="dxa"/>
            </w:tcMar>
          </w:tcPr>
          <w:p w14:paraId="1D1C9546" w14:textId="77777777" w:rsidR="00FB525F" w:rsidRDefault="00FB525F" w:rsidP="002E7283">
            <w:r>
              <w:rPr>
                <w:rFonts w:eastAsia="Noto Sans"/>
                <w:b/>
                <w:color w:val="24313D"/>
                <w:sz w:val="15"/>
              </w:rPr>
              <w:t>Direct E3.S reference</w:t>
            </w:r>
          </w:p>
        </w:tc>
        <w:tc>
          <w:tcPr>
            <w:tcW w:w="4176" w:type="dxa"/>
            <w:tcMar>
              <w:top w:w="70" w:type="dxa"/>
              <w:left w:w="80" w:type="dxa"/>
              <w:bottom w:w="70" w:type="dxa"/>
              <w:right w:w="80" w:type="dxa"/>
            </w:tcMar>
            <w:vAlign w:val="center"/>
          </w:tcPr>
          <w:p w14:paraId="6C97586C" w14:textId="77777777" w:rsidR="00FB525F" w:rsidRDefault="00FB525F" w:rsidP="002E7283">
            <w:r>
              <w:rPr>
                <w:sz w:val="15"/>
              </w:rPr>
              <w:t>No shared switch/uplink; simple endpoint debugging; useful POC control when host lanes are readily available.</w:t>
            </w:r>
          </w:p>
        </w:tc>
        <w:tc>
          <w:tcPr>
            <w:tcW w:w="4248" w:type="dxa"/>
            <w:tcMar>
              <w:top w:w="70" w:type="dxa"/>
              <w:left w:w="80" w:type="dxa"/>
              <w:bottom w:w="70" w:type="dxa"/>
              <w:right w:w="80" w:type="dxa"/>
            </w:tcMar>
            <w:vAlign w:val="center"/>
          </w:tcPr>
          <w:p w14:paraId="052817B5" w14:textId="77777777" w:rsidR="00FB525F" w:rsidRDefault="00FB525F" w:rsidP="002E7283">
            <w:r>
              <w:rPr>
                <w:sz w:val="15"/>
              </w:rPr>
              <w:t>Within an eight-device local design, consumes 32 host lanes; not the production rack-scale baseline; no common managed fabric.</w:t>
            </w:r>
          </w:p>
        </w:tc>
      </w:tr>
      <w:tr w:rsidR="00FB525F" w14:paraId="015CACB6" w14:textId="77777777" w:rsidTr="002E7283">
        <w:trPr>
          <w:cantSplit/>
          <w:jc w:val="center"/>
        </w:trPr>
        <w:tc>
          <w:tcPr>
            <w:tcW w:w="1800" w:type="dxa"/>
            <w:shd w:val="clear" w:color="auto" w:fill="F3F6F8"/>
            <w:tcMar>
              <w:top w:w="70" w:type="dxa"/>
              <w:left w:w="80" w:type="dxa"/>
              <w:bottom w:w="70" w:type="dxa"/>
              <w:right w:w="80" w:type="dxa"/>
            </w:tcMar>
          </w:tcPr>
          <w:p w14:paraId="2E4936A5" w14:textId="77777777" w:rsidR="00FB525F" w:rsidRDefault="00FB525F" w:rsidP="002E7283">
            <w:r>
              <w:rPr>
                <w:rFonts w:eastAsia="Noto Sans"/>
                <w:b/>
                <w:color w:val="24313D"/>
                <w:sz w:val="15"/>
              </w:rPr>
              <w:t>Switched E3.S baseline</w:t>
            </w:r>
          </w:p>
        </w:tc>
        <w:tc>
          <w:tcPr>
            <w:tcW w:w="4176" w:type="dxa"/>
            <w:shd w:val="clear" w:color="auto" w:fill="F3F6F8"/>
            <w:tcMar>
              <w:top w:w="70" w:type="dxa"/>
              <w:left w:w="80" w:type="dxa"/>
              <w:bottom w:w="70" w:type="dxa"/>
              <w:right w:w="80" w:type="dxa"/>
            </w:tcMar>
            <w:vAlign w:val="center"/>
          </w:tcPr>
          <w:p w14:paraId="49C22019" w14:textId="77777777" w:rsidR="00FB525F" w:rsidRDefault="00FB525F" w:rsidP="002E7283">
            <w:r>
              <w:rPr>
                <w:sz w:val="15"/>
              </w:rPr>
              <w:t>One host-facing uplink fans out to eight x4 ATMOS devices; common diagnostics/reset domain; manageable E3.S subsystem for MVP and rack integration.</w:t>
            </w:r>
          </w:p>
        </w:tc>
        <w:tc>
          <w:tcPr>
            <w:tcW w:w="4248" w:type="dxa"/>
            <w:shd w:val="clear" w:color="auto" w:fill="F3F6F8"/>
            <w:tcMar>
              <w:top w:w="70" w:type="dxa"/>
              <w:left w:w="80" w:type="dxa"/>
              <w:bottom w:w="70" w:type="dxa"/>
              <w:right w:w="80" w:type="dxa"/>
            </w:tcMar>
            <w:vAlign w:val="center"/>
          </w:tcPr>
          <w:p w14:paraId="375635DA" w14:textId="77777777" w:rsidR="00FB525F" w:rsidRDefault="00FB525F" w:rsidP="002E7283">
            <w:r>
              <w:rPr>
                <w:sz w:val="15"/>
              </w:rPr>
              <w:t>Adds cost/power and a shared failure domain. It does not place ATMOS in NVLink/NVSwitch or UALink, and the rack OEM must expose a supported host path.</w:t>
            </w:r>
          </w:p>
        </w:tc>
      </w:tr>
      <w:tr>
        <w:tc>
          <w:tcPr>
            <w:tcW w:type="dxa" w:w="1800"/>
          </w:tcPr>
          <w:p>
            <w:r>
              <w:t>Two balanced switch domains</w:t>
            </w:r>
          </w:p>
        </w:tc>
        <w:tc>
          <w:tcPr>
            <w:tcW w:type="dxa" w:w="4176"/>
          </w:tcPr>
          <w:p>
            <w:r>
              <w:t>Contains switch failure; reduces contention; can align to NUMA/root domains.</w:t>
            </w:r>
          </w:p>
        </w:tc>
        <w:tc>
          <w:tcPr>
            <w:tcW w:type="dxa" w:w="4248"/>
          </w:tcPr>
          <w:p>
            <w:r>
              <w:t>Uses two upstream x16 paths and more board/power budget; must prove recovery.</w:t>
            </w:r>
          </w:p>
        </w:tc>
      </w:tr>
    </w:tbl>
    <w:p w14:paraId="5F73A6E4" w14:textId="77777777" w:rsidR="00FB525F" w:rsidRDefault="00FB525F" w:rsidP="009E7494">
      <w:pPr>
        <w:keepNext/>
        <w:spacing w:before="100" w:after="100"/>
        <w:rPr>
          <w:b/>
          <w:color w:val="16324F"/>
          <w:sz w:val="24"/>
          <w:szCs w:val="10"/>
        </w:rPr>
      </w:pPr>
    </w:p>
    <w:p w14:paraId="68747885" w14:textId="3DD8F762" w:rsidR="00FB525F" w:rsidRPr="00FB525F" w:rsidRDefault="00FB525F" w:rsidP="009E7494">
      <w:pPr>
        <w:keepNext/>
        <w:spacing w:before="100" w:after="100"/>
        <w:rPr>
          <w:b/>
          <w:color w:val="16324F"/>
          <w:sz w:val="24"/>
          <w:szCs w:val="10"/>
        </w:rPr>
      </w:pPr>
      <w:r>
        <w:rPr>
          <w:b/>
          <w:color w:val="16324F"/>
          <w:sz w:val="24"/>
          <w:szCs w:val="10"/>
        </w:rPr>
        <w:t xml:space="preserve">Topology 1:- </w:t>
      </w:r>
      <w:r w:rsidRPr="00FB525F">
        <w:rPr>
          <w:b/>
          <w:color w:val="16324F"/>
          <w:sz w:val="24"/>
          <w:szCs w:val="10"/>
        </w:rPr>
        <w:t>Direct-attached E3.S pool</w:t>
      </w:r>
    </w:p>
    <w:tbl>
      <w:tblPr>
        <w:tblStyle w:val="TableGrid"/>
        <w:tblW w:w="0" w:type="auto"/>
        <w:jc w:val="center"/>
        <w:tblLook w:val="04A0" w:firstRow="1" w:lastRow="0" w:firstColumn="1" w:lastColumn="0" w:noHBand="0" w:noVBand="1"/>
      </w:tblPr>
      <w:tblGrid>
        <w:gridCol w:w="8472"/>
      </w:tblGrid>
      <w:tr w:rsidR="005A5290" w14:paraId="5AF19947" w14:textId="77777777" w:rsidTr="005A5290">
        <w:trPr>
          <w:jc w:val="center"/>
        </w:trPr>
        <w:tc>
          <w:tcPr>
            <w:tcW w:w="8472" w:type="dxa"/>
          </w:tcPr>
          <w:p w14:paraId="33262F4E" w14:textId="1C943C97" w:rsidR="005A5290" w:rsidRDefault="005A5290" w:rsidP="009E7494">
            <w:pPr>
              <w:keepNext/>
              <w:spacing w:before="100" w:after="100"/>
            </w:pPr>
            <w:r>
              <w:rPr>
                <w:noProof/>
              </w:rPr>
              <w:drawing>
                <wp:inline distT="0" distB="0" distL="0" distR="0" wp14:anchorId="7DE5396E" wp14:editId="5DD9233A">
                  <wp:extent cx="5232400" cy="3139440"/>
                  <wp:effectExtent l="0" t="0" r="0" b="0"/>
                  <wp:docPr id="1213420729" name="Picture 1213420729" descr="B: one module per bay-mounted device, routed to host ports without a required common switch AIC. [I1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png"/>
                          <pic:cNvPicPr/>
                        </pic:nvPicPr>
                        <pic:blipFill>
                          <a:blip r:embed="rId10"/>
                          <a:stretch>
                            <a:fillRect/>
                          </a:stretch>
                        </pic:blipFill>
                        <pic:spPr>
                          <a:xfrm>
                            <a:off x="0" y="0"/>
                            <a:ext cx="5255418" cy="3153251"/>
                          </a:xfrm>
                          <a:prstGeom prst="rect">
                            <a:avLst/>
                          </a:prstGeom>
                        </pic:spPr>
                      </pic:pic>
                    </a:graphicData>
                  </a:graphic>
                </wp:inline>
              </w:drawing>
            </w:r>
          </w:p>
        </w:tc>
      </w:tr>
    </w:tbl>
    <w:p w14:paraId="4EEEEF88" w14:textId="2E8D1890" w:rsidR="00FB525F" w:rsidRDefault="00FB525F" w:rsidP="009E7494">
      <w:pPr>
        <w:keepNext/>
        <w:spacing w:before="100" w:after="100"/>
      </w:pPr>
    </w:p>
    <w:p w14:paraId="1B01478E" w14:textId="77777777" w:rsidR="009E7494" w:rsidRDefault="009E7494" w:rsidP="009E7494">
      <w:pPr>
        <w:spacing w:after="100" w:line="259" w:lineRule="auto"/>
      </w:pPr>
      <w:r>
        <w:t>Direct attachment remains useful for early endpoint bring-up because it removes the switch from the debug path. In any local eight-device design, however, eight x4 E3.S endpoints consume 32 host lanes and create eight separately managed paths. The proposed product building block is therefore a switched ATMOS E3.S subsystem with one host-facing uplink and eight x4 downstream endpoints. RTX uses this as the development fixture; NVL and Helios use it only when their OEM exposes an approved local PCIe integration boundary.</w:t>
      </w:r>
    </w:p>
    <w:p w14:paraId="1636ED3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7E824CA1" w14:textId="77777777" w:rsidTr="002E7283">
        <w:trPr>
          <w:jc w:val="center"/>
        </w:trPr>
        <w:tc>
          <w:tcPr>
            <w:tcW w:w="10368" w:type="dxa"/>
            <w:shd w:val="clear" w:color="auto" w:fill="F9ECEF"/>
            <w:tcMar>
              <w:top w:w="120" w:type="dxa"/>
              <w:left w:w="150" w:type="dxa"/>
              <w:bottom w:w="120" w:type="dxa"/>
              <w:right w:w="150" w:type="dxa"/>
            </w:tcMar>
            <w:vAlign w:val="center"/>
          </w:tcPr>
          <w:p w14:paraId="5437DF67" w14:textId="77777777" w:rsidR="00846FAB" w:rsidRDefault="00000000">
            <w:pPr>
              <w:spacing w:after="0"/>
            </w:pPr>
            <w:r>
              <w:rPr>
                <w:b/>
                <w:color w:val="A73545"/>
                <w:sz w:val="17"/>
              </w:rPr>
              <w:t>ARCHITECTURE DECISION  Keep direct attachment only as a bring-up/reference path. The reusable hardware building block is a switched E3.S ATMOS subsystem. RTX is the development host; production requires an independently qualified NVIDIA NVL or AMD Helios integration. The fully integrated eight-module ATMOS card remains out of scope.</w:t>
            </w:r>
          </w:p>
        </w:tc>
      </w:tr>
    </w:tbl>
    <w:p w14:paraId="67C2B100" w14:textId="77777777" w:rsidR="009E7494" w:rsidRDefault="009E7494" w:rsidP="009E7494">
      <w:pPr>
        <w:spacing w:after="20"/>
      </w:pPr>
    </w:p>
    <w:p w14:paraId="3EB04653" w14:textId="77777777" w:rsidR="005835B4" w:rsidRDefault="005835B4" w:rsidP="009E7494">
      <w:pPr>
        <w:spacing w:after="20"/>
      </w:pPr>
    </w:p>
    <w:p w14:paraId="4B2D92DC" w14:textId="77777777" w:rsidR="005835B4" w:rsidRDefault="005835B4" w:rsidP="009E7494">
      <w:pPr>
        <w:spacing w:after="20"/>
      </w:pPr>
    </w:p>
    <w:p w14:paraId="5F27B360" w14:textId="77777777" w:rsidR="005835B4" w:rsidRDefault="005835B4" w:rsidP="009E7494">
      <w:pPr>
        <w:spacing w:after="20"/>
      </w:pPr>
    </w:p>
    <w:p w14:paraId="13FF35DC" w14:textId="77777777" w:rsidR="005835B4" w:rsidRDefault="005835B4" w:rsidP="009E7494">
      <w:pPr>
        <w:spacing w:after="20"/>
      </w:pPr>
    </w:p>
    <w:p w14:paraId="6A8B573E" w14:textId="27B784B5" w:rsidR="005835B4" w:rsidRPr="005835B4" w:rsidRDefault="005835B4" w:rsidP="005835B4">
      <w:pPr>
        <w:keepNext/>
        <w:spacing w:before="100" w:after="100"/>
        <w:rPr>
          <w:b/>
          <w:color w:val="16324F"/>
          <w:sz w:val="24"/>
          <w:szCs w:val="10"/>
        </w:rPr>
      </w:pPr>
      <w:r>
        <w:rPr>
          <w:b/>
          <w:color w:val="16324F"/>
          <w:sz w:val="24"/>
          <w:szCs w:val="10"/>
        </w:rPr>
        <w:t>Topology 2 :- Switched</w:t>
      </w:r>
      <w:r w:rsidRPr="00FB525F">
        <w:rPr>
          <w:b/>
          <w:color w:val="16324F"/>
          <w:sz w:val="24"/>
          <w:szCs w:val="10"/>
        </w:rPr>
        <w:t xml:space="preserve"> E3.S pool</w:t>
      </w:r>
    </w:p>
    <w:tbl>
      <w:tblPr>
        <w:tblStyle w:val="TableGrid"/>
        <w:tblW w:w="0" w:type="auto"/>
        <w:jc w:val="center"/>
        <w:tblLook w:val="04A0" w:firstRow="1" w:lastRow="0" w:firstColumn="1" w:lastColumn="0" w:noHBand="0" w:noVBand="1"/>
      </w:tblPr>
      <w:tblGrid>
        <w:gridCol w:w="9464"/>
      </w:tblGrid>
      <w:tr w:rsidR="005A5290" w14:paraId="44D2B9EF" w14:textId="77777777" w:rsidTr="005A5290">
        <w:trPr>
          <w:jc w:val="center"/>
        </w:trPr>
        <w:tc>
          <w:tcPr>
            <w:tcW w:w="9464" w:type="dxa"/>
          </w:tcPr>
          <w:p w14:paraId="277B6B5E" w14:textId="6E200549" w:rsidR="005A5290" w:rsidRDefault="005A5290" w:rsidP="009E7494">
            <w:pPr>
              <w:spacing w:after="40"/>
              <w:jc w:val="center"/>
            </w:pPr>
            <w:r w:rsidRPr="0065212C">
              <w:rPr>
                <w:noProof/>
              </w:rPr>
              <w:drawing>
                <wp:inline distT="0" distB="0" distL="0" distR="0" wp14:anchorId="5D77A746" wp14:editId="52590C75">
                  <wp:extent cx="5567680" cy="3389337"/>
                  <wp:effectExtent l="0" t="0" r="0" b="1905"/>
                  <wp:docPr id="15688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653" name=""/>
                          <pic:cNvPicPr/>
                        </pic:nvPicPr>
                        <pic:blipFill>
                          <a:blip r:embed="rId11"/>
                          <a:stretch>
                            <a:fillRect/>
                          </a:stretch>
                        </pic:blipFill>
                        <pic:spPr>
                          <a:xfrm>
                            <a:off x="0" y="0"/>
                            <a:ext cx="5591899" cy="3404080"/>
                          </a:xfrm>
                          <a:prstGeom prst="rect">
                            <a:avLst/>
                          </a:prstGeom>
                        </pic:spPr>
                      </pic:pic>
                    </a:graphicData>
                  </a:graphic>
                </wp:inline>
              </w:drawing>
            </w:r>
          </w:p>
        </w:tc>
      </w:tr>
    </w:tbl>
    <w:p w14:paraId="330D3839" w14:textId="76C7B15B" w:rsidR="009E7494" w:rsidRDefault="009E7494" w:rsidP="009E7494">
      <w:pPr>
        <w:spacing w:after="40"/>
        <w:jc w:val="center"/>
      </w:pPr>
    </w:p>
    <w:p w14:paraId="1D32B9C7" w14:textId="77777777" w:rsidR="009E7494" w:rsidRDefault="009E7494" w:rsidP="009E7494">
      <w:pPr>
        <w:spacing w:after="100"/>
        <w:jc w:val="center"/>
      </w:pPr>
      <w:r>
        <w:rPr>
          <w:i/>
          <w:color w:val="66727D"/>
          <w:sz w:val="16"/>
        </w:rPr>
        <w:t>Figure 5. The switch is an ATMOS branch, not a replacement for the GPU platform fabric. The GPU compute domain and NICs remain on their native platform paths. The drawing represents the local-PCIe attachment option; a companion ATMOS tray/service is a separate topology when the rack does not expose a suitable local route.</w:t>
      </w:r>
    </w:p>
    <w:p w14:paraId="3E0DBD51" w14:textId="77777777" w:rsidR="009E7494" w:rsidRDefault="009E7494" w:rsidP="009E7494">
      <w:pPr>
        <w:keepNext/>
        <w:spacing w:before="60" w:after="60"/>
      </w:pPr>
      <w:r>
        <w:rPr>
          <w:rFonts w:eastAsia="Noto Sans"/>
          <w:b/>
          <w:color w:val="16324F"/>
          <w:sz w:val="25"/>
        </w:rPr>
        <w:t>Gen5 baseline: settle the 48-lane fan-out first</w:t>
      </w:r>
    </w:p>
    <w:tbl>
      <w:tblPr>
        <w:tblStyle w:val="TableGrid"/>
        <w:tblW w:w="0" w:type="auto"/>
        <w:jc w:val="center"/>
        <w:tblLayout w:type="fixed"/>
        <w:tblLook w:val="04A0" w:firstRow="1" w:lastRow="0" w:firstColumn="1" w:lastColumn="0" w:noHBand="0" w:noVBand="1"/>
      </w:tblPr>
      <w:tblGrid>
        <w:gridCol w:w="1944"/>
        <w:gridCol w:w="2664"/>
        <w:gridCol w:w="3240"/>
        <w:gridCol w:w="3240"/>
      </w:tblGrid>
      <w:tr w:rsidR="009E7494" w14:paraId="79B56C33" w14:textId="77777777" w:rsidTr="002E7283">
        <w:trPr>
          <w:tblHeader/>
          <w:jc w:val="center"/>
        </w:trPr>
        <w:tc>
          <w:tcPr>
            <w:tcW w:w="1944" w:type="dxa"/>
            <w:shd w:val="clear" w:color="auto" w:fill="16324F"/>
            <w:tcMar>
              <w:top w:w="80" w:type="dxa"/>
              <w:left w:w="90" w:type="dxa"/>
              <w:bottom w:w="80" w:type="dxa"/>
              <w:right w:w="90" w:type="dxa"/>
            </w:tcMar>
            <w:vAlign w:val="center"/>
          </w:tcPr>
          <w:p w14:paraId="3024A4D8" w14:textId="77777777" w:rsidR="009E7494" w:rsidRDefault="009E7494" w:rsidP="002E7283">
            <w:r>
              <w:rPr>
                <w:rFonts w:eastAsia="Noto Sans"/>
                <w:b/>
                <w:color w:val="FFFFFF"/>
                <w:sz w:val="14"/>
              </w:rPr>
              <w:t>Candidate</w:t>
            </w:r>
          </w:p>
        </w:tc>
        <w:tc>
          <w:tcPr>
            <w:tcW w:w="2664" w:type="dxa"/>
            <w:shd w:val="clear" w:color="auto" w:fill="16324F"/>
            <w:tcMar>
              <w:top w:w="80" w:type="dxa"/>
              <w:left w:w="90" w:type="dxa"/>
              <w:bottom w:w="80" w:type="dxa"/>
              <w:right w:w="90" w:type="dxa"/>
            </w:tcMar>
            <w:vAlign w:val="center"/>
          </w:tcPr>
          <w:p w14:paraId="08D4B2D6" w14:textId="77777777" w:rsidR="009E7494" w:rsidRDefault="009E7494" w:rsidP="002E7283">
            <w:r>
              <w:rPr>
                <w:rFonts w:eastAsia="Noto Sans"/>
                <w:b/>
                <w:color w:val="FFFFFF"/>
                <w:sz w:val="14"/>
              </w:rPr>
              <w:t>Public fit</w:t>
            </w:r>
          </w:p>
        </w:tc>
        <w:tc>
          <w:tcPr>
            <w:tcW w:w="3240" w:type="dxa"/>
            <w:shd w:val="clear" w:color="auto" w:fill="16324F"/>
            <w:tcMar>
              <w:top w:w="80" w:type="dxa"/>
              <w:left w:w="90" w:type="dxa"/>
              <w:bottom w:w="80" w:type="dxa"/>
              <w:right w:w="90" w:type="dxa"/>
            </w:tcMar>
            <w:vAlign w:val="center"/>
          </w:tcPr>
          <w:p w14:paraId="62DD7057" w14:textId="77777777" w:rsidR="009E7494" w:rsidRDefault="009E7494" w:rsidP="002E7283">
            <w:r>
              <w:rPr>
                <w:rFonts w:eastAsia="Noto Sans"/>
                <w:b/>
                <w:color w:val="FFFFFF"/>
                <w:sz w:val="14"/>
              </w:rPr>
              <w:t>Role in the program</w:t>
            </w:r>
          </w:p>
        </w:tc>
        <w:tc>
          <w:tcPr>
            <w:tcW w:w="3240" w:type="dxa"/>
            <w:shd w:val="clear" w:color="auto" w:fill="16324F"/>
            <w:tcMar>
              <w:top w:w="80" w:type="dxa"/>
              <w:left w:w="90" w:type="dxa"/>
              <w:bottom w:w="80" w:type="dxa"/>
              <w:right w:w="90" w:type="dxa"/>
            </w:tcMar>
            <w:vAlign w:val="center"/>
          </w:tcPr>
          <w:p w14:paraId="642BA713" w14:textId="77777777" w:rsidR="009E7494" w:rsidRDefault="009E7494" w:rsidP="002E7283">
            <w:r>
              <w:rPr>
                <w:rFonts w:eastAsia="Noto Sans"/>
                <w:b/>
                <w:color w:val="FFFFFF"/>
                <w:sz w:val="14"/>
              </w:rPr>
              <w:t>Adoption gate</w:t>
            </w:r>
          </w:p>
        </w:tc>
      </w:tr>
      <w:tr w:rsidR="009E7494" w14:paraId="48A4070C" w14:textId="77777777" w:rsidTr="002E7283">
        <w:trPr>
          <w:cantSplit/>
          <w:jc w:val="center"/>
        </w:trPr>
        <w:tc>
          <w:tcPr>
            <w:tcW w:w="1944" w:type="dxa"/>
            <w:tcMar>
              <w:top w:w="70" w:type="dxa"/>
              <w:left w:w="80" w:type="dxa"/>
              <w:bottom w:w="70" w:type="dxa"/>
              <w:right w:w="80" w:type="dxa"/>
            </w:tcMar>
          </w:tcPr>
          <w:p w14:paraId="4004DABC" w14:textId="77777777" w:rsidR="009E7494" w:rsidRDefault="009E7494" w:rsidP="002E7283">
            <w:r>
              <w:rPr>
                <w:rFonts w:eastAsia="Noto Sans"/>
                <w:b/>
                <w:color w:val="24313D"/>
                <w:sz w:val="14"/>
              </w:rPr>
              <w:t>Microchip PM50052</w:t>
            </w:r>
          </w:p>
        </w:tc>
        <w:tc>
          <w:tcPr>
            <w:tcW w:w="2664" w:type="dxa"/>
            <w:tcMar>
              <w:top w:w="70" w:type="dxa"/>
              <w:left w:w="80" w:type="dxa"/>
              <w:bottom w:w="70" w:type="dxa"/>
              <w:right w:w="80" w:type="dxa"/>
            </w:tcMar>
          </w:tcPr>
          <w:p w14:paraId="15484208" w14:textId="77777777" w:rsidR="009E7494" w:rsidRDefault="009E7494" w:rsidP="002E7283">
            <w:r>
              <w:rPr>
                <w:rFonts w:eastAsia="Noto Sans"/>
                <w:color w:val="24313D"/>
                <w:sz w:val="14"/>
              </w:rPr>
              <w:t>Switchtec PFX Gen5, 52 lanes. Microchip publishes a 52-lane reference design and ChipLink-based enablement path.</w:t>
            </w:r>
          </w:p>
        </w:tc>
        <w:tc>
          <w:tcPr>
            <w:tcW w:w="3240" w:type="dxa"/>
            <w:tcMar>
              <w:top w:w="70" w:type="dxa"/>
              <w:left w:w="80" w:type="dxa"/>
              <w:bottom w:w="70" w:type="dxa"/>
              <w:right w:w="80" w:type="dxa"/>
            </w:tcMar>
          </w:tcPr>
          <w:p w14:paraId="1019D752" w14:textId="77777777" w:rsidR="009E7494" w:rsidRDefault="009E7494" w:rsidP="002E7283">
            <w:r>
              <w:rPr>
                <w:rFonts w:eastAsia="Noto Sans"/>
                <w:color w:val="24313D"/>
                <w:sz w:val="14"/>
              </w:rPr>
              <w:t>Primary engineering-enablement inquiry because the 48-lane target map leaves four lanes of arithmetic margin.</w:t>
            </w:r>
          </w:p>
        </w:tc>
        <w:tc>
          <w:tcPr>
            <w:tcW w:w="3240" w:type="dxa"/>
            <w:tcMar>
              <w:top w:w="70" w:type="dxa"/>
              <w:left w:w="80" w:type="dxa"/>
              <w:bottom w:w="70" w:type="dxa"/>
              <w:right w:w="80" w:type="dxa"/>
            </w:tcMar>
          </w:tcPr>
          <w:p w14:paraId="4A6610EC" w14:textId="77777777" w:rsidR="009E7494" w:rsidRDefault="009E7494" w:rsidP="002E7283">
            <w:r>
              <w:rPr>
                <w:rFonts w:eastAsia="Noto Sans"/>
                <w:color w:val="24313D"/>
                <w:sz w:val="14"/>
              </w:rPr>
              <w:t>Vendor-confirmed x16 upstream + 8×x4 downstream map, non-NVMe endpoint interoperability, board/firmware support, quote and lifecycle owner.</w:t>
            </w:r>
          </w:p>
        </w:tc>
      </w:tr>
      <w:tr w:rsidR="009E7494" w14:paraId="10E7F7B3" w14:textId="77777777" w:rsidTr="002E7283">
        <w:trPr>
          <w:cantSplit/>
          <w:jc w:val="center"/>
        </w:trPr>
        <w:tc>
          <w:tcPr>
            <w:tcW w:w="1944" w:type="dxa"/>
            <w:shd w:val="clear" w:color="auto" w:fill="F6F8FA"/>
            <w:tcMar>
              <w:top w:w="70" w:type="dxa"/>
              <w:left w:w="80" w:type="dxa"/>
              <w:bottom w:w="70" w:type="dxa"/>
              <w:right w:w="80" w:type="dxa"/>
            </w:tcMar>
          </w:tcPr>
          <w:p w14:paraId="57AF44FA" w14:textId="77777777" w:rsidR="009E7494" w:rsidRDefault="009E7494" w:rsidP="002E7283">
            <w:r>
              <w:rPr>
                <w:rFonts w:eastAsia="Noto Sans"/>
                <w:b/>
                <w:color w:val="24313D"/>
                <w:sz w:val="14"/>
              </w:rPr>
              <w:t>Broadcom PEX89048</w:t>
            </w:r>
          </w:p>
        </w:tc>
        <w:tc>
          <w:tcPr>
            <w:tcW w:w="2664" w:type="dxa"/>
            <w:shd w:val="clear" w:color="auto" w:fill="F6F8FA"/>
            <w:tcMar>
              <w:top w:w="70" w:type="dxa"/>
              <w:left w:w="80" w:type="dxa"/>
              <w:bottom w:w="70" w:type="dxa"/>
              <w:right w:w="80" w:type="dxa"/>
            </w:tcMar>
          </w:tcPr>
          <w:p w14:paraId="79F6210E" w14:textId="77777777" w:rsidR="009E7494" w:rsidRDefault="009E7494" w:rsidP="002E7283">
            <w:r>
              <w:rPr>
                <w:rFonts w:eastAsia="Noto Sans"/>
                <w:color w:val="24313D"/>
                <w:sz w:val="14"/>
              </w:rPr>
              <w:t>48-lane PCIe Gen5 ExpressFabric switch; exact arithmetic for x16 + 8×x4.</w:t>
            </w:r>
          </w:p>
        </w:tc>
        <w:tc>
          <w:tcPr>
            <w:tcW w:w="3240" w:type="dxa"/>
            <w:shd w:val="clear" w:color="auto" w:fill="F6F8FA"/>
            <w:tcMar>
              <w:top w:w="70" w:type="dxa"/>
              <w:left w:w="80" w:type="dxa"/>
              <w:bottom w:w="70" w:type="dxa"/>
              <w:right w:w="80" w:type="dxa"/>
            </w:tcMar>
          </w:tcPr>
          <w:p w14:paraId="725F080D" w14:textId="77777777" w:rsidR="009E7494" w:rsidRDefault="009E7494" w:rsidP="002E7283">
            <w:r>
              <w:rPr>
                <w:rFonts w:eastAsia="Noto Sans"/>
                <w:color w:val="24313D"/>
                <w:sz w:val="14"/>
              </w:rPr>
              <w:t>Parallel fixed-eight-device alternative to avoid vendor lock-in and compare OEM-supported board availability.</w:t>
            </w:r>
          </w:p>
        </w:tc>
        <w:tc>
          <w:tcPr>
            <w:tcW w:w="3240" w:type="dxa"/>
            <w:shd w:val="clear" w:color="auto" w:fill="F6F8FA"/>
            <w:tcMar>
              <w:top w:w="70" w:type="dxa"/>
              <w:left w:w="80" w:type="dxa"/>
              <w:bottom w:w="70" w:type="dxa"/>
              <w:right w:w="80" w:type="dxa"/>
            </w:tcMar>
          </w:tcPr>
          <w:p w14:paraId="42C4BF34" w14:textId="77777777" w:rsidR="009E7494" w:rsidRDefault="009E7494" w:rsidP="002E7283">
            <w:r>
              <w:rPr>
                <w:rFonts w:eastAsia="Noto Sans"/>
                <w:color w:val="24313D"/>
                <w:sz w:val="14"/>
              </w:rPr>
              <w:t>Exact port grouping/configuration, board support, peer/ACS/DPC/reset behavior, diagnostics, quote and support owner.</w:t>
            </w:r>
          </w:p>
        </w:tc>
      </w:tr>
      <w:tr w:rsidR="009E7494" w14:paraId="20768326" w14:textId="77777777" w:rsidTr="002E7283">
        <w:trPr>
          <w:cantSplit/>
          <w:jc w:val="center"/>
        </w:trPr>
        <w:tc>
          <w:tcPr>
            <w:tcW w:w="1944" w:type="dxa"/>
            <w:tcMar>
              <w:top w:w="70" w:type="dxa"/>
              <w:left w:w="80" w:type="dxa"/>
              <w:bottom w:w="70" w:type="dxa"/>
              <w:right w:w="80" w:type="dxa"/>
            </w:tcMar>
          </w:tcPr>
          <w:p w14:paraId="2E163E48" w14:textId="77777777" w:rsidR="009E7494" w:rsidRDefault="009E7494" w:rsidP="002E7283">
            <w:r>
              <w:rPr>
                <w:rFonts w:eastAsia="Noto Sans"/>
                <w:b/>
                <w:color w:val="24313D"/>
                <w:sz w:val="14"/>
              </w:rPr>
              <w:t>Microchip PM50100 / larger Gen5</w:t>
            </w:r>
          </w:p>
        </w:tc>
        <w:tc>
          <w:tcPr>
            <w:tcW w:w="2664" w:type="dxa"/>
            <w:tcMar>
              <w:top w:w="70" w:type="dxa"/>
              <w:left w:w="80" w:type="dxa"/>
              <w:bottom w:w="70" w:type="dxa"/>
              <w:right w:w="80" w:type="dxa"/>
            </w:tcMar>
          </w:tcPr>
          <w:p w14:paraId="26602919" w14:textId="77777777" w:rsidR="009E7494" w:rsidRDefault="009E7494" w:rsidP="002E7283">
            <w:r>
              <w:rPr>
                <w:rFonts w:eastAsia="Noto Sans"/>
                <w:color w:val="24313D"/>
                <w:sz w:val="14"/>
              </w:rPr>
              <w:t>Up to 100 lanes in the Gen5 Switchtec family.</w:t>
            </w:r>
          </w:p>
        </w:tc>
        <w:tc>
          <w:tcPr>
            <w:tcW w:w="3240" w:type="dxa"/>
            <w:tcMar>
              <w:top w:w="70" w:type="dxa"/>
              <w:left w:w="80" w:type="dxa"/>
              <w:bottom w:w="70" w:type="dxa"/>
              <w:right w:w="80" w:type="dxa"/>
            </w:tcMar>
          </w:tcPr>
          <w:p w14:paraId="52156EDC" w14:textId="77777777" w:rsidR="009E7494" w:rsidRDefault="009E7494" w:rsidP="002E7283">
            <w:r>
              <w:rPr>
                <w:rFonts w:eastAsia="Noto Sans"/>
                <w:color w:val="24313D"/>
                <w:sz w:val="14"/>
              </w:rPr>
              <w:t>Only when the actual server port map needs wider uplinks, more endpoints or additional fabrics.</w:t>
            </w:r>
          </w:p>
        </w:tc>
        <w:tc>
          <w:tcPr>
            <w:tcW w:w="3240" w:type="dxa"/>
            <w:tcMar>
              <w:top w:w="70" w:type="dxa"/>
              <w:left w:w="80" w:type="dxa"/>
              <w:bottom w:w="70" w:type="dxa"/>
              <w:right w:w="80" w:type="dxa"/>
            </w:tcMar>
          </w:tcPr>
          <w:p w14:paraId="1B4AD267" w14:textId="77777777" w:rsidR="009E7494" w:rsidRDefault="009E7494" w:rsidP="002E7283">
            <w:r>
              <w:rPr>
                <w:rFonts w:eastAsia="Noto Sans"/>
                <w:color w:val="24313D"/>
                <w:sz w:val="14"/>
              </w:rPr>
              <w:t>Concrete extra-port requirement; do not pay area/power/cost merely because a larger switch exists.</w:t>
            </w:r>
          </w:p>
        </w:tc>
      </w:tr>
    </w:tbl>
    <w:p w14:paraId="7D921873" w14:textId="77777777" w:rsidR="009E7494" w:rsidRDefault="009E7494" w:rsidP="009E7494">
      <w:pPr>
        <w:spacing w:after="20"/>
      </w:pPr>
    </w:p>
    <w:p w14:paraId="4DD8504B" w14:textId="77777777" w:rsidR="009E7494" w:rsidRDefault="009E7494" w:rsidP="009E7494">
      <w:pPr>
        <w:keepNext/>
        <w:spacing w:before="60" w:after="60"/>
      </w:pPr>
      <w:r>
        <w:rPr>
          <w:b/>
          <w:color w:val="16324F"/>
          <w:sz w:val="25"/>
        </w:rPr>
        <w:t>Gen5 first for the subsystem; Gen6 when the rack path earns it</w:t>
      </w:r>
    </w:p>
    <w:p w14:paraId="7E8D353E" w14:textId="77777777" w:rsidR="009E7494" w:rsidRDefault="009E7494" w:rsidP="009E7494">
      <w:pPr>
        <w:pStyle w:val="ListBullet"/>
        <w:spacing w:after="40" w:line="252" w:lineRule="auto"/>
        <w:ind w:left="259" w:hanging="173"/>
      </w:pPr>
      <w:r>
        <w:t>A Gen6 x16 host uplink can approximately match the headline line rate of eight Gen5 x4 downstream links, but only when the selected NVL/Helios host path, switch, board/channel and firmware all support the combination. Gen6 is therefore a platform qualification, not a paper upgrade.</w:t>
      </w:r>
    </w:p>
    <w:p w14:paraId="0A40903A" w14:textId="77777777" w:rsidR="009E7494" w:rsidRDefault="009E7494" w:rsidP="009E7494">
      <w:pPr>
        <w:pStyle w:val="ListBullet"/>
        <w:spacing w:after="40" w:line="252" w:lineRule="auto"/>
        <w:ind w:left="259" w:hanging="173"/>
      </w:pPr>
      <w:r>
        <w:t>Microchip publicly describes Gen6 Switchtec low-lane-count 48/64-lane families with x2/x4/x8/x16 flexibility. Keep this as the first Gen6 engineering inquiry after the Gen5 subsystem behavior is understood.</w:t>
      </w:r>
    </w:p>
    <w:p w14:paraId="69E9A88E" w14:textId="77777777" w:rsidR="009E7494" w:rsidRDefault="009E7494" w:rsidP="009E7494">
      <w:pPr>
        <w:pStyle w:val="ListBullet"/>
        <w:spacing w:after="40" w:line="252" w:lineRule="auto"/>
        <w:ind w:left="259" w:hanging="173"/>
      </w:pPr>
      <w:r>
        <w:t>Do not choose Gen6 simply to upgrade a Gen5 endpoint. ATMOS endpoint generation, host/root generation and switch uplink/downlink configuration are independent decisions.</w:t>
      </w:r>
    </w:p>
    <w:p w14:paraId="43F44539" w14:textId="77777777" w:rsidR="009E7494" w:rsidRDefault="009E7494" w:rsidP="009E7494">
      <w:pPr>
        <w:pStyle w:val="ListBullet"/>
        <w:spacing w:after="40" w:line="252" w:lineRule="auto"/>
        <w:ind w:left="259" w:hanging="173"/>
      </w:pPr>
      <w:r>
        <w:t>Treat any larger Gen6 switch as a vendor/OEM roadmap item until an exact orderable part, x4 grouping, board path, firmware profile, supply plan and support owner are returned.</w:t>
      </w:r>
    </w:p>
    <w:p w14:paraId="72BE6DF4" w14:textId="55D4E779" w:rsidR="009E7494" w:rsidRDefault="009E7494" w:rsidP="005A5290">
      <w:r>
        <w:br w:type="page"/>
      </w:r>
      <w:r>
        <w:rPr>
          <w:b/>
          <w:color w:val="16324F"/>
          <w:sz w:val="36"/>
        </w:rPr>
        <w:lastRenderedPageBreak/>
        <w:t>GPU-to-ATMOS DMA qualification: host staging first, peer path optional</w:t>
      </w:r>
    </w:p>
    <w:p w14:paraId="0E8D1996" w14:textId="77777777" w:rsidR="009E7494" w:rsidRDefault="009E7494" w:rsidP="009E7494">
      <w:pPr>
        <w:spacing w:after="100" w:line="259" w:lineRule="auto"/>
      </w:pPr>
      <w:r>
        <w:rPr>
          <w:sz w:val="18"/>
        </w:rPr>
        <w:t xml:space="preserve">The initial MoE architecture </w:t>
      </w:r>
      <w:r w:rsidRPr="005835B4">
        <w:rPr>
          <w:b/>
          <w:bCs/>
          <w:sz w:val="18"/>
        </w:rPr>
        <w:t>does not require ATMOS-to-ATMOS P2P</w:t>
      </w:r>
      <w:r>
        <w:rPr>
          <w:sz w:val="18"/>
        </w:rPr>
        <w:t xml:space="preserve">. The </w:t>
      </w:r>
      <w:r w:rsidRPr="005835B4">
        <w:rPr>
          <w:b/>
          <w:bCs/>
          <w:sz w:val="18"/>
        </w:rPr>
        <w:t>critical data path is GPU-to-ATMOS activation dispatch and ATMOS-to-GPU result return</w:t>
      </w:r>
      <w:r>
        <w:rPr>
          <w:sz w:val="18"/>
        </w:rPr>
        <w:t>. A host-staged path using stock vendor APIs is the mandatory functional baseline. Direct GPU-memory peer DMA is enabled only when documented NVIDIA or AMD interfaces, Linux/IOMMU policy, the ATMOS endpoint and the runtime all support the exact route; lack of that path must never force a proprietary GPU driver or firmware modification.</w:t>
      </w:r>
    </w:p>
    <w:tbl>
      <w:tblPr>
        <w:tblStyle w:val="TableGrid"/>
        <w:tblW w:w="0" w:type="auto"/>
        <w:jc w:val="center"/>
        <w:tblLayout w:type="fixed"/>
        <w:tblLook w:val="04A0" w:firstRow="1" w:lastRow="0" w:firstColumn="1" w:lastColumn="0" w:noHBand="0" w:noVBand="1"/>
      </w:tblPr>
      <w:tblGrid>
        <w:gridCol w:w="1655"/>
        <w:gridCol w:w="6623"/>
        <w:gridCol w:w="1944"/>
      </w:tblGrid>
      <w:tr w:rsidR="009E7494" w14:paraId="1612D10C" w14:textId="77777777" w:rsidTr="002E7283">
        <w:trPr>
          <w:tblHeader/>
          <w:jc w:val="center"/>
        </w:trPr>
        <w:tc>
          <w:tcPr>
            <w:tcW w:w="1655" w:type="dxa"/>
            <w:shd w:val="clear" w:color="auto" w:fill="16324F"/>
            <w:tcMar>
              <w:top w:w="80" w:type="dxa"/>
              <w:left w:w="90" w:type="dxa"/>
              <w:bottom w:w="80" w:type="dxa"/>
              <w:right w:w="90" w:type="dxa"/>
            </w:tcMar>
            <w:vAlign w:val="center"/>
          </w:tcPr>
          <w:p w14:paraId="561B5134" w14:textId="77777777" w:rsidR="00846FAB" w:rsidRDefault="00000000">
            <w:r>
              <w:rPr>
                <w:b/>
                <w:color w:val="FFFFFF"/>
                <w:sz w:val="14"/>
              </w:rPr>
              <w:t>Gate</w:t>
            </w:r>
          </w:p>
        </w:tc>
        <w:tc>
          <w:tcPr>
            <w:tcW w:w="6623" w:type="dxa"/>
            <w:shd w:val="clear" w:color="auto" w:fill="16324F"/>
            <w:tcMar>
              <w:top w:w="80" w:type="dxa"/>
              <w:left w:w="90" w:type="dxa"/>
              <w:bottom w:w="80" w:type="dxa"/>
              <w:right w:w="90" w:type="dxa"/>
            </w:tcMar>
            <w:vAlign w:val="center"/>
          </w:tcPr>
          <w:p w14:paraId="71071D31" w14:textId="77777777" w:rsidR="00846FAB" w:rsidRDefault="00000000">
            <w:r>
              <w:rPr>
                <w:b/>
                <w:color w:val="FFFFFF"/>
                <w:sz w:val="14"/>
              </w:rPr>
              <w:t>What must be proven</w:t>
            </w:r>
          </w:p>
        </w:tc>
        <w:tc>
          <w:tcPr>
            <w:tcW w:w="1944" w:type="dxa"/>
            <w:shd w:val="clear" w:color="auto" w:fill="16324F"/>
            <w:tcMar>
              <w:top w:w="80" w:type="dxa"/>
              <w:left w:w="90" w:type="dxa"/>
              <w:bottom w:w="80" w:type="dxa"/>
              <w:right w:w="90" w:type="dxa"/>
            </w:tcMar>
            <w:vAlign w:val="center"/>
          </w:tcPr>
          <w:p w14:paraId="38F7D0D2" w14:textId="77777777" w:rsidR="00846FAB" w:rsidRDefault="00000000">
            <w:r>
              <w:rPr>
                <w:b/>
                <w:color w:val="FFFFFF"/>
                <w:sz w:val="14"/>
              </w:rPr>
              <w:t>Owner(s)</w:t>
            </w:r>
          </w:p>
        </w:tc>
      </w:tr>
      <w:tr w:rsidR="009E7494" w14:paraId="441D4261" w14:textId="77777777" w:rsidTr="002E7283">
        <w:trPr>
          <w:cantSplit/>
          <w:jc w:val="center"/>
        </w:trPr>
        <w:tc>
          <w:tcPr>
            <w:tcW w:w="1655" w:type="dxa"/>
            <w:tcMar>
              <w:top w:w="70" w:type="dxa"/>
              <w:left w:w="80" w:type="dxa"/>
              <w:bottom w:w="70" w:type="dxa"/>
              <w:right w:w="80" w:type="dxa"/>
            </w:tcMar>
            <w:vAlign w:val="center"/>
          </w:tcPr>
          <w:p w14:paraId="6AEA7B25" w14:textId="77777777" w:rsidR="00846FAB" w:rsidRDefault="00000000">
            <w:r>
              <w:rPr>
                <w:sz w:val="14"/>
              </w:rPr>
              <w:t>1. ATMOS endpoint</w:t>
            </w:r>
          </w:p>
        </w:tc>
        <w:tc>
          <w:tcPr>
            <w:tcW w:w="6623" w:type="dxa"/>
            <w:tcMar>
              <w:top w:w="70" w:type="dxa"/>
              <w:left w:w="80" w:type="dxa"/>
              <w:bottom w:w="70" w:type="dxa"/>
              <w:right w:w="80" w:type="dxa"/>
            </w:tcMar>
            <w:vAlign w:val="center"/>
          </w:tcPr>
          <w:p w14:paraId="408326B7" w14:textId="77777777" w:rsidR="00846FAB" w:rsidRDefault="00000000">
            <w:r>
              <w:rPr>
                <w:sz w:val="14"/>
              </w:rPr>
              <w:t>Registered-buffer mechanism; programmable DMA; ordering/completion; reset invalidation; bounded access. Peer-visible aperture only if required by a supported route.</w:t>
            </w:r>
          </w:p>
        </w:tc>
        <w:tc>
          <w:tcPr>
            <w:tcW w:w="1944" w:type="dxa"/>
            <w:tcMar>
              <w:top w:w="70" w:type="dxa"/>
              <w:left w:w="80" w:type="dxa"/>
              <w:bottom w:w="70" w:type="dxa"/>
              <w:right w:w="80" w:type="dxa"/>
            </w:tcMar>
            <w:vAlign w:val="center"/>
          </w:tcPr>
          <w:p w14:paraId="02710018" w14:textId="77777777" w:rsidR="00846FAB" w:rsidRDefault="00000000">
            <w:r>
              <w:rPr>
                <w:sz w:val="14"/>
              </w:rPr>
              <w:t>Sandisk silicon/FW + driver</w:t>
            </w:r>
          </w:p>
        </w:tc>
      </w:tr>
      <w:tr w:rsidR="009E7494" w14:paraId="2F4A689D" w14:textId="77777777" w:rsidTr="002E7283">
        <w:trPr>
          <w:cantSplit/>
          <w:jc w:val="center"/>
        </w:trPr>
        <w:tc>
          <w:tcPr>
            <w:tcW w:w="1655" w:type="dxa"/>
            <w:shd w:val="clear" w:color="auto" w:fill="F3F6F8"/>
            <w:tcMar>
              <w:top w:w="70" w:type="dxa"/>
              <w:left w:w="80" w:type="dxa"/>
              <w:bottom w:w="70" w:type="dxa"/>
              <w:right w:w="80" w:type="dxa"/>
            </w:tcMar>
            <w:vAlign w:val="center"/>
          </w:tcPr>
          <w:p w14:paraId="31885CC8" w14:textId="77777777" w:rsidR="00846FAB" w:rsidRDefault="00000000">
            <w:r>
              <w:rPr>
                <w:sz w:val="14"/>
              </w:rPr>
              <w:t>2. Switch fabric</w:t>
            </w:r>
          </w:p>
        </w:tc>
        <w:tc>
          <w:tcPr>
            <w:tcW w:w="6623" w:type="dxa"/>
            <w:shd w:val="clear" w:color="auto" w:fill="F3F6F8"/>
            <w:tcMar>
              <w:top w:w="70" w:type="dxa"/>
              <w:left w:w="80" w:type="dxa"/>
              <w:bottom w:w="70" w:type="dxa"/>
              <w:right w:w="80" w:type="dxa"/>
            </w:tcMar>
            <w:vAlign w:val="center"/>
          </w:tcPr>
          <w:p w14:paraId="575C3175" w14:textId="77777777" w:rsidR="00846FAB" w:rsidRDefault="00000000">
            <w:r>
              <w:rPr>
                <w:sz w:val="14"/>
              </w:rPr>
              <w:t>Required x16 + 8×x4 map; diagnostics; ACS/DPC/security policy; containment and firmware profile. ATMOS-to-ATMOS P2P is optional for the first product.</w:t>
            </w:r>
          </w:p>
        </w:tc>
        <w:tc>
          <w:tcPr>
            <w:tcW w:w="1944" w:type="dxa"/>
            <w:shd w:val="clear" w:color="auto" w:fill="F3F6F8"/>
            <w:tcMar>
              <w:top w:w="70" w:type="dxa"/>
              <w:left w:w="80" w:type="dxa"/>
              <w:bottom w:w="70" w:type="dxa"/>
              <w:right w:w="80" w:type="dxa"/>
            </w:tcMar>
            <w:vAlign w:val="center"/>
          </w:tcPr>
          <w:p w14:paraId="06E23651" w14:textId="77777777" w:rsidR="00846FAB" w:rsidRDefault="00000000">
            <w:r>
              <w:rPr>
                <w:sz w:val="14"/>
              </w:rPr>
              <w:t>Microchip/Broadcom FAE + OEM</w:t>
            </w:r>
          </w:p>
        </w:tc>
      </w:tr>
      <w:tr w:rsidR="009E7494" w14:paraId="2A7CB7C6" w14:textId="77777777" w:rsidTr="002E7283">
        <w:trPr>
          <w:cantSplit/>
          <w:jc w:val="center"/>
        </w:trPr>
        <w:tc>
          <w:tcPr>
            <w:tcW w:w="1655" w:type="dxa"/>
            <w:tcMar>
              <w:top w:w="70" w:type="dxa"/>
              <w:left w:w="80" w:type="dxa"/>
              <w:bottom w:w="70" w:type="dxa"/>
              <w:right w:w="80" w:type="dxa"/>
            </w:tcMar>
            <w:vAlign w:val="center"/>
          </w:tcPr>
          <w:p w14:paraId="549C28CC" w14:textId="77777777" w:rsidR="00846FAB" w:rsidRDefault="00000000">
            <w:r>
              <w:rPr>
                <w:sz w:val="14"/>
              </w:rPr>
              <w:t>3. OEM / OS</w:t>
            </w:r>
          </w:p>
        </w:tc>
        <w:tc>
          <w:tcPr>
            <w:tcW w:w="6623" w:type="dxa"/>
            <w:tcMar>
              <w:top w:w="70" w:type="dxa"/>
              <w:left w:w="80" w:type="dxa"/>
              <w:bottom w:w="70" w:type="dxa"/>
              <w:right w:w="80" w:type="dxa"/>
            </w:tcMar>
            <w:vAlign w:val="center"/>
          </w:tcPr>
          <w:p w14:paraId="05D60B2E" w14:textId="77777777" w:rsidR="00846FAB" w:rsidRDefault="00000000">
            <w:r>
              <w:rPr>
                <w:sz w:val="14"/>
              </w:rPr>
              <w:t>BIOS address windows, IOMMU mapping, NUMA/root reachability, security policy, reset and failure containment for the selected host/rack.</w:t>
            </w:r>
          </w:p>
        </w:tc>
        <w:tc>
          <w:tcPr>
            <w:tcW w:w="1944" w:type="dxa"/>
            <w:tcMar>
              <w:top w:w="70" w:type="dxa"/>
              <w:left w:w="80" w:type="dxa"/>
              <w:bottom w:w="70" w:type="dxa"/>
              <w:right w:w="80" w:type="dxa"/>
            </w:tcMar>
            <w:vAlign w:val="center"/>
          </w:tcPr>
          <w:p w14:paraId="7F779ADB" w14:textId="77777777" w:rsidR="00846FAB" w:rsidRDefault="00000000">
            <w:r>
              <w:rPr>
                <w:sz w:val="14"/>
              </w:rPr>
              <w:t>OEM + Linux/platform</w:t>
            </w:r>
          </w:p>
        </w:tc>
      </w:tr>
      <w:tr w:rsidR="009E7494" w14:paraId="03994B11" w14:textId="77777777" w:rsidTr="002E7283">
        <w:trPr>
          <w:cantSplit/>
          <w:jc w:val="center"/>
        </w:trPr>
        <w:tc>
          <w:tcPr>
            <w:tcW w:w="1655" w:type="dxa"/>
            <w:shd w:val="clear" w:color="auto" w:fill="F3F6F8"/>
            <w:tcMar>
              <w:top w:w="70" w:type="dxa"/>
              <w:left w:w="80" w:type="dxa"/>
              <w:bottom w:w="70" w:type="dxa"/>
              <w:right w:w="80" w:type="dxa"/>
            </w:tcMar>
            <w:vAlign w:val="center"/>
          </w:tcPr>
          <w:p w14:paraId="0DA2F648" w14:textId="77777777" w:rsidR="00846FAB" w:rsidRDefault="00000000">
            <w:r>
              <w:rPr>
                <w:sz w:val="14"/>
              </w:rPr>
              <w:t>4. NVIDIA GPU path</w:t>
            </w:r>
          </w:p>
        </w:tc>
        <w:tc>
          <w:tcPr>
            <w:tcW w:w="6623" w:type="dxa"/>
            <w:shd w:val="clear" w:color="auto" w:fill="F3F6F8"/>
            <w:tcMar>
              <w:top w:w="70" w:type="dxa"/>
              <w:left w:w="80" w:type="dxa"/>
              <w:bottom w:w="70" w:type="dxa"/>
              <w:right w:w="80" w:type="dxa"/>
            </w:tcMar>
            <w:vAlign w:val="center"/>
          </w:tcPr>
          <w:p w14:paraId="3FCEE958" w14:textId="77777777" w:rsidR="00846FAB" w:rsidRDefault="00000000">
            <w:r>
              <w:rPr>
                <w:sz w:val="14"/>
              </w:rPr>
              <w:t>Stock vendor-supported CUDA/driver path. Host-staged pinned memory is sufficient for baseline; optional peer DMA only through documented interfaces. No NVIDIA firmware/driver patch.</w:t>
            </w:r>
          </w:p>
        </w:tc>
        <w:tc>
          <w:tcPr>
            <w:tcW w:w="1944" w:type="dxa"/>
            <w:shd w:val="clear" w:color="auto" w:fill="F3F6F8"/>
            <w:tcMar>
              <w:top w:w="70" w:type="dxa"/>
              <w:left w:w="80" w:type="dxa"/>
              <w:bottom w:w="70" w:type="dxa"/>
              <w:right w:w="80" w:type="dxa"/>
            </w:tcMar>
            <w:vAlign w:val="center"/>
          </w:tcPr>
          <w:p w14:paraId="7FDAAFDA" w14:textId="77777777" w:rsidR="00846FAB" w:rsidRDefault="00000000">
            <w:r>
              <w:rPr>
                <w:sz w:val="14"/>
              </w:rPr>
              <w:t>Sandisk runtime/driver + OEM</w:t>
            </w:r>
          </w:p>
        </w:tc>
      </w:tr>
      <w:tr w:rsidR="009E7494" w14:paraId="28797755" w14:textId="77777777" w:rsidTr="002E7283">
        <w:trPr>
          <w:cantSplit/>
          <w:jc w:val="center"/>
        </w:trPr>
        <w:tc>
          <w:tcPr>
            <w:tcW w:w="1655" w:type="dxa"/>
            <w:tcMar>
              <w:top w:w="70" w:type="dxa"/>
              <w:left w:w="80" w:type="dxa"/>
              <w:bottom w:w="70" w:type="dxa"/>
              <w:right w:w="80" w:type="dxa"/>
            </w:tcMar>
            <w:vAlign w:val="center"/>
          </w:tcPr>
          <w:p w14:paraId="2AE16ADF" w14:textId="77777777" w:rsidR="00846FAB" w:rsidRDefault="00000000">
            <w:r>
              <w:rPr>
                <w:sz w:val="14"/>
              </w:rPr>
              <w:t>5. AMD GPU path</w:t>
            </w:r>
          </w:p>
        </w:tc>
        <w:tc>
          <w:tcPr>
            <w:tcW w:w="6623" w:type="dxa"/>
            <w:tcMar>
              <w:top w:w="70" w:type="dxa"/>
              <w:left w:w="80" w:type="dxa"/>
              <w:bottom w:w="70" w:type="dxa"/>
              <w:right w:w="80" w:type="dxa"/>
            </w:tcMar>
            <w:vAlign w:val="center"/>
          </w:tcPr>
          <w:p w14:paraId="24CDC07C" w14:textId="77777777" w:rsidR="00846FAB" w:rsidRDefault="00000000">
            <w:r>
              <w:rPr>
                <w:sz w:val="14"/>
              </w:rPr>
              <w:t>Stock ROCm/HIP/amdgpu path. Host-staged pinned memory is sufficient for baseline; optional peer path uses documented/open interfaces. No private AMD extension is required.</w:t>
            </w:r>
          </w:p>
        </w:tc>
        <w:tc>
          <w:tcPr>
            <w:tcW w:w="1944" w:type="dxa"/>
            <w:tcMar>
              <w:top w:w="70" w:type="dxa"/>
              <w:left w:w="80" w:type="dxa"/>
              <w:bottom w:w="70" w:type="dxa"/>
              <w:right w:w="80" w:type="dxa"/>
            </w:tcMar>
            <w:vAlign w:val="center"/>
          </w:tcPr>
          <w:p w14:paraId="045E15DD" w14:textId="77777777" w:rsidR="00846FAB" w:rsidRDefault="00000000">
            <w:r>
              <w:rPr>
                <w:sz w:val="14"/>
              </w:rPr>
              <w:t>Sandisk runtime/driver + OEM</w:t>
            </w:r>
          </w:p>
        </w:tc>
      </w:tr>
      <w:tr w:rsidR="009E7494" w14:paraId="1EDAC67C" w14:textId="77777777" w:rsidTr="002E7283">
        <w:trPr>
          <w:cantSplit/>
          <w:jc w:val="center"/>
        </w:trPr>
        <w:tc>
          <w:tcPr>
            <w:tcW w:w="1655" w:type="dxa"/>
            <w:shd w:val="clear" w:color="auto" w:fill="F3F6F8"/>
            <w:tcMar>
              <w:top w:w="70" w:type="dxa"/>
              <w:left w:w="80" w:type="dxa"/>
              <w:bottom w:w="70" w:type="dxa"/>
              <w:right w:w="80" w:type="dxa"/>
            </w:tcMar>
            <w:vAlign w:val="center"/>
          </w:tcPr>
          <w:p w14:paraId="56E3CC9F" w14:textId="77777777" w:rsidR="00846FAB" w:rsidRDefault="00000000">
            <w:r>
              <w:rPr>
                <w:sz w:val="14"/>
              </w:rPr>
              <w:t>6. Runtime semantics</w:t>
            </w:r>
          </w:p>
        </w:tc>
        <w:tc>
          <w:tcPr>
            <w:tcW w:w="6623" w:type="dxa"/>
            <w:shd w:val="clear" w:color="auto" w:fill="F3F6F8"/>
            <w:tcMar>
              <w:top w:w="70" w:type="dxa"/>
              <w:left w:w="80" w:type="dxa"/>
              <w:bottom w:w="70" w:type="dxa"/>
              <w:right w:w="80" w:type="dxa"/>
            </w:tcMar>
            <w:vAlign w:val="center"/>
          </w:tcPr>
          <w:p w14:paraId="7C2DDA4E" w14:textId="77777777" w:rsidR="00846FAB" w:rsidRDefault="00000000">
            <w:r>
              <w:rPr>
                <w:sz w:val="14"/>
              </w:rPr>
              <w:t>Pinned lifetime, token/expert identity, fences, cancellation, timeout, retry, backpressure and generation-safe cleanup. DMA and NPU completions remain separate.</w:t>
            </w:r>
          </w:p>
        </w:tc>
        <w:tc>
          <w:tcPr>
            <w:tcW w:w="1944" w:type="dxa"/>
            <w:shd w:val="clear" w:color="auto" w:fill="F3F6F8"/>
            <w:tcMar>
              <w:top w:w="70" w:type="dxa"/>
              <w:left w:w="80" w:type="dxa"/>
              <w:bottom w:w="70" w:type="dxa"/>
              <w:right w:w="80" w:type="dxa"/>
            </w:tcMar>
            <w:vAlign w:val="center"/>
          </w:tcPr>
          <w:p w14:paraId="061CEDC8" w14:textId="77777777" w:rsidR="00846FAB" w:rsidRDefault="00000000">
            <w:r>
              <w:rPr>
                <w:sz w:val="14"/>
              </w:rPr>
              <w:t>Sandisk runtime + Tenstorrent</w:t>
            </w:r>
          </w:p>
        </w:tc>
      </w:tr>
      <w:tr w:rsidR="00846FAB" w14:paraId="32CF1219" w14:textId="77777777">
        <w:trPr>
          <w:jc w:val="center"/>
        </w:trPr>
        <w:tc>
          <w:tcPr>
            <w:tcW w:w="1655" w:type="dxa"/>
            <w:vAlign w:val="center"/>
          </w:tcPr>
          <w:p w14:paraId="49FD38B2" w14:textId="77777777" w:rsidR="00846FAB" w:rsidRDefault="00000000">
            <w:r>
              <w:rPr>
                <w:sz w:val="14"/>
              </w:rPr>
              <w:t>7. Service evidence</w:t>
            </w:r>
          </w:p>
        </w:tc>
        <w:tc>
          <w:tcPr>
            <w:tcW w:w="6623" w:type="dxa"/>
            <w:vAlign w:val="center"/>
          </w:tcPr>
          <w:p w14:paraId="1274E09B" w14:textId="77777777" w:rsidR="00846FAB" w:rsidRDefault="00000000">
            <w:r>
              <w:rPr>
                <w:sz w:val="14"/>
              </w:rPr>
              <w:t>Measure producer→expert→continuation latency, bandwidth and queueing under all-eight-device load; compare host-staged and any qualified peer path at identical model/SLO.</w:t>
            </w:r>
          </w:p>
        </w:tc>
        <w:tc>
          <w:tcPr>
            <w:tcW w:w="1944" w:type="dxa"/>
            <w:vAlign w:val="center"/>
          </w:tcPr>
          <w:p w14:paraId="28D948EA" w14:textId="77777777" w:rsidR="00846FAB" w:rsidRDefault="00000000">
            <w:r>
              <w:rPr>
                <w:sz w:val="14"/>
              </w:rPr>
              <w:t>Performance + validation</w:t>
            </w:r>
          </w:p>
        </w:tc>
      </w:tr>
    </w:tbl>
    <w:p w14:paraId="4CF621C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2ED1FFD0" w14:textId="77777777" w:rsidTr="002E7283">
        <w:trPr>
          <w:jc w:val="center"/>
        </w:trPr>
        <w:tc>
          <w:tcPr>
            <w:tcW w:w="10368" w:type="dxa"/>
            <w:shd w:val="clear" w:color="auto" w:fill="F9ECEF"/>
            <w:tcMar>
              <w:top w:w="120" w:type="dxa"/>
              <w:left w:w="150" w:type="dxa"/>
              <w:bottom w:w="120" w:type="dxa"/>
              <w:right w:w="150" w:type="dxa"/>
            </w:tcMar>
            <w:vAlign w:val="center"/>
          </w:tcPr>
          <w:p w14:paraId="197B6B59" w14:textId="77777777" w:rsidR="00846FAB" w:rsidRDefault="00000000">
            <w:pPr>
              <w:spacing w:after="0"/>
            </w:pPr>
            <w:r>
              <w:rPr>
                <w:b/>
                <w:color w:val="A73545"/>
                <w:sz w:val="16"/>
              </w:rPr>
              <w:t>DESIGN RULE  The switch is useful for ATMOS fan-out and lifecycle even if no peer DMA is enabled. ATMOS-to-ATMOS P2P is not required for the initial expert architecture. Preserve the native GPU scale-up fabric; if a direct GPU peer route is unavailable, use host staging or change the physical integration rather than modifying proprietary GPU software.</w:t>
            </w:r>
          </w:p>
        </w:tc>
      </w:tr>
    </w:tbl>
    <w:p w14:paraId="494F972B" w14:textId="77777777" w:rsidR="009E7494" w:rsidRDefault="009E7494" w:rsidP="009E7494">
      <w:pPr>
        <w:spacing w:after="20"/>
      </w:pPr>
    </w:p>
    <w:p w14:paraId="0D6726D7" w14:textId="77777777" w:rsidR="009E7494" w:rsidRDefault="009E7494" w:rsidP="009E7494">
      <w:r>
        <w:br w:type="page"/>
      </w:r>
    </w:p>
    <w:p w14:paraId="4949ADE4" w14:textId="77777777" w:rsidR="009E7494" w:rsidRDefault="009E7494" w:rsidP="009E7494">
      <w:pPr>
        <w:keepNext/>
        <w:spacing w:before="60" w:after="60"/>
      </w:pPr>
      <w:r>
        <w:rPr>
          <w:rFonts w:eastAsia="Noto Sans"/>
          <w:b/>
          <w:color w:val="16324F"/>
          <w:sz w:val="25"/>
        </w:rPr>
        <w:lastRenderedPageBreak/>
        <w:t>OEM deliverable required before the switch is “settled”</w:t>
      </w:r>
    </w:p>
    <w:tbl>
      <w:tblPr>
        <w:tblStyle w:val="TableGrid"/>
        <w:tblW w:w="0" w:type="auto"/>
        <w:jc w:val="center"/>
        <w:tblLayout w:type="fixed"/>
        <w:tblLook w:val="04A0" w:firstRow="1" w:lastRow="0" w:firstColumn="1" w:lastColumn="0" w:noHBand="0" w:noVBand="1"/>
      </w:tblPr>
      <w:tblGrid>
        <w:gridCol w:w="2376"/>
        <w:gridCol w:w="7848"/>
      </w:tblGrid>
      <w:tr w:rsidR="009E7494" w14:paraId="4CE863E1" w14:textId="77777777" w:rsidTr="002E7283">
        <w:trPr>
          <w:tblHeader/>
          <w:jc w:val="center"/>
        </w:trPr>
        <w:tc>
          <w:tcPr>
            <w:tcW w:w="2376" w:type="dxa"/>
            <w:shd w:val="clear" w:color="auto" w:fill="16324F"/>
            <w:tcMar>
              <w:top w:w="80" w:type="dxa"/>
              <w:left w:w="90" w:type="dxa"/>
              <w:bottom w:w="80" w:type="dxa"/>
              <w:right w:w="90" w:type="dxa"/>
            </w:tcMar>
            <w:vAlign w:val="center"/>
          </w:tcPr>
          <w:p w14:paraId="2AA0EEFA" w14:textId="77777777" w:rsidR="009E7494" w:rsidRDefault="009E7494" w:rsidP="002E7283">
            <w:r>
              <w:rPr>
                <w:rFonts w:eastAsia="Noto Sans"/>
                <w:b/>
                <w:color w:val="FFFFFF"/>
                <w:sz w:val="15"/>
              </w:rPr>
              <w:t>Returned artifact</w:t>
            </w:r>
          </w:p>
        </w:tc>
        <w:tc>
          <w:tcPr>
            <w:tcW w:w="7848" w:type="dxa"/>
            <w:shd w:val="clear" w:color="auto" w:fill="16324F"/>
            <w:tcMar>
              <w:top w:w="80" w:type="dxa"/>
              <w:left w:w="90" w:type="dxa"/>
              <w:bottom w:w="80" w:type="dxa"/>
              <w:right w:w="90" w:type="dxa"/>
            </w:tcMar>
            <w:vAlign w:val="center"/>
          </w:tcPr>
          <w:p w14:paraId="7AFCBCEA" w14:textId="77777777" w:rsidR="009E7494" w:rsidRDefault="009E7494" w:rsidP="002E7283">
            <w:r>
              <w:rPr>
                <w:rFonts w:eastAsia="Noto Sans"/>
                <w:b/>
                <w:color w:val="FFFFFF"/>
                <w:sz w:val="15"/>
              </w:rPr>
              <w:t>Required content</w:t>
            </w:r>
          </w:p>
        </w:tc>
      </w:tr>
      <w:tr w:rsidR="009E7494" w14:paraId="60931FB3" w14:textId="77777777" w:rsidTr="002E7283">
        <w:trPr>
          <w:cantSplit/>
          <w:jc w:val="center"/>
        </w:trPr>
        <w:tc>
          <w:tcPr>
            <w:tcW w:w="2376" w:type="dxa"/>
            <w:tcMar>
              <w:top w:w="70" w:type="dxa"/>
              <w:left w:w="80" w:type="dxa"/>
              <w:bottom w:w="70" w:type="dxa"/>
              <w:right w:w="80" w:type="dxa"/>
            </w:tcMar>
          </w:tcPr>
          <w:p w14:paraId="0A4C86C8" w14:textId="77777777" w:rsidR="009E7494" w:rsidRDefault="009E7494" w:rsidP="002E7283">
            <w:r>
              <w:rPr>
                <w:rFonts w:eastAsia="Noto Sans"/>
                <w:b/>
                <w:color w:val="24313D"/>
                <w:sz w:val="15"/>
              </w:rPr>
              <w:t>Qualified BOM / configuration ID</w:t>
            </w:r>
          </w:p>
        </w:tc>
        <w:tc>
          <w:tcPr>
            <w:tcW w:w="7848" w:type="dxa"/>
            <w:tcMar>
              <w:top w:w="70" w:type="dxa"/>
              <w:left w:w="80" w:type="dxa"/>
              <w:bottom w:w="70" w:type="dxa"/>
              <w:right w:w="80" w:type="dxa"/>
            </w:tcMar>
            <w:vAlign w:val="center"/>
          </w:tcPr>
          <w:p w14:paraId="34DB6A8B" w14:textId="77777777" w:rsidR="00846FAB" w:rsidRDefault="00000000">
            <w:r>
              <w:rPr>
                <w:sz w:val="15"/>
              </w:rPr>
              <w:t>One exact configuration per stage: RTX development vehicle fixture, then NVIDIA NVL and/or AMD Helios rack integration. Include ATMOS switch/board, cables/retimers, NICs, boot/storage and spare strategy.</w:t>
            </w:r>
          </w:p>
        </w:tc>
      </w:tr>
      <w:tr w:rsidR="009E7494" w14:paraId="3984D044" w14:textId="77777777" w:rsidTr="002E7283">
        <w:trPr>
          <w:cantSplit/>
          <w:jc w:val="center"/>
        </w:trPr>
        <w:tc>
          <w:tcPr>
            <w:tcW w:w="2376" w:type="dxa"/>
            <w:shd w:val="clear" w:color="auto" w:fill="F3F6F8"/>
            <w:tcMar>
              <w:top w:w="70" w:type="dxa"/>
              <w:left w:w="80" w:type="dxa"/>
              <w:bottom w:w="70" w:type="dxa"/>
              <w:right w:w="80" w:type="dxa"/>
            </w:tcMar>
          </w:tcPr>
          <w:p w14:paraId="073401A1" w14:textId="77777777" w:rsidR="009E7494" w:rsidRDefault="009E7494" w:rsidP="002E7283">
            <w:r>
              <w:rPr>
                <w:rFonts w:eastAsia="Noto Sans"/>
                <w:b/>
                <w:color w:val="24313D"/>
                <w:sz w:val="15"/>
              </w:rPr>
              <w:t>Lane + NUMA map</w:t>
            </w:r>
          </w:p>
        </w:tc>
        <w:tc>
          <w:tcPr>
            <w:tcW w:w="7848" w:type="dxa"/>
            <w:shd w:val="clear" w:color="auto" w:fill="F3F6F8"/>
            <w:tcMar>
              <w:top w:w="70" w:type="dxa"/>
              <w:left w:w="80" w:type="dxa"/>
              <w:bottom w:w="70" w:type="dxa"/>
              <w:right w:w="80" w:type="dxa"/>
            </w:tcMar>
            <w:vAlign w:val="center"/>
          </w:tcPr>
          <w:p w14:paraId="712F2AAB" w14:textId="77777777" w:rsidR="00846FAB" w:rsidRDefault="00000000">
            <w:r>
              <w:rPr>
                <w:sz w:val="15"/>
              </w:rPr>
              <w:t>CPU/root path, native GPU scale-up fabric boundary, ATMOS switch uplink, all eight x4 endpoints, generations, oversubscription and any root/rack crossing.</w:t>
            </w:r>
          </w:p>
        </w:tc>
      </w:tr>
      <w:tr w:rsidR="009E7494" w14:paraId="1A27FE5B" w14:textId="77777777" w:rsidTr="002E7283">
        <w:trPr>
          <w:cantSplit/>
          <w:jc w:val="center"/>
        </w:trPr>
        <w:tc>
          <w:tcPr>
            <w:tcW w:w="2376" w:type="dxa"/>
            <w:tcMar>
              <w:top w:w="70" w:type="dxa"/>
              <w:left w:w="80" w:type="dxa"/>
              <w:bottom w:w="70" w:type="dxa"/>
              <w:right w:w="80" w:type="dxa"/>
            </w:tcMar>
          </w:tcPr>
          <w:p w14:paraId="37369AFE" w14:textId="77777777" w:rsidR="009E7494" w:rsidRDefault="009E7494" w:rsidP="002E7283">
            <w:r>
              <w:rPr>
                <w:rFonts w:eastAsia="Noto Sans"/>
                <w:b/>
                <w:color w:val="24313D"/>
                <w:sz w:val="15"/>
              </w:rPr>
              <w:t>Power / cooling envelope</w:t>
            </w:r>
          </w:p>
        </w:tc>
        <w:tc>
          <w:tcPr>
            <w:tcW w:w="7848" w:type="dxa"/>
            <w:tcMar>
              <w:top w:w="70" w:type="dxa"/>
              <w:left w:w="80" w:type="dxa"/>
              <w:bottom w:w="70" w:type="dxa"/>
              <w:right w:w="80" w:type="dxa"/>
            </w:tcMar>
            <w:vAlign w:val="center"/>
          </w:tcPr>
          <w:p w14:paraId="44E4D764" w14:textId="77777777" w:rsidR="00846FAB" w:rsidRDefault="00000000">
            <w:r>
              <w:rPr>
                <w:sz w:val="15"/>
              </w:rPr>
              <w:t>ATMOS device/switch budget plus simultaneous GPU workload, airflow/liquid-cooling interaction, BMC telemetry, throttling and service access.</w:t>
            </w:r>
          </w:p>
        </w:tc>
      </w:tr>
      <w:tr w:rsidR="009E7494" w14:paraId="1C46AD21" w14:textId="77777777" w:rsidTr="002E7283">
        <w:trPr>
          <w:cantSplit/>
          <w:jc w:val="center"/>
        </w:trPr>
        <w:tc>
          <w:tcPr>
            <w:tcW w:w="2376" w:type="dxa"/>
            <w:shd w:val="clear" w:color="auto" w:fill="F3F6F8"/>
            <w:tcMar>
              <w:top w:w="70" w:type="dxa"/>
              <w:left w:w="80" w:type="dxa"/>
              <w:bottom w:w="70" w:type="dxa"/>
              <w:right w:w="80" w:type="dxa"/>
            </w:tcMar>
          </w:tcPr>
          <w:p w14:paraId="0B55B989" w14:textId="77777777" w:rsidR="009E7494" w:rsidRDefault="009E7494" w:rsidP="002E7283">
            <w:r>
              <w:rPr>
                <w:rFonts w:eastAsia="Noto Sans"/>
                <w:b/>
                <w:color w:val="24313D"/>
                <w:sz w:val="15"/>
              </w:rPr>
              <w:t>BIOS / BMC / reset contract</w:t>
            </w:r>
          </w:p>
        </w:tc>
        <w:tc>
          <w:tcPr>
            <w:tcW w:w="7848" w:type="dxa"/>
            <w:shd w:val="clear" w:color="auto" w:fill="F3F6F8"/>
            <w:tcMar>
              <w:top w:w="70" w:type="dxa"/>
              <w:left w:w="80" w:type="dxa"/>
              <w:bottom w:w="70" w:type="dxa"/>
              <w:right w:w="80" w:type="dxa"/>
            </w:tcMar>
            <w:vAlign w:val="center"/>
          </w:tcPr>
          <w:p w14:paraId="72BB7364" w14:textId="77777777" w:rsidR="00846FAB" w:rsidRDefault="00000000">
            <w:r>
              <w:rPr>
                <w:sz w:val="15"/>
              </w:rPr>
              <w:t>Enumeration, address windows, IOMMU/ACS, DPC/AER, FLR/reset domains, secure boot/update sequence and failure recovery for the selected platform.</w:t>
            </w:r>
          </w:p>
        </w:tc>
      </w:tr>
      <w:tr w:rsidR="009E7494" w14:paraId="5B47A0A1" w14:textId="77777777" w:rsidTr="002E7283">
        <w:trPr>
          <w:cantSplit/>
          <w:jc w:val="center"/>
        </w:trPr>
        <w:tc>
          <w:tcPr>
            <w:tcW w:w="2376" w:type="dxa"/>
            <w:tcMar>
              <w:top w:w="70" w:type="dxa"/>
              <w:left w:w="80" w:type="dxa"/>
              <w:bottom w:w="70" w:type="dxa"/>
              <w:right w:w="80" w:type="dxa"/>
            </w:tcMar>
          </w:tcPr>
          <w:p w14:paraId="5E6C90BF" w14:textId="77777777" w:rsidR="009E7494" w:rsidRDefault="009E7494" w:rsidP="002E7283">
            <w:r>
              <w:rPr>
                <w:rFonts w:eastAsia="Noto Sans"/>
                <w:b/>
                <w:color w:val="24313D"/>
                <w:sz w:val="15"/>
              </w:rPr>
              <w:t>Support boundary</w:t>
            </w:r>
          </w:p>
        </w:tc>
        <w:tc>
          <w:tcPr>
            <w:tcW w:w="7848" w:type="dxa"/>
            <w:tcMar>
              <w:top w:w="70" w:type="dxa"/>
              <w:left w:w="80" w:type="dxa"/>
              <w:bottom w:w="70" w:type="dxa"/>
              <w:right w:w="80" w:type="dxa"/>
            </w:tcMar>
            <w:vAlign w:val="center"/>
          </w:tcPr>
          <w:p w14:paraId="05F9CD5A" w14:textId="77777777" w:rsidR="00846FAB" w:rsidRDefault="00000000">
            <w:r>
              <w:rPr>
                <w:sz w:val="15"/>
              </w:rPr>
              <w:t>Who owns ATMOS switch board/firmware, field replacement, diagnostics, spares and escalation. Sandisk owns the ATMOS service boundary; native GPU stack ownership stays with its vendor/platform.</w:t>
            </w:r>
          </w:p>
        </w:tc>
      </w:tr>
      <w:tr w:rsidR="009E7494" w14:paraId="22063259" w14:textId="77777777" w:rsidTr="002E7283">
        <w:trPr>
          <w:cantSplit/>
          <w:jc w:val="center"/>
        </w:trPr>
        <w:tc>
          <w:tcPr>
            <w:tcW w:w="2376" w:type="dxa"/>
            <w:shd w:val="clear" w:color="auto" w:fill="F3F6F8"/>
            <w:tcMar>
              <w:top w:w="70" w:type="dxa"/>
              <w:left w:w="80" w:type="dxa"/>
              <w:bottom w:w="70" w:type="dxa"/>
              <w:right w:w="80" w:type="dxa"/>
            </w:tcMar>
          </w:tcPr>
          <w:p w14:paraId="65EA1D66" w14:textId="77777777" w:rsidR="009E7494" w:rsidRDefault="009E7494" w:rsidP="002E7283">
            <w:r>
              <w:rPr>
                <w:rFonts w:eastAsia="Noto Sans"/>
                <w:b/>
                <w:color w:val="24313D"/>
                <w:sz w:val="15"/>
              </w:rPr>
              <w:t>Measured route matrix</w:t>
            </w:r>
          </w:p>
        </w:tc>
        <w:tc>
          <w:tcPr>
            <w:tcW w:w="7848" w:type="dxa"/>
            <w:shd w:val="clear" w:color="auto" w:fill="F3F6F8"/>
            <w:tcMar>
              <w:top w:w="70" w:type="dxa"/>
              <w:left w:w="80" w:type="dxa"/>
              <w:bottom w:w="70" w:type="dxa"/>
              <w:right w:w="80" w:type="dxa"/>
            </w:tcMar>
            <w:vAlign w:val="center"/>
          </w:tcPr>
          <w:p w14:paraId="6176B4E2" w14:textId="77777777" w:rsidR="00846FAB" w:rsidRDefault="00000000">
            <w:r>
              <w:rPr>
                <w:sz w:val="15"/>
              </w:rPr>
              <w:t>Host-staged and any qualified peer paths, with payload, latency, queueing, root/rack crossings and unsupported combinations explicitly listed for each target platform.</w:t>
            </w:r>
          </w:p>
        </w:tc>
      </w:tr>
    </w:tbl>
    <w:p w14:paraId="62C6378D" w14:textId="77777777" w:rsidR="009E7494" w:rsidRDefault="009E7494" w:rsidP="009E7494">
      <w:pPr>
        <w:spacing w:after="20"/>
      </w:pPr>
    </w:p>
    <w:p w14:paraId="694E1767" w14:textId="77777777" w:rsidR="009E7494" w:rsidRDefault="009E7494" w:rsidP="009E7494">
      <w:pPr>
        <w:keepNext/>
        <w:spacing w:before="60" w:after="60"/>
      </w:pPr>
      <w:r>
        <w:rPr>
          <w:rFonts w:eastAsia="Noto Sans"/>
          <w:b/>
          <w:color w:val="16324F"/>
          <w:sz w:val="25"/>
        </w:rPr>
        <w:t>Production selection rule</w:t>
      </w:r>
    </w:p>
    <w:p w14:paraId="73E4BBEE" w14:textId="77777777" w:rsidR="009E7494" w:rsidRDefault="009E7494" w:rsidP="009E7494">
      <w:pPr>
        <w:pStyle w:val="ListBullet"/>
        <w:spacing w:after="40" w:line="252" w:lineRule="auto"/>
        <w:ind w:left="259" w:hanging="173"/>
      </w:pPr>
      <w:r>
        <w:t>Choose the production Gen5 switch only after POC 2 proves the required port map, fault/reset behavior and sustained DMA behavior, and POC 3 confirms that the subsystem can support the end-to-end development service rate. Lane count alone is not a winner criterion.</w:t>
      </w:r>
    </w:p>
    <w:p w14:paraId="290AA0C8" w14:textId="77777777" w:rsidR="009E7494" w:rsidRDefault="009E7494" w:rsidP="009E7494">
      <w:pPr>
        <w:pStyle w:val="ListBullet"/>
        <w:spacing w:after="40" w:line="252" w:lineRule="auto"/>
        <w:ind w:left="259" w:hanging="173"/>
      </w:pPr>
      <w:r>
        <w:t>A separate switch AIC is acceptable as the development engineering fixture when it shortens bring-up. For rack-scale deployment, prefer the OEM-integrated or companion-tray path that produces the clearest BOM, lifecycle and support boundary.</w:t>
      </w:r>
    </w:p>
    <w:p w14:paraId="17C6F425" w14:textId="77777777" w:rsidR="009E7494" w:rsidRDefault="009E7494" w:rsidP="009E7494">
      <w:pPr>
        <w:pStyle w:val="ListBullet"/>
        <w:spacing w:after="40" w:line="252" w:lineRule="auto"/>
        <w:ind w:left="259" w:hanging="173"/>
      </w:pPr>
      <w:r>
        <w:t>Gen6 is a later platform qualification delta, not an development-vehicle blocker. Promote it when the Gen5 uplink is a measured bottleneck and the selected NVL/Helios integration exposes a supported Gen6 root path.</w:t>
      </w:r>
    </w:p>
    <w:tbl>
      <w:tblPr>
        <w:tblW w:w="0" w:type="auto"/>
        <w:jc w:val="center"/>
        <w:tblLook w:val="04A0" w:firstRow="1" w:lastRow="0" w:firstColumn="1" w:lastColumn="0" w:noHBand="0" w:noVBand="1"/>
      </w:tblPr>
      <w:tblGrid>
        <w:gridCol w:w="10368"/>
      </w:tblGrid>
      <w:tr w:rsidR="009E7494" w14:paraId="43DECF2F" w14:textId="77777777" w:rsidTr="002E7283">
        <w:trPr>
          <w:jc w:val="center"/>
        </w:trPr>
        <w:tc>
          <w:tcPr>
            <w:tcW w:w="10368" w:type="dxa"/>
            <w:shd w:val="clear" w:color="auto" w:fill="F9ECEF"/>
            <w:tcMar>
              <w:top w:w="120" w:type="dxa"/>
              <w:left w:w="150" w:type="dxa"/>
              <w:bottom w:w="120" w:type="dxa"/>
              <w:right w:w="150" w:type="dxa"/>
            </w:tcMar>
            <w:vAlign w:val="center"/>
          </w:tcPr>
          <w:p w14:paraId="469100F7" w14:textId="77777777" w:rsidR="00846FAB" w:rsidRDefault="00000000">
            <w:pPr>
              <w:spacing w:after="0"/>
            </w:pPr>
            <w:r>
              <w:rPr>
                <w:b/>
                <w:color w:val="A73545"/>
                <w:sz w:val="16"/>
              </w:rPr>
              <w:t>WHAT “SETTLED” MEANS  One exact ATMOS switch/board revision and E3.S population, plus a platform-specific integration record for RTX development vehicle and each rack-scale target: lane/route map, reset/security contract, supported software stack, power/cooling envelope and accountable first-response owner.</w:t>
            </w:r>
          </w:p>
        </w:tc>
      </w:tr>
    </w:tbl>
    <w:p w14:paraId="55BF148A" w14:textId="77777777" w:rsidR="009E7494" w:rsidRDefault="009E7494" w:rsidP="009E7494">
      <w:pPr>
        <w:spacing w:after="20"/>
      </w:pPr>
    </w:p>
    <w:p w14:paraId="1E83E380" w14:textId="77777777" w:rsidR="009E7494" w:rsidRDefault="009E7494">
      <w:r>
        <w:br w:type="page"/>
      </w:r>
    </w:p>
    <w:p w14:paraId="44BB7885" w14:textId="77777777" w:rsidR="0085422C" w:rsidRDefault="00000000" w:rsidP="009E7494">
      <w:r>
        <w:rPr>
          <w:b/>
          <w:color w:val="16324F"/>
          <w:sz w:val="36"/>
        </w:rPr>
        <w:lastRenderedPageBreak/>
        <w:t>Part II — One workstream: Heterogeneous MoE Execution &amp; Infrastructure Efficiency</w:t>
      </w:r>
    </w:p>
    <w:p w14:paraId="670B6A0B" w14:textId="77777777" w:rsidR="0085422C" w:rsidRDefault="00000000">
      <w:pPr>
        <w:spacing w:after="100" w:line="259" w:lineRule="auto"/>
      </w:pPr>
      <w:r>
        <w:t>The proposal intentionally uses one workstream because expert execution, reclaimed GPU memory, locality and infrastructure reduction are one economic chain. The same execution architecture can spend its headroom on more throughput, more KV/concurrency, fewer GPU service units or less remote expert traffic. The software contract is common across NVIDIA and AMD; only the GPU-facing seam and physical platform integration change.</w:t>
      </w:r>
    </w:p>
    <w:tbl>
      <w:tblPr>
        <w:tblStyle w:val="TableGrid"/>
        <w:tblW w:w="0" w:type="auto"/>
        <w:tblLook w:val="04A0" w:firstRow="1" w:lastRow="0" w:firstColumn="1" w:lastColumn="0" w:noHBand="0" w:noVBand="1"/>
      </w:tblPr>
      <w:tblGrid>
        <w:gridCol w:w="10358"/>
      </w:tblGrid>
      <w:tr w:rsidR="005A5290" w14:paraId="48666CA2" w14:textId="77777777" w:rsidTr="005A5290">
        <w:tc>
          <w:tcPr>
            <w:tcW w:w="10584" w:type="dxa"/>
          </w:tcPr>
          <w:p w14:paraId="49727E5C" w14:textId="05D3AAF0" w:rsidR="005A5290" w:rsidRDefault="005A5290">
            <w:pPr>
              <w:spacing w:after="40"/>
              <w:jc w:val="center"/>
            </w:pPr>
            <w:r w:rsidRPr="00020EED">
              <w:rPr>
                <w:noProof/>
              </w:rPr>
              <w:drawing>
                <wp:inline distT="0" distB="0" distL="0" distR="0" wp14:anchorId="24515DAE" wp14:editId="1A3E870A">
                  <wp:extent cx="5782145" cy="4336610"/>
                  <wp:effectExtent l="0" t="0" r="0" b="0"/>
                  <wp:docPr id="6306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0056" name=""/>
                          <pic:cNvPicPr/>
                        </pic:nvPicPr>
                        <pic:blipFill>
                          <a:blip r:embed="rId12"/>
                          <a:stretch>
                            <a:fillRect/>
                          </a:stretch>
                        </pic:blipFill>
                        <pic:spPr>
                          <a:xfrm>
                            <a:off x="0" y="0"/>
                            <a:ext cx="5894821" cy="4421117"/>
                          </a:xfrm>
                          <a:prstGeom prst="rect">
                            <a:avLst/>
                          </a:prstGeom>
                        </pic:spPr>
                      </pic:pic>
                    </a:graphicData>
                  </a:graphic>
                </wp:inline>
              </w:drawing>
            </w:r>
          </w:p>
        </w:tc>
      </w:tr>
    </w:tbl>
    <w:p w14:paraId="3BF01F22" w14:textId="38A3F7FB" w:rsidR="0085422C" w:rsidRDefault="0085422C">
      <w:pPr>
        <w:spacing w:after="40"/>
        <w:jc w:val="center"/>
      </w:pPr>
    </w:p>
    <w:p w14:paraId="05E72DDA" w14:textId="77777777" w:rsidR="00020EED" w:rsidRPr="000E731F" w:rsidRDefault="00000000">
      <w:pPr>
        <w:keepNext/>
        <w:spacing w:before="60" w:after="60"/>
        <w:rPr>
          <w:rFonts w:eastAsia="Noto Sans"/>
          <w:b/>
          <w:color w:val="16324F"/>
          <w:sz w:val="25"/>
        </w:rPr>
      </w:pPr>
      <w:r>
        <w:rPr>
          <w:rFonts w:eastAsia="Noto Sans"/>
          <w:b/>
          <w:color w:val="16324F"/>
          <w:sz w:val="25"/>
        </w:rPr>
        <w:t>Execution sequence</w:t>
      </w:r>
    </w:p>
    <w:p w14:paraId="10D6B726" w14:textId="77777777" w:rsidR="0085422C" w:rsidRDefault="00000000">
      <w:pPr>
        <w:pStyle w:val="ListBullet"/>
        <w:spacing w:after="40" w:line="252" w:lineRule="auto"/>
        <w:ind w:left="259" w:hanging="173"/>
      </w:pPr>
      <w:r>
        <w:t>1. vLLM/PyTorch runs the existing attention and shared/non-expert GPU path on the stock platform stack: CUDA/NCCL for NVIDIA or ROCm/HIP/RCCL for AMD. The learned MoE router computes the same top-k expert IDs and gate weights as the GPU-only reference.</w:t>
      </w:r>
    </w:p>
    <w:p w14:paraId="183CF410" w14:textId="77777777" w:rsidR="0085422C" w:rsidRDefault="00000000">
      <w:pPr>
        <w:pStyle w:val="ListBullet"/>
        <w:spacing w:after="40" w:line="252" w:lineRule="auto"/>
        <w:ind w:left="259" w:hanging="173"/>
      </w:pPr>
      <w:r>
        <w:t>2. The Sandisk heterogeneous expert adapter, in-process with the LLM runtime, groups routed tokens by model version, layer, expert and physical destination. Placement is deployment-time state; it does not predict future “hot” experts.</w:t>
      </w:r>
    </w:p>
    <w:p w14:paraId="756BD9AF" w14:textId="77777777" w:rsidR="0085422C" w:rsidRDefault="00000000">
      <w:pPr>
        <w:pStyle w:val="ListBullet"/>
        <w:spacing w:after="40" w:line="252" w:lineRule="auto"/>
        <w:ind w:left="259" w:hanging="173"/>
      </w:pPr>
      <w:r>
        <w:t>3. For an ATMOS-owned expert, the adapter submits hidden activations through the Sandisk transport abstraction into registered ATMOS buffers. Host-staged transport is always supported; direct peer DMA is a platform-specific optimization.</w:t>
      </w:r>
    </w:p>
    <w:p w14:paraId="458B008A" w14:textId="77777777" w:rsidR="0085422C" w:rsidRDefault="00000000">
      <w:pPr>
        <w:pStyle w:val="ListBullet"/>
        <w:spacing w:after="40" w:line="252" w:lineRule="auto"/>
        <w:ind w:left="259" w:hanging="173"/>
      </w:pPr>
      <w:r>
        <w:t>4. ATMOS moves the required working tiles through HBF/LPDDR/SRAM and the NPU executes the expert FFN. Expert weights stay resident in ATMOS; no request-time weight copy to GPU is required.</w:t>
      </w:r>
    </w:p>
    <w:p w14:paraId="00A0929E" w14:textId="77777777" w:rsidR="0085422C" w:rsidRDefault="00000000">
      <w:pPr>
        <w:pStyle w:val="ListBullet"/>
        <w:spacing w:after="40" w:line="252" w:lineRule="auto"/>
        <w:ind w:left="259" w:hanging="173"/>
      </w:pPr>
      <w:r>
        <w:t>5. The GPU continuation path restores token order, applies the learned gate exactly once, combines all required top-k contributions and advances to the next dependent layer. The native GPU collective stack remains untouched.</w:t>
      </w:r>
    </w:p>
    <w:p w14:paraId="2B255AC4" w14:textId="77777777" w:rsidR="0085422C" w:rsidRDefault="00000000">
      <w:pPr>
        <w:pStyle w:val="ListBullet"/>
        <w:spacing w:after="40" w:line="252" w:lineRule="auto"/>
        <w:ind w:left="259" w:hanging="173"/>
      </w:pPr>
      <w:r>
        <w:t>6. At deployment scale, complete expert coverage and replica placement are optimized against the actual rack topology, demand and failure policy. RTX development vehicle placement is not assumed to be optimal for NVL or Helios.</w:t>
      </w:r>
    </w:p>
    <w:tbl>
      <w:tblPr>
        <w:tblStyle w:val="TableGrid"/>
        <w:tblW w:w="0" w:type="auto"/>
        <w:tblLook w:val="04A0" w:firstRow="1" w:lastRow="0" w:firstColumn="1" w:lastColumn="0" w:noHBand="0" w:noVBand="1"/>
      </w:tblPr>
      <w:tblGrid>
        <w:gridCol w:w="10358"/>
      </w:tblGrid>
      <w:tr w:rsidR="005A5290" w14:paraId="783FA3E9" w14:textId="77777777" w:rsidTr="005A5290">
        <w:tc>
          <w:tcPr>
            <w:tcW w:w="10584" w:type="dxa"/>
          </w:tcPr>
          <w:p w14:paraId="7952CAEB" w14:textId="7A79A921" w:rsidR="005A5290" w:rsidRDefault="005A5290" w:rsidP="000E731F">
            <w:pPr>
              <w:spacing w:after="20"/>
              <w:jc w:val="center"/>
            </w:pPr>
            <w:r w:rsidRPr="00020EED">
              <w:rPr>
                <w:noProof/>
              </w:rPr>
              <w:lastRenderedPageBreak/>
              <w:drawing>
                <wp:inline distT="0" distB="0" distL="0" distR="0" wp14:anchorId="285A54A5" wp14:editId="52D08A6C">
                  <wp:extent cx="5776109" cy="4332083"/>
                  <wp:effectExtent l="0" t="0" r="2540" b="0"/>
                  <wp:docPr id="20119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5270" name=""/>
                          <pic:cNvPicPr/>
                        </pic:nvPicPr>
                        <pic:blipFill>
                          <a:blip r:embed="rId8"/>
                          <a:stretch>
                            <a:fillRect/>
                          </a:stretch>
                        </pic:blipFill>
                        <pic:spPr>
                          <a:xfrm>
                            <a:off x="0" y="0"/>
                            <a:ext cx="5862857" cy="4397144"/>
                          </a:xfrm>
                          <a:prstGeom prst="rect">
                            <a:avLst/>
                          </a:prstGeom>
                        </pic:spPr>
                      </pic:pic>
                    </a:graphicData>
                  </a:graphic>
                </wp:inline>
              </w:drawing>
            </w:r>
          </w:p>
        </w:tc>
      </w:tr>
    </w:tbl>
    <w:p w14:paraId="5317E0DA" w14:textId="33074BFF" w:rsidR="0085422C" w:rsidRDefault="0085422C" w:rsidP="000E731F">
      <w:pPr>
        <w:spacing w:after="20"/>
        <w:jc w:val="center"/>
      </w:pPr>
    </w:p>
    <w:p w14:paraId="5619F3C2" w14:textId="77777777" w:rsidR="0085422C" w:rsidRDefault="00000000">
      <w:pPr>
        <w:keepNext/>
        <w:spacing w:before="60" w:after="60"/>
        <w:rPr>
          <w:b/>
          <w:color w:val="16324F"/>
          <w:sz w:val="25"/>
        </w:rPr>
      </w:pPr>
      <w:r>
        <w:rPr>
          <w:b/>
          <w:color w:val="16324F"/>
          <w:sz w:val="25"/>
        </w:rPr>
        <w:t>Serving-stack impact: common Sandisk core with NVIDIA and AMD platform seams</w:t>
      </w:r>
    </w:p>
    <w:p w14:paraId="050951D0" w14:textId="77777777" w:rsidR="002451E4" w:rsidRDefault="002451E4" w:rsidP="002451E4">
      <w:pPr>
        <w:spacing w:before="20" w:after="80"/>
      </w:pPr>
      <w:r>
        <w:rPr>
          <w:i/>
          <w:color w:val="66727D"/>
          <w:sz w:val="16"/>
        </w:rPr>
        <w:t>Source / note: V = verify/reuse; M = configure/modify; N = new Sandisk/partner artifact. The architecture is deliberately built around stock vendor-supported GPU software. No product feature is allowed to depend on a proprietary NVIDIA or AMD firmware/driver modification; if a peer path is unavailable, the system retains host staging or changes the physical integration.</w:t>
      </w:r>
    </w:p>
    <w:p w14:paraId="47CFAC14" w14:textId="77777777" w:rsidR="002451E4" w:rsidRDefault="002451E4">
      <w:pPr>
        <w:keepNext/>
        <w:spacing w:before="60" w:after="60"/>
      </w:pPr>
    </w:p>
    <w:tbl>
      <w:tblPr>
        <w:tblStyle w:val="TableGrid"/>
        <w:tblW w:w="0" w:type="auto"/>
        <w:jc w:val="center"/>
        <w:tblLayout w:type="fixed"/>
        <w:tblLook w:val="04A0" w:firstRow="1" w:lastRow="0" w:firstColumn="1" w:lastColumn="0" w:noHBand="0" w:noVBand="1"/>
      </w:tblPr>
      <w:tblGrid>
        <w:gridCol w:w="1004"/>
        <w:gridCol w:w="1228"/>
        <w:gridCol w:w="604"/>
        <w:gridCol w:w="3096"/>
        <w:gridCol w:w="2951"/>
        <w:gridCol w:w="1224"/>
      </w:tblGrid>
      <w:tr w:rsidR="0085422C" w14:paraId="7850599C" w14:textId="77777777" w:rsidTr="002451E4">
        <w:trPr>
          <w:tblHeader/>
          <w:jc w:val="center"/>
        </w:trPr>
        <w:tc>
          <w:tcPr>
            <w:tcW w:w="1004" w:type="dxa"/>
            <w:shd w:val="clear" w:color="auto" w:fill="16324F"/>
            <w:tcMar>
              <w:top w:w="80" w:type="dxa"/>
              <w:left w:w="90" w:type="dxa"/>
              <w:bottom w:w="80" w:type="dxa"/>
              <w:right w:w="90" w:type="dxa"/>
            </w:tcMar>
            <w:vAlign w:val="center"/>
          </w:tcPr>
          <w:p w14:paraId="3CA93291" w14:textId="77777777" w:rsidR="00846FAB" w:rsidRDefault="00000000">
            <w:r>
              <w:rPr>
                <w:b/>
                <w:color w:val="FFFFFF"/>
                <w:sz w:val="14"/>
              </w:rPr>
              <w:t>Domain</w:t>
            </w:r>
          </w:p>
        </w:tc>
        <w:tc>
          <w:tcPr>
            <w:tcW w:w="1228" w:type="dxa"/>
            <w:shd w:val="clear" w:color="auto" w:fill="16324F"/>
            <w:tcMar>
              <w:top w:w="80" w:type="dxa"/>
              <w:left w:w="90" w:type="dxa"/>
              <w:bottom w:w="80" w:type="dxa"/>
              <w:right w:w="90" w:type="dxa"/>
            </w:tcMar>
            <w:vAlign w:val="center"/>
          </w:tcPr>
          <w:p w14:paraId="4205BD64" w14:textId="77777777" w:rsidR="00846FAB" w:rsidRDefault="00000000">
            <w:r>
              <w:rPr>
                <w:b/>
                <w:color w:val="FFFFFF"/>
                <w:sz w:val="14"/>
              </w:rPr>
              <w:t>Artifact</w:t>
            </w:r>
          </w:p>
        </w:tc>
        <w:tc>
          <w:tcPr>
            <w:tcW w:w="604" w:type="dxa"/>
            <w:shd w:val="clear" w:color="auto" w:fill="16324F"/>
            <w:tcMar>
              <w:top w:w="80" w:type="dxa"/>
              <w:left w:w="90" w:type="dxa"/>
              <w:bottom w:w="80" w:type="dxa"/>
              <w:right w:w="90" w:type="dxa"/>
            </w:tcMar>
            <w:vAlign w:val="center"/>
          </w:tcPr>
          <w:p w14:paraId="713F8190" w14:textId="77777777" w:rsidR="00846FAB" w:rsidRDefault="00000000">
            <w:r>
              <w:rPr>
                <w:b/>
                <w:color w:val="FFFFFF"/>
                <w:sz w:val="14"/>
              </w:rPr>
              <w:t>Action</w:t>
            </w:r>
          </w:p>
        </w:tc>
        <w:tc>
          <w:tcPr>
            <w:tcW w:w="3096" w:type="dxa"/>
            <w:shd w:val="clear" w:color="auto" w:fill="16324F"/>
            <w:tcMar>
              <w:top w:w="80" w:type="dxa"/>
              <w:left w:w="90" w:type="dxa"/>
              <w:bottom w:w="80" w:type="dxa"/>
              <w:right w:w="90" w:type="dxa"/>
            </w:tcMar>
            <w:vAlign w:val="center"/>
          </w:tcPr>
          <w:p w14:paraId="2C5A6228" w14:textId="77777777" w:rsidR="00846FAB" w:rsidRDefault="00000000">
            <w:r>
              <w:rPr>
                <w:b/>
                <w:color w:val="FFFFFF"/>
                <w:sz w:val="14"/>
              </w:rPr>
              <w:t>Common Sandisk requirement</w:t>
            </w:r>
          </w:p>
        </w:tc>
        <w:tc>
          <w:tcPr>
            <w:tcW w:w="2951" w:type="dxa"/>
            <w:shd w:val="clear" w:color="auto" w:fill="16324F"/>
            <w:tcMar>
              <w:top w:w="80" w:type="dxa"/>
              <w:left w:w="90" w:type="dxa"/>
              <w:bottom w:w="80" w:type="dxa"/>
              <w:right w:w="90" w:type="dxa"/>
            </w:tcMar>
            <w:vAlign w:val="center"/>
          </w:tcPr>
          <w:p w14:paraId="22746124" w14:textId="77777777" w:rsidR="00846FAB" w:rsidRDefault="00000000">
            <w:r>
              <w:rPr>
                <w:b/>
                <w:color w:val="FFFFFF"/>
                <w:sz w:val="14"/>
              </w:rPr>
              <w:t>GPU-platform path (NVIDIA / AMD)</w:t>
            </w:r>
          </w:p>
        </w:tc>
        <w:tc>
          <w:tcPr>
            <w:tcW w:w="1224" w:type="dxa"/>
            <w:shd w:val="clear" w:color="auto" w:fill="16324F"/>
            <w:vAlign w:val="center"/>
          </w:tcPr>
          <w:p w14:paraId="65BF55ED" w14:textId="77777777" w:rsidR="00846FAB" w:rsidRDefault="00000000">
            <w:r>
              <w:rPr>
                <w:b/>
                <w:color w:val="FFFFFF"/>
                <w:sz w:val="14"/>
              </w:rPr>
              <w:t>Primary owner</w:t>
            </w:r>
          </w:p>
        </w:tc>
      </w:tr>
      <w:tr w:rsidR="0085422C" w14:paraId="45BDDFB8" w14:textId="77777777" w:rsidTr="002451E4">
        <w:trPr>
          <w:cantSplit/>
          <w:jc w:val="center"/>
        </w:trPr>
        <w:tc>
          <w:tcPr>
            <w:tcW w:w="1004" w:type="dxa"/>
            <w:tcMar>
              <w:top w:w="70" w:type="dxa"/>
              <w:left w:w="80" w:type="dxa"/>
              <w:bottom w:w="70" w:type="dxa"/>
              <w:right w:w="80" w:type="dxa"/>
            </w:tcMar>
            <w:vAlign w:val="center"/>
          </w:tcPr>
          <w:p w14:paraId="3D8AA0D2" w14:textId="77777777" w:rsidR="00846FAB" w:rsidRDefault="00000000">
            <w:r>
              <w:rPr>
                <w:sz w:val="14"/>
              </w:rPr>
              <w:t>Software</w:t>
            </w:r>
          </w:p>
        </w:tc>
        <w:tc>
          <w:tcPr>
            <w:tcW w:w="1228" w:type="dxa"/>
            <w:tcMar>
              <w:top w:w="70" w:type="dxa"/>
              <w:left w:w="80" w:type="dxa"/>
              <w:bottom w:w="70" w:type="dxa"/>
              <w:right w:w="80" w:type="dxa"/>
            </w:tcMar>
            <w:vAlign w:val="center"/>
          </w:tcPr>
          <w:p w14:paraId="0A486864" w14:textId="77777777" w:rsidR="00846FAB" w:rsidRDefault="00000000">
            <w:r>
              <w:rPr>
                <w:sz w:val="14"/>
              </w:rPr>
              <w:t>Model contract / learned router</w:t>
            </w:r>
          </w:p>
        </w:tc>
        <w:tc>
          <w:tcPr>
            <w:tcW w:w="604" w:type="dxa"/>
            <w:tcMar>
              <w:top w:w="70" w:type="dxa"/>
              <w:left w:w="80" w:type="dxa"/>
              <w:bottom w:w="70" w:type="dxa"/>
              <w:right w:w="80" w:type="dxa"/>
            </w:tcMar>
            <w:vAlign w:val="center"/>
          </w:tcPr>
          <w:p w14:paraId="16D97E7A" w14:textId="77777777" w:rsidR="00846FAB" w:rsidRDefault="00000000">
            <w:r>
              <w:rPr>
                <w:sz w:val="14"/>
              </w:rPr>
              <w:t>V</w:t>
            </w:r>
          </w:p>
        </w:tc>
        <w:tc>
          <w:tcPr>
            <w:tcW w:w="3096" w:type="dxa"/>
            <w:tcMar>
              <w:top w:w="70" w:type="dxa"/>
              <w:left w:w="80" w:type="dxa"/>
              <w:bottom w:w="70" w:type="dxa"/>
              <w:right w:w="80" w:type="dxa"/>
            </w:tcMar>
            <w:vAlign w:val="center"/>
          </w:tcPr>
          <w:p w14:paraId="30D5C000" w14:textId="77777777" w:rsidR="00846FAB" w:rsidRDefault="00000000">
            <w:r>
              <w:rPr>
                <w:sz w:val="14"/>
              </w:rPr>
              <w:t>Freeze checkpoint, tokenizer, expert function, top-k and gate normalization. Trace export only; neural expert selection is unchanged.</w:t>
            </w:r>
          </w:p>
        </w:tc>
        <w:tc>
          <w:tcPr>
            <w:tcW w:w="2951" w:type="dxa"/>
            <w:tcMar>
              <w:top w:w="70" w:type="dxa"/>
              <w:left w:w="80" w:type="dxa"/>
              <w:bottom w:w="70" w:type="dxa"/>
              <w:right w:w="80" w:type="dxa"/>
            </w:tcMar>
            <w:vAlign w:val="center"/>
          </w:tcPr>
          <w:p w14:paraId="133383E3" w14:textId="77777777" w:rsidR="00846FAB" w:rsidRDefault="00000000">
            <w:r>
              <w:rPr>
                <w:sz w:val="14"/>
              </w:rPr>
              <w:t>NVIDIA: unchanged model semantics.</w:t>
            </w:r>
            <w:r>
              <w:rPr>
                <w:sz w:val="14"/>
              </w:rPr>
              <w:br/>
              <w:t>AMD: unchanged model semantics.</w:t>
            </w:r>
          </w:p>
        </w:tc>
        <w:tc>
          <w:tcPr>
            <w:tcW w:w="1224" w:type="dxa"/>
            <w:vAlign w:val="center"/>
          </w:tcPr>
          <w:p w14:paraId="3A5764AC" w14:textId="77777777" w:rsidR="00846FAB" w:rsidRDefault="00000000">
            <w:r>
              <w:rPr>
                <w:sz w:val="14"/>
              </w:rPr>
              <w:t>Sandisk</w:t>
            </w:r>
          </w:p>
        </w:tc>
      </w:tr>
      <w:tr w:rsidR="0085422C" w14:paraId="0394135D" w14:textId="77777777" w:rsidTr="002451E4">
        <w:trPr>
          <w:cantSplit/>
          <w:jc w:val="center"/>
        </w:trPr>
        <w:tc>
          <w:tcPr>
            <w:tcW w:w="1004" w:type="dxa"/>
            <w:shd w:val="clear" w:color="auto" w:fill="F3F6F8"/>
            <w:tcMar>
              <w:top w:w="70" w:type="dxa"/>
              <w:left w:w="80" w:type="dxa"/>
              <w:bottom w:w="70" w:type="dxa"/>
              <w:right w:w="80" w:type="dxa"/>
            </w:tcMar>
            <w:vAlign w:val="center"/>
          </w:tcPr>
          <w:p w14:paraId="203C6964"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48A3E91C" w14:textId="77777777" w:rsidR="00846FAB" w:rsidRDefault="00000000">
            <w:r>
              <w:rPr>
                <w:sz w:val="14"/>
              </w:rPr>
              <w:t>ExpertPack compiler</w:t>
            </w:r>
          </w:p>
        </w:tc>
        <w:tc>
          <w:tcPr>
            <w:tcW w:w="604" w:type="dxa"/>
            <w:shd w:val="clear" w:color="auto" w:fill="F3F6F8"/>
            <w:tcMar>
              <w:top w:w="70" w:type="dxa"/>
              <w:left w:w="80" w:type="dxa"/>
              <w:bottom w:w="70" w:type="dxa"/>
              <w:right w:w="80" w:type="dxa"/>
            </w:tcMar>
            <w:vAlign w:val="center"/>
          </w:tcPr>
          <w:p w14:paraId="5332B176"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5ACED0FC" w14:textId="77777777" w:rsidR="00846FAB" w:rsidRDefault="00000000">
            <w:r>
              <w:rPr>
                <w:sz w:val="14"/>
              </w:rPr>
              <w:t>Compile every ATMOS-owned (layer, expert) FFN into a versioned NPU pack with weight layout, precision/scales, scratch budget and golden outputs.</w:t>
            </w:r>
          </w:p>
        </w:tc>
        <w:tc>
          <w:tcPr>
            <w:tcW w:w="2951" w:type="dxa"/>
            <w:shd w:val="clear" w:color="auto" w:fill="F3F6F8"/>
            <w:tcMar>
              <w:top w:w="70" w:type="dxa"/>
              <w:left w:w="80" w:type="dxa"/>
              <w:bottom w:w="70" w:type="dxa"/>
              <w:right w:w="80" w:type="dxa"/>
            </w:tcMar>
            <w:vAlign w:val="center"/>
          </w:tcPr>
          <w:p w14:paraId="4B343A93" w14:textId="77777777" w:rsidR="00846FAB" w:rsidRDefault="00000000">
            <w:r>
              <w:rPr>
                <w:sz w:val="14"/>
              </w:rPr>
              <w:t>Same pack identity and expert ABI for both GPU ecosystems.</w:t>
            </w:r>
          </w:p>
        </w:tc>
        <w:tc>
          <w:tcPr>
            <w:tcW w:w="1224" w:type="dxa"/>
            <w:shd w:val="clear" w:color="auto" w:fill="F3F6F8"/>
            <w:vAlign w:val="center"/>
          </w:tcPr>
          <w:p w14:paraId="2DB7E9E0" w14:textId="02EFBDE4" w:rsidR="00846FAB" w:rsidRDefault="00000000">
            <w:r>
              <w:rPr>
                <w:sz w:val="14"/>
              </w:rPr>
              <w:t xml:space="preserve">Sandisk + </w:t>
            </w:r>
            <w:r w:rsidR="002451E4">
              <w:rPr>
                <w:rFonts w:eastAsia="Noto Sans"/>
                <w:color w:val="24313D"/>
                <w:sz w:val="13"/>
              </w:rPr>
              <w:t>Tenstorrent</w:t>
            </w:r>
          </w:p>
        </w:tc>
      </w:tr>
      <w:tr w:rsidR="0085422C" w14:paraId="1128D9B1" w14:textId="77777777" w:rsidTr="002451E4">
        <w:trPr>
          <w:cantSplit/>
          <w:jc w:val="center"/>
        </w:trPr>
        <w:tc>
          <w:tcPr>
            <w:tcW w:w="1004" w:type="dxa"/>
            <w:tcMar>
              <w:top w:w="70" w:type="dxa"/>
              <w:left w:w="80" w:type="dxa"/>
              <w:bottom w:w="70" w:type="dxa"/>
              <w:right w:w="80" w:type="dxa"/>
            </w:tcMar>
            <w:vAlign w:val="center"/>
          </w:tcPr>
          <w:p w14:paraId="62B79A38" w14:textId="77777777" w:rsidR="00846FAB" w:rsidRDefault="00000000">
            <w:r>
              <w:rPr>
                <w:sz w:val="14"/>
              </w:rPr>
              <w:t>Software</w:t>
            </w:r>
          </w:p>
        </w:tc>
        <w:tc>
          <w:tcPr>
            <w:tcW w:w="1228" w:type="dxa"/>
            <w:tcMar>
              <w:top w:w="70" w:type="dxa"/>
              <w:left w:w="80" w:type="dxa"/>
              <w:bottom w:w="70" w:type="dxa"/>
              <w:right w:w="80" w:type="dxa"/>
            </w:tcMar>
            <w:vAlign w:val="center"/>
          </w:tcPr>
          <w:p w14:paraId="38A44277" w14:textId="77777777" w:rsidR="00846FAB" w:rsidRDefault="00000000">
            <w:r>
              <w:rPr>
                <w:sz w:val="14"/>
              </w:rPr>
              <w:t>vLLM MoE integration</w:t>
            </w:r>
          </w:p>
        </w:tc>
        <w:tc>
          <w:tcPr>
            <w:tcW w:w="604" w:type="dxa"/>
            <w:tcMar>
              <w:top w:w="70" w:type="dxa"/>
              <w:left w:w="80" w:type="dxa"/>
              <w:bottom w:w="70" w:type="dxa"/>
              <w:right w:w="80" w:type="dxa"/>
            </w:tcMar>
            <w:vAlign w:val="center"/>
          </w:tcPr>
          <w:p w14:paraId="1096AD32" w14:textId="77777777" w:rsidR="00846FAB" w:rsidRDefault="00000000">
            <w:r>
              <w:rPr>
                <w:sz w:val="14"/>
              </w:rPr>
              <w:t>M/N</w:t>
            </w:r>
          </w:p>
        </w:tc>
        <w:tc>
          <w:tcPr>
            <w:tcW w:w="3096" w:type="dxa"/>
            <w:tcMar>
              <w:top w:w="70" w:type="dxa"/>
              <w:left w:w="80" w:type="dxa"/>
              <w:bottom w:w="70" w:type="dxa"/>
              <w:right w:w="80" w:type="dxa"/>
            </w:tcMar>
            <w:vAlign w:val="center"/>
          </w:tcPr>
          <w:p w14:paraId="7F7F0218" w14:textId="77777777" w:rsidR="00846FAB" w:rsidRDefault="00000000">
            <w:r>
              <w:rPr>
                <w:sz w:val="14"/>
              </w:rPr>
              <w:t>Add one ATMOS-aware prepare/expert/finalize seam. Skip GPU allocation of ATMOS-owned experts and preserve customer APIs.</w:t>
            </w:r>
          </w:p>
        </w:tc>
        <w:tc>
          <w:tcPr>
            <w:tcW w:w="2951" w:type="dxa"/>
            <w:tcMar>
              <w:top w:w="70" w:type="dxa"/>
              <w:left w:w="80" w:type="dxa"/>
              <w:bottom w:w="70" w:type="dxa"/>
              <w:right w:w="80" w:type="dxa"/>
            </w:tcMar>
            <w:vAlign w:val="center"/>
          </w:tcPr>
          <w:p w14:paraId="468055FE" w14:textId="77777777" w:rsidR="00846FAB" w:rsidRDefault="00000000">
            <w:r>
              <w:rPr>
                <w:sz w:val="14"/>
              </w:rPr>
              <w:t>NVIDIA: pinned vLLM/PyTorch/CUDA build.</w:t>
            </w:r>
            <w:r>
              <w:rPr>
                <w:sz w:val="14"/>
              </w:rPr>
              <w:br/>
              <w:t>AMD: pinned vLLM/PyTorch/ROCm build. No separate model fork.</w:t>
            </w:r>
          </w:p>
        </w:tc>
        <w:tc>
          <w:tcPr>
            <w:tcW w:w="1224" w:type="dxa"/>
            <w:vAlign w:val="center"/>
          </w:tcPr>
          <w:p w14:paraId="446FD41B" w14:textId="470A94A0" w:rsidR="00846FAB" w:rsidRDefault="002451E4">
            <w:r>
              <w:rPr>
                <w:sz w:val="14"/>
              </w:rPr>
              <w:t xml:space="preserve">Sandisk + </w:t>
            </w:r>
            <w:r>
              <w:rPr>
                <w:rFonts w:eastAsia="Noto Sans"/>
                <w:color w:val="24313D"/>
                <w:sz w:val="13"/>
              </w:rPr>
              <w:t>Tenstorrent</w:t>
            </w:r>
          </w:p>
        </w:tc>
      </w:tr>
      <w:tr w:rsidR="0085422C" w14:paraId="575AB167" w14:textId="77777777" w:rsidTr="002451E4">
        <w:trPr>
          <w:cantSplit/>
          <w:jc w:val="center"/>
        </w:trPr>
        <w:tc>
          <w:tcPr>
            <w:tcW w:w="1004" w:type="dxa"/>
            <w:shd w:val="clear" w:color="auto" w:fill="F3F6F8"/>
            <w:tcMar>
              <w:top w:w="70" w:type="dxa"/>
              <w:left w:w="80" w:type="dxa"/>
              <w:bottom w:w="70" w:type="dxa"/>
              <w:right w:w="80" w:type="dxa"/>
            </w:tcMar>
            <w:vAlign w:val="center"/>
          </w:tcPr>
          <w:p w14:paraId="67341285"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53B7737F" w14:textId="77777777" w:rsidR="00846FAB" w:rsidRDefault="00000000">
            <w:r>
              <w:rPr>
                <w:sz w:val="14"/>
              </w:rPr>
              <w:t>Heterogeneous expert adapter / placement</w:t>
            </w:r>
          </w:p>
        </w:tc>
        <w:tc>
          <w:tcPr>
            <w:tcW w:w="604" w:type="dxa"/>
            <w:shd w:val="clear" w:color="auto" w:fill="F3F6F8"/>
            <w:tcMar>
              <w:top w:w="70" w:type="dxa"/>
              <w:left w:w="80" w:type="dxa"/>
              <w:bottom w:w="70" w:type="dxa"/>
              <w:right w:w="80" w:type="dxa"/>
            </w:tcMar>
            <w:vAlign w:val="center"/>
          </w:tcPr>
          <w:p w14:paraId="3FD6C0A7"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2CA9A7A0" w14:textId="77777777" w:rsidR="00846FAB" w:rsidRDefault="00000000">
            <w:r>
              <w:rPr>
                <w:sz w:val="14"/>
              </w:rPr>
              <w:t>Map (model, layer, expert) to resident ATMOS owners; group tokens; preserve identity, gates, queue bounds and placement epochs.</w:t>
            </w:r>
          </w:p>
        </w:tc>
        <w:tc>
          <w:tcPr>
            <w:tcW w:w="2951" w:type="dxa"/>
            <w:shd w:val="clear" w:color="auto" w:fill="F3F6F8"/>
            <w:tcMar>
              <w:top w:w="70" w:type="dxa"/>
              <w:left w:w="80" w:type="dxa"/>
              <w:bottom w:w="70" w:type="dxa"/>
              <w:right w:w="80" w:type="dxa"/>
            </w:tcMar>
            <w:vAlign w:val="center"/>
          </w:tcPr>
          <w:p w14:paraId="0390809E" w14:textId="77777777" w:rsidR="00846FAB" w:rsidRDefault="00000000">
            <w:r>
              <w:rPr>
                <w:sz w:val="14"/>
              </w:rPr>
              <w:t>Vendor-neutral logic; no CUDA/NCCL or HIP/RCCL rank identity for ATMOS.</w:t>
            </w:r>
          </w:p>
        </w:tc>
        <w:tc>
          <w:tcPr>
            <w:tcW w:w="1224" w:type="dxa"/>
            <w:shd w:val="clear" w:color="auto" w:fill="F3F6F8"/>
            <w:vAlign w:val="center"/>
          </w:tcPr>
          <w:p w14:paraId="59A2D88E" w14:textId="6F1B0B8F" w:rsidR="00846FAB" w:rsidRDefault="002451E4">
            <w:r>
              <w:rPr>
                <w:sz w:val="14"/>
              </w:rPr>
              <w:t xml:space="preserve">Sandisk + </w:t>
            </w:r>
            <w:r>
              <w:rPr>
                <w:rFonts w:eastAsia="Noto Sans"/>
                <w:color w:val="24313D"/>
                <w:sz w:val="13"/>
              </w:rPr>
              <w:t>Tenstorrent</w:t>
            </w:r>
          </w:p>
        </w:tc>
      </w:tr>
      <w:tr w:rsidR="0085422C" w14:paraId="7C420609" w14:textId="77777777" w:rsidTr="002451E4">
        <w:trPr>
          <w:cantSplit/>
          <w:jc w:val="center"/>
        </w:trPr>
        <w:tc>
          <w:tcPr>
            <w:tcW w:w="1004" w:type="dxa"/>
            <w:tcMar>
              <w:top w:w="70" w:type="dxa"/>
              <w:left w:w="80" w:type="dxa"/>
              <w:bottom w:w="70" w:type="dxa"/>
              <w:right w:w="80" w:type="dxa"/>
            </w:tcMar>
            <w:vAlign w:val="center"/>
          </w:tcPr>
          <w:p w14:paraId="4D5492E2" w14:textId="77777777" w:rsidR="00846FAB" w:rsidRDefault="00000000">
            <w:r>
              <w:rPr>
                <w:sz w:val="14"/>
              </w:rPr>
              <w:t>Software</w:t>
            </w:r>
          </w:p>
        </w:tc>
        <w:tc>
          <w:tcPr>
            <w:tcW w:w="1228" w:type="dxa"/>
            <w:tcMar>
              <w:top w:w="70" w:type="dxa"/>
              <w:left w:w="80" w:type="dxa"/>
              <w:bottom w:w="70" w:type="dxa"/>
              <w:right w:w="80" w:type="dxa"/>
            </w:tcMar>
            <w:vAlign w:val="center"/>
          </w:tcPr>
          <w:p w14:paraId="4093D978" w14:textId="77777777" w:rsidR="00846FAB" w:rsidRDefault="00000000">
            <w:r>
              <w:rPr>
                <w:sz w:val="14"/>
              </w:rPr>
              <w:t>GPU framework seam</w:t>
            </w:r>
          </w:p>
        </w:tc>
        <w:tc>
          <w:tcPr>
            <w:tcW w:w="604" w:type="dxa"/>
            <w:tcMar>
              <w:top w:w="70" w:type="dxa"/>
              <w:left w:w="80" w:type="dxa"/>
              <w:bottom w:w="70" w:type="dxa"/>
              <w:right w:w="80" w:type="dxa"/>
            </w:tcMar>
            <w:vAlign w:val="center"/>
          </w:tcPr>
          <w:p w14:paraId="030AA39E" w14:textId="77777777" w:rsidR="00846FAB" w:rsidRDefault="00000000">
            <w:r>
              <w:rPr>
                <w:sz w:val="14"/>
              </w:rPr>
              <w:t>M</w:t>
            </w:r>
          </w:p>
        </w:tc>
        <w:tc>
          <w:tcPr>
            <w:tcW w:w="3096" w:type="dxa"/>
            <w:tcMar>
              <w:top w:w="70" w:type="dxa"/>
              <w:left w:w="80" w:type="dxa"/>
              <w:bottom w:w="70" w:type="dxa"/>
              <w:right w:w="80" w:type="dxa"/>
            </w:tcMar>
            <w:vAlign w:val="center"/>
          </w:tcPr>
          <w:p w14:paraId="4A33A1C4" w14:textId="77777777" w:rsidR="00846FAB" w:rsidRDefault="00000000">
            <w:r>
              <w:rPr>
                <w:sz w:val="14"/>
              </w:rPr>
              <w:t>Implement packing, result restore/combine, async buffers and explicit synchronization in Sandisk code.</w:t>
            </w:r>
          </w:p>
        </w:tc>
        <w:tc>
          <w:tcPr>
            <w:tcW w:w="2951" w:type="dxa"/>
            <w:tcMar>
              <w:top w:w="70" w:type="dxa"/>
              <w:left w:w="80" w:type="dxa"/>
              <w:bottom w:w="70" w:type="dxa"/>
              <w:right w:w="80" w:type="dxa"/>
            </w:tcMar>
            <w:vAlign w:val="center"/>
          </w:tcPr>
          <w:p w14:paraId="39D1ACFB" w14:textId="77777777" w:rsidR="00846FAB" w:rsidRDefault="00000000">
            <w:r>
              <w:rPr>
                <w:sz w:val="14"/>
              </w:rPr>
              <w:t>NVIDIA: stock PyTorch/CUDA APIs.</w:t>
            </w:r>
            <w:r>
              <w:rPr>
                <w:sz w:val="14"/>
              </w:rPr>
              <w:br/>
              <w:t>AMD: stock PyTorch/ROCm/HIP APIs. No GPU driver/FW patches.</w:t>
            </w:r>
          </w:p>
        </w:tc>
        <w:tc>
          <w:tcPr>
            <w:tcW w:w="1224" w:type="dxa"/>
            <w:vAlign w:val="center"/>
          </w:tcPr>
          <w:p w14:paraId="3BE5DC52" w14:textId="78A860EA" w:rsidR="00846FAB" w:rsidRDefault="002451E4">
            <w:r>
              <w:rPr>
                <w:sz w:val="14"/>
              </w:rPr>
              <w:t xml:space="preserve">Sandisk + </w:t>
            </w:r>
            <w:r>
              <w:rPr>
                <w:rFonts w:eastAsia="Noto Sans"/>
                <w:color w:val="24313D"/>
                <w:sz w:val="13"/>
              </w:rPr>
              <w:t>Tenstorrent</w:t>
            </w:r>
          </w:p>
        </w:tc>
      </w:tr>
      <w:tr w:rsidR="0085422C" w14:paraId="7FD7AE74" w14:textId="77777777" w:rsidTr="002451E4">
        <w:trPr>
          <w:cantSplit/>
          <w:jc w:val="center"/>
        </w:trPr>
        <w:tc>
          <w:tcPr>
            <w:tcW w:w="1004" w:type="dxa"/>
            <w:shd w:val="clear" w:color="auto" w:fill="F3F6F8"/>
            <w:tcMar>
              <w:top w:w="70" w:type="dxa"/>
              <w:left w:w="80" w:type="dxa"/>
              <w:bottom w:w="70" w:type="dxa"/>
              <w:right w:w="80" w:type="dxa"/>
            </w:tcMar>
            <w:vAlign w:val="center"/>
          </w:tcPr>
          <w:p w14:paraId="0BEE75B8" w14:textId="77777777" w:rsidR="00846FAB" w:rsidRDefault="00000000">
            <w:r>
              <w:rPr>
                <w:sz w:val="14"/>
              </w:rPr>
              <w:lastRenderedPageBreak/>
              <w:t>Software</w:t>
            </w:r>
          </w:p>
        </w:tc>
        <w:tc>
          <w:tcPr>
            <w:tcW w:w="1228" w:type="dxa"/>
            <w:shd w:val="clear" w:color="auto" w:fill="F3F6F8"/>
            <w:tcMar>
              <w:top w:w="70" w:type="dxa"/>
              <w:left w:w="80" w:type="dxa"/>
              <w:bottom w:w="70" w:type="dxa"/>
              <w:right w:w="80" w:type="dxa"/>
            </w:tcMar>
            <w:vAlign w:val="center"/>
          </w:tcPr>
          <w:p w14:paraId="5626BD47" w14:textId="77777777" w:rsidR="00846FAB" w:rsidRDefault="00000000">
            <w:r>
              <w:rPr>
                <w:sz w:val="14"/>
              </w:rPr>
              <w:t>GPU collectives</w:t>
            </w:r>
          </w:p>
        </w:tc>
        <w:tc>
          <w:tcPr>
            <w:tcW w:w="604" w:type="dxa"/>
            <w:shd w:val="clear" w:color="auto" w:fill="F3F6F8"/>
            <w:tcMar>
              <w:top w:w="70" w:type="dxa"/>
              <w:left w:w="80" w:type="dxa"/>
              <w:bottom w:w="70" w:type="dxa"/>
              <w:right w:w="80" w:type="dxa"/>
            </w:tcMar>
            <w:vAlign w:val="center"/>
          </w:tcPr>
          <w:p w14:paraId="273837CB"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32C128E9" w14:textId="77777777" w:rsidR="00846FAB" w:rsidRDefault="00000000">
            <w:r>
              <w:rPr>
                <w:sz w:val="14"/>
              </w:rPr>
              <w:t>Keep ATMOS outside the GPU collective domain; revalidate GPU rank/group configuration after experts move off GPU.</w:t>
            </w:r>
          </w:p>
        </w:tc>
        <w:tc>
          <w:tcPr>
            <w:tcW w:w="2951" w:type="dxa"/>
            <w:shd w:val="clear" w:color="auto" w:fill="F3F6F8"/>
            <w:tcMar>
              <w:top w:w="70" w:type="dxa"/>
              <w:left w:w="80" w:type="dxa"/>
              <w:bottom w:w="70" w:type="dxa"/>
              <w:right w:w="80" w:type="dxa"/>
            </w:tcMar>
            <w:vAlign w:val="center"/>
          </w:tcPr>
          <w:p w14:paraId="374B3508" w14:textId="77777777" w:rsidR="00846FAB" w:rsidRDefault="00000000">
            <w:r>
              <w:rPr>
                <w:sz w:val="14"/>
              </w:rPr>
              <w:t>NVIDIA: stock NCCL.</w:t>
            </w:r>
            <w:r>
              <w:rPr>
                <w:sz w:val="14"/>
              </w:rPr>
              <w:br/>
              <w:t>AMD: stock RCCL. No collective-library modification.</w:t>
            </w:r>
          </w:p>
        </w:tc>
        <w:tc>
          <w:tcPr>
            <w:tcW w:w="1224" w:type="dxa"/>
            <w:shd w:val="clear" w:color="auto" w:fill="F3F6F8"/>
            <w:vAlign w:val="center"/>
          </w:tcPr>
          <w:p w14:paraId="5B3E4B32" w14:textId="79A3DAF5" w:rsidR="00846FAB" w:rsidRDefault="002451E4">
            <w:r>
              <w:rPr>
                <w:sz w:val="14"/>
              </w:rPr>
              <w:t>Vendor Runtime</w:t>
            </w:r>
          </w:p>
        </w:tc>
      </w:tr>
      <w:tr w:rsidR="0085422C" w14:paraId="16498F67" w14:textId="77777777" w:rsidTr="002451E4">
        <w:trPr>
          <w:cantSplit/>
          <w:jc w:val="center"/>
        </w:trPr>
        <w:tc>
          <w:tcPr>
            <w:tcW w:w="1004" w:type="dxa"/>
            <w:tcMar>
              <w:top w:w="70" w:type="dxa"/>
              <w:left w:w="80" w:type="dxa"/>
              <w:bottom w:w="70" w:type="dxa"/>
              <w:right w:w="80" w:type="dxa"/>
            </w:tcMar>
            <w:vAlign w:val="center"/>
          </w:tcPr>
          <w:p w14:paraId="104C8A8F" w14:textId="77777777" w:rsidR="00846FAB" w:rsidRDefault="00000000">
            <w:r>
              <w:rPr>
                <w:sz w:val="14"/>
              </w:rPr>
              <w:t>Software</w:t>
            </w:r>
          </w:p>
        </w:tc>
        <w:tc>
          <w:tcPr>
            <w:tcW w:w="1228" w:type="dxa"/>
            <w:tcMar>
              <w:top w:w="70" w:type="dxa"/>
              <w:left w:w="80" w:type="dxa"/>
              <w:bottom w:w="70" w:type="dxa"/>
              <w:right w:w="80" w:type="dxa"/>
            </w:tcMar>
            <w:vAlign w:val="center"/>
          </w:tcPr>
          <w:p w14:paraId="636C5182" w14:textId="77777777" w:rsidR="00846FAB" w:rsidRDefault="00000000">
            <w:r>
              <w:rPr>
                <w:sz w:val="14"/>
              </w:rPr>
              <w:t>ATMOS SDK + Linux driver</w:t>
            </w:r>
          </w:p>
        </w:tc>
        <w:tc>
          <w:tcPr>
            <w:tcW w:w="604" w:type="dxa"/>
            <w:tcMar>
              <w:top w:w="70" w:type="dxa"/>
              <w:left w:w="80" w:type="dxa"/>
              <w:bottom w:w="70" w:type="dxa"/>
              <w:right w:w="80" w:type="dxa"/>
            </w:tcMar>
            <w:vAlign w:val="center"/>
          </w:tcPr>
          <w:p w14:paraId="4D7FE5F5" w14:textId="77777777" w:rsidR="00846FAB" w:rsidRDefault="00000000">
            <w:r>
              <w:rPr>
                <w:sz w:val="14"/>
              </w:rPr>
              <w:t>N</w:t>
            </w:r>
          </w:p>
        </w:tc>
        <w:tc>
          <w:tcPr>
            <w:tcW w:w="3096" w:type="dxa"/>
            <w:tcMar>
              <w:top w:w="70" w:type="dxa"/>
              <w:left w:w="80" w:type="dxa"/>
              <w:bottom w:w="70" w:type="dxa"/>
              <w:right w:w="80" w:type="dxa"/>
            </w:tcMar>
            <w:vAlign w:val="center"/>
          </w:tcPr>
          <w:p w14:paraId="3EA5B9E7" w14:textId="77777777" w:rsidR="00846FAB" w:rsidRDefault="00000000">
            <w:r>
              <w:rPr>
                <w:sz w:val="14"/>
              </w:rPr>
              <w:t>Discovery, buffer registration, queue/DMA submission, completion, cancel/error, reset invalidation, telemetry and bounded BAR access.</w:t>
            </w:r>
          </w:p>
        </w:tc>
        <w:tc>
          <w:tcPr>
            <w:tcW w:w="2951" w:type="dxa"/>
            <w:tcMar>
              <w:top w:w="70" w:type="dxa"/>
              <w:left w:w="80" w:type="dxa"/>
              <w:bottom w:w="70" w:type="dxa"/>
              <w:right w:w="80" w:type="dxa"/>
            </w:tcMar>
            <w:vAlign w:val="center"/>
          </w:tcPr>
          <w:p w14:paraId="76D99AD9" w14:textId="77777777" w:rsidR="00846FAB" w:rsidRDefault="00000000">
            <w:r>
              <w:rPr>
                <w:sz w:val="14"/>
              </w:rPr>
              <w:t>Identical ATMOS API contract; host build may differ (x86-64 vs Arm64) by platform.</w:t>
            </w:r>
          </w:p>
        </w:tc>
        <w:tc>
          <w:tcPr>
            <w:tcW w:w="1224" w:type="dxa"/>
            <w:vAlign w:val="center"/>
          </w:tcPr>
          <w:p w14:paraId="15165F0F" w14:textId="7D762188" w:rsidR="00846FAB" w:rsidRDefault="002451E4">
            <w:r>
              <w:rPr>
                <w:sz w:val="14"/>
              </w:rPr>
              <w:t xml:space="preserve">Sandisk + </w:t>
            </w:r>
            <w:r>
              <w:rPr>
                <w:rFonts w:eastAsia="Noto Sans"/>
                <w:color w:val="24313D"/>
                <w:sz w:val="13"/>
              </w:rPr>
              <w:t>Tenstorrent</w:t>
            </w:r>
          </w:p>
        </w:tc>
      </w:tr>
      <w:tr w:rsidR="0085422C" w14:paraId="75ACA6C6" w14:textId="77777777" w:rsidTr="002451E4">
        <w:trPr>
          <w:cantSplit/>
          <w:jc w:val="center"/>
        </w:trPr>
        <w:tc>
          <w:tcPr>
            <w:tcW w:w="1004" w:type="dxa"/>
            <w:shd w:val="clear" w:color="auto" w:fill="F3F6F8"/>
            <w:tcMar>
              <w:top w:w="70" w:type="dxa"/>
              <w:left w:w="80" w:type="dxa"/>
              <w:bottom w:w="70" w:type="dxa"/>
              <w:right w:w="80" w:type="dxa"/>
            </w:tcMar>
            <w:vAlign w:val="center"/>
          </w:tcPr>
          <w:p w14:paraId="1F0F2ACD"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23E9BFC9" w14:textId="77777777" w:rsidR="00846FAB" w:rsidRDefault="00000000">
            <w:r>
              <w:rPr>
                <w:sz w:val="14"/>
              </w:rPr>
              <w:t>Kubernetes allocation</w:t>
            </w:r>
          </w:p>
        </w:tc>
        <w:tc>
          <w:tcPr>
            <w:tcW w:w="604" w:type="dxa"/>
            <w:shd w:val="clear" w:color="auto" w:fill="F3F6F8"/>
            <w:tcMar>
              <w:top w:w="70" w:type="dxa"/>
              <w:left w:w="80" w:type="dxa"/>
              <w:bottom w:w="70" w:type="dxa"/>
              <w:right w:w="80" w:type="dxa"/>
            </w:tcMar>
            <w:vAlign w:val="center"/>
          </w:tcPr>
          <w:p w14:paraId="596F362B" w14:textId="77777777" w:rsidR="00846FAB" w:rsidRDefault="00000000">
            <w:r>
              <w:rPr>
                <w:sz w:val="14"/>
              </w:rPr>
              <w:t>M/N</w:t>
            </w:r>
          </w:p>
        </w:tc>
        <w:tc>
          <w:tcPr>
            <w:tcW w:w="3096" w:type="dxa"/>
            <w:shd w:val="clear" w:color="auto" w:fill="F3F6F8"/>
            <w:tcMar>
              <w:top w:w="70" w:type="dxa"/>
              <w:left w:w="80" w:type="dxa"/>
              <w:bottom w:w="70" w:type="dxa"/>
              <w:right w:w="80" w:type="dxa"/>
            </w:tcMar>
            <w:vAlign w:val="center"/>
          </w:tcPr>
          <w:p w14:paraId="1A7DF9A6" w14:textId="77777777" w:rsidR="00846FAB" w:rsidRDefault="00000000">
            <w:r>
              <w:rPr>
                <w:sz w:val="14"/>
              </w:rPr>
              <w:t>Expose ATMOS as whole-device resources initially; co-allocate qualified GPU+ATMOS groups and publish topology/health.</w:t>
            </w:r>
          </w:p>
        </w:tc>
        <w:tc>
          <w:tcPr>
            <w:tcW w:w="2951" w:type="dxa"/>
            <w:shd w:val="clear" w:color="auto" w:fill="F3F6F8"/>
            <w:tcMar>
              <w:top w:w="70" w:type="dxa"/>
              <w:left w:w="80" w:type="dxa"/>
              <w:bottom w:w="70" w:type="dxa"/>
              <w:right w:w="80" w:type="dxa"/>
            </w:tcMar>
            <w:vAlign w:val="center"/>
          </w:tcPr>
          <w:p w14:paraId="6DDF099A" w14:textId="77777777" w:rsidR="00846FAB" w:rsidRDefault="00000000">
            <w:r>
              <w:rPr>
                <w:sz w:val="14"/>
              </w:rPr>
              <w:t>NVIDIA: preserve NVIDIA GPU Operator.</w:t>
            </w:r>
            <w:r>
              <w:rPr>
                <w:sz w:val="14"/>
              </w:rPr>
              <w:br/>
              <w:t>AMD: preserve AMD GPU Operator. Sandisk operator remains separate.</w:t>
            </w:r>
          </w:p>
        </w:tc>
        <w:tc>
          <w:tcPr>
            <w:tcW w:w="1224" w:type="dxa"/>
            <w:shd w:val="clear" w:color="auto" w:fill="F3F6F8"/>
            <w:vAlign w:val="center"/>
          </w:tcPr>
          <w:p w14:paraId="208050E8" w14:textId="409F45AA" w:rsidR="00846FAB" w:rsidRDefault="002451E4">
            <w:r>
              <w:rPr>
                <w:sz w:val="14"/>
              </w:rPr>
              <w:t xml:space="preserve">Sandisk + </w:t>
            </w:r>
            <w:r>
              <w:rPr>
                <w:rFonts w:eastAsia="Noto Sans"/>
                <w:color w:val="24313D"/>
                <w:sz w:val="13"/>
              </w:rPr>
              <w:t>Tenstorrent</w:t>
            </w:r>
          </w:p>
        </w:tc>
      </w:tr>
      <w:tr w:rsidR="0085422C" w14:paraId="1BF6ABDB" w14:textId="77777777" w:rsidTr="002451E4">
        <w:trPr>
          <w:cantSplit/>
          <w:jc w:val="center"/>
        </w:trPr>
        <w:tc>
          <w:tcPr>
            <w:tcW w:w="1004" w:type="dxa"/>
            <w:tcMar>
              <w:top w:w="70" w:type="dxa"/>
              <w:left w:w="80" w:type="dxa"/>
              <w:bottom w:w="70" w:type="dxa"/>
              <w:right w:w="80" w:type="dxa"/>
            </w:tcMar>
            <w:vAlign w:val="center"/>
          </w:tcPr>
          <w:p w14:paraId="7B86F99B" w14:textId="77777777" w:rsidR="00846FAB" w:rsidRDefault="00000000">
            <w:r>
              <w:rPr>
                <w:sz w:val="14"/>
              </w:rPr>
              <w:t>Software</w:t>
            </w:r>
          </w:p>
        </w:tc>
        <w:tc>
          <w:tcPr>
            <w:tcW w:w="1228" w:type="dxa"/>
            <w:tcMar>
              <w:top w:w="70" w:type="dxa"/>
              <w:left w:w="80" w:type="dxa"/>
              <w:bottom w:w="70" w:type="dxa"/>
              <w:right w:w="80" w:type="dxa"/>
            </w:tcMar>
            <w:vAlign w:val="center"/>
          </w:tcPr>
          <w:p w14:paraId="04229CEF" w14:textId="77777777" w:rsidR="00846FAB" w:rsidRDefault="00000000">
            <w:r>
              <w:rPr>
                <w:sz w:val="14"/>
              </w:rPr>
              <w:t>Operator / lifecycle</w:t>
            </w:r>
          </w:p>
        </w:tc>
        <w:tc>
          <w:tcPr>
            <w:tcW w:w="604" w:type="dxa"/>
            <w:tcMar>
              <w:top w:w="70" w:type="dxa"/>
              <w:left w:w="80" w:type="dxa"/>
              <w:bottom w:w="70" w:type="dxa"/>
              <w:right w:w="80" w:type="dxa"/>
            </w:tcMar>
            <w:vAlign w:val="center"/>
          </w:tcPr>
          <w:p w14:paraId="3EEB2669" w14:textId="77777777" w:rsidR="00846FAB" w:rsidRDefault="00000000">
            <w:r>
              <w:rPr>
                <w:sz w:val="14"/>
              </w:rPr>
              <w:t>N</w:t>
            </w:r>
          </w:p>
        </w:tc>
        <w:tc>
          <w:tcPr>
            <w:tcW w:w="3096" w:type="dxa"/>
            <w:tcMar>
              <w:top w:w="70" w:type="dxa"/>
              <w:left w:w="80" w:type="dxa"/>
              <w:bottom w:w="70" w:type="dxa"/>
              <w:right w:w="80" w:type="dxa"/>
            </w:tcMar>
            <w:vAlign w:val="center"/>
          </w:tcPr>
          <w:p w14:paraId="5E2D5CB7" w14:textId="77777777" w:rsidR="00846FAB" w:rsidRDefault="00000000">
            <w:r>
              <w:rPr>
                <w:sz w:val="14"/>
              </w:rPr>
              <w:t>Stage complete ExpertPacks, publish readiness only for a complete generation, drain/update/rollback/recover and fail closed on missing experts.</w:t>
            </w:r>
          </w:p>
        </w:tc>
        <w:tc>
          <w:tcPr>
            <w:tcW w:w="2951" w:type="dxa"/>
            <w:tcMar>
              <w:top w:w="70" w:type="dxa"/>
              <w:left w:w="80" w:type="dxa"/>
              <w:bottom w:w="70" w:type="dxa"/>
              <w:right w:w="80" w:type="dxa"/>
            </w:tcMar>
            <w:vAlign w:val="center"/>
          </w:tcPr>
          <w:p w14:paraId="0D4AB8C4" w14:textId="77777777" w:rsidR="00846FAB" w:rsidRDefault="00000000">
            <w:r>
              <w:rPr>
                <w:sz w:val="14"/>
              </w:rPr>
              <w:t>Common lifecycle contract; package separately for supported distro/CPU architecture.</w:t>
            </w:r>
          </w:p>
        </w:tc>
        <w:tc>
          <w:tcPr>
            <w:tcW w:w="1224" w:type="dxa"/>
            <w:vAlign w:val="center"/>
          </w:tcPr>
          <w:p w14:paraId="069EFA58" w14:textId="77777777" w:rsidR="00846FAB" w:rsidRDefault="00000000">
            <w:r>
              <w:rPr>
                <w:sz w:val="14"/>
              </w:rPr>
              <w:t>SRE/release</w:t>
            </w:r>
          </w:p>
        </w:tc>
      </w:tr>
      <w:tr w:rsidR="0085422C" w14:paraId="3A54C79A" w14:textId="77777777" w:rsidTr="002451E4">
        <w:trPr>
          <w:cantSplit/>
          <w:jc w:val="center"/>
        </w:trPr>
        <w:tc>
          <w:tcPr>
            <w:tcW w:w="1004" w:type="dxa"/>
            <w:shd w:val="clear" w:color="auto" w:fill="F3F6F8"/>
            <w:tcMar>
              <w:top w:w="70" w:type="dxa"/>
              <w:left w:w="80" w:type="dxa"/>
              <w:bottom w:w="70" w:type="dxa"/>
              <w:right w:w="80" w:type="dxa"/>
            </w:tcMar>
            <w:vAlign w:val="center"/>
          </w:tcPr>
          <w:p w14:paraId="612BB8A3"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65573B60" w14:textId="77777777" w:rsidR="00846FAB" w:rsidRDefault="00000000">
            <w:r>
              <w:rPr>
                <w:sz w:val="14"/>
              </w:rPr>
              <w:t>Telemetry / evidence</w:t>
            </w:r>
          </w:p>
        </w:tc>
        <w:tc>
          <w:tcPr>
            <w:tcW w:w="604" w:type="dxa"/>
            <w:shd w:val="clear" w:color="auto" w:fill="F3F6F8"/>
            <w:tcMar>
              <w:top w:w="70" w:type="dxa"/>
              <w:left w:w="80" w:type="dxa"/>
              <w:bottom w:w="70" w:type="dxa"/>
              <w:right w:w="80" w:type="dxa"/>
            </w:tcMar>
            <w:vAlign w:val="center"/>
          </w:tcPr>
          <w:p w14:paraId="5E8DBCDF"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7E939F88" w14:textId="77777777" w:rsidR="00846FAB" w:rsidRDefault="00000000">
            <w:r>
              <w:rPr>
                <w:sz w:val="14"/>
              </w:rPr>
              <w:t>Correlate request/layer/token IDs across GPU, transport and NPU; expose queue time, bytes, errors, TTFT/TPOT and accepted throughput.</w:t>
            </w:r>
          </w:p>
        </w:tc>
        <w:tc>
          <w:tcPr>
            <w:tcW w:w="2951" w:type="dxa"/>
            <w:shd w:val="clear" w:color="auto" w:fill="F3F6F8"/>
            <w:tcMar>
              <w:top w:w="70" w:type="dxa"/>
              <w:left w:w="80" w:type="dxa"/>
              <w:bottom w:w="70" w:type="dxa"/>
              <w:right w:w="80" w:type="dxa"/>
            </w:tcMar>
            <w:vAlign w:val="center"/>
          </w:tcPr>
          <w:p w14:paraId="005C3386" w14:textId="77777777" w:rsidR="00846FAB" w:rsidRDefault="00000000">
            <w:r>
              <w:rPr>
                <w:sz w:val="14"/>
              </w:rPr>
              <w:t>Common schema so RTX, NVL and Helios results can be compared without changing definitions.</w:t>
            </w:r>
          </w:p>
        </w:tc>
        <w:tc>
          <w:tcPr>
            <w:tcW w:w="1224" w:type="dxa"/>
            <w:shd w:val="clear" w:color="auto" w:fill="F3F6F8"/>
            <w:vAlign w:val="center"/>
          </w:tcPr>
          <w:p w14:paraId="6C314C9B" w14:textId="77777777" w:rsidR="00846FAB" w:rsidRDefault="00000000">
            <w:r>
              <w:rPr>
                <w:sz w:val="14"/>
              </w:rPr>
              <w:t>Perf/validation</w:t>
            </w:r>
          </w:p>
        </w:tc>
      </w:tr>
      <w:tr w:rsidR="0085422C" w14:paraId="03F8E51D" w14:textId="77777777" w:rsidTr="002451E4">
        <w:trPr>
          <w:cantSplit/>
          <w:jc w:val="center"/>
        </w:trPr>
        <w:tc>
          <w:tcPr>
            <w:tcW w:w="1004" w:type="dxa"/>
            <w:tcMar>
              <w:top w:w="70" w:type="dxa"/>
              <w:left w:w="80" w:type="dxa"/>
              <w:bottom w:w="70" w:type="dxa"/>
              <w:right w:w="80" w:type="dxa"/>
            </w:tcMar>
            <w:vAlign w:val="center"/>
          </w:tcPr>
          <w:p w14:paraId="617A3962" w14:textId="77777777" w:rsidR="00846FAB" w:rsidRDefault="00000000">
            <w:r>
              <w:rPr>
                <w:sz w:val="14"/>
              </w:rPr>
              <w:t>Hardware</w:t>
            </w:r>
          </w:p>
        </w:tc>
        <w:tc>
          <w:tcPr>
            <w:tcW w:w="1228" w:type="dxa"/>
            <w:tcMar>
              <w:top w:w="70" w:type="dxa"/>
              <w:left w:w="80" w:type="dxa"/>
              <w:bottom w:w="70" w:type="dxa"/>
              <w:right w:w="80" w:type="dxa"/>
            </w:tcMar>
            <w:vAlign w:val="center"/>
          </w:tcPr>
          <w:p w14:paraId="28F847A9" w14:textId="77777777" w:rsidR="00846FAB" w:rsidRDefault="00000000">
            <w:r>
              <w:rPr>
                <w:sz w:val="14"/>
              </w:rPr>
              <w:t>ATMOS NPU + HBF/LPDDR path</w:t>
            </w:r>
          </w:p>
        </w:tc>
        <w:tc>
          <w:tcPr>
            <w:tcW w:w="604" w:type="dxa"/>
            <w:tcMar>
              <w:top w:w="70" w:type="dxa"/>
              <w:left w:w="80" w:type="dxa"/>
              <w:bottom w:w="70" w:type="dxa"/>
              <w:right w:w="80" w:type="dxa"/>
            </w:tcMar>
            <w:vAlign w:val="center"/>
          </w:tcPr>
          <w:p w14:paraId="57E1D6D0" w14:textId="77777777" w:rsidR="00846FAB" w:rsidRDefault="00000000">
            <w:r>
              <w:rPr>
                <w:sz w:val="14"/>
              </w:rPr>
              <w:t>V/M</w:t>
            </w:r>
          </w:p>
        </w:tc>
        <w:tc>
          <w:tcPr>
            <w:tcW w:w="3096" w:type="dxa"/>
            <w:tcMar>
              <w:top w:w="70" w:type="dxa"/>
              <w:left w:w="80" w:type="dxa"/>
              <w:bottom w:w="70" w:type="dxa"/>
              <w:right w:w="80" w:type="dxa"/>
            </w:tcMar>
            <w:vAlign w:val="center"/>
          </w:tcPr>
          <w:p w14:paraId="0DFAE127" w14:textId="77777777" w:rsidR="00846FAB" w:rsidRDefault="00000000">
            <w:r>
              <w:rPr>
                <w:sz w:val="14"/>
              </w:rPr>
              <w:t>Qualify exact routed-FFN shapes, precision, useful HBF delivery, LPDDR contention, tile/ring buffers, thermals and small-batch behavior.</w:t>
            </w:r>
          </w:p>
        </w:tc>
        <w:tc>
          <w:tcPr>
            <w:tcW w:w="2951" w:type="dxa"/>
            <w:tcMar>
              <w:top w:w="70" w:type="dxa"/>
              <w:left w:w="80" w:type="dxa"/>
              <w:bottom w:w="70" w:type="dxa"/>
              <w:right w:w="80" w:type="dxa"/>
            </w:tcMar>
            <w:vAlign w:val="center"/>
          </w:tcPr>
          <w:p w14:paraId="6C9C44BF" w14:textId="77777777" w:rsidR="00846FAB" w:rsidRDefault="00000000">
            <w:r>
              <w:rPr>
                <w:sz w:val="14"/>
              </w:rPr>
              <w:t>Independent of GPU vendor; service curve must be re-tested under each host/rack traffic pattern.</w:t>
            </w:r>
          </w:p>
        </w:tc>
        <w:tc>
          <w:tcPr>
            <w:tcW w:w="1224" w:type="dxa"/>
            <w:vAlign w:val="center"/>
          </w:tcPr>
          <w:p w14:paraId="42063A57" w14:textId="77777777" w:rsidR="00846FAB" w:rsidRDefault="00000000">
            <w:r>
              <w:rPr>
                <w:sz w:val="14"/>
              </w:rPr>
              <w:t>NPU + memory</w:t>
            </w:r>
          </w:p>
        </w:tc>
      </w:tr>
      <w:tr w:rsidR="0085422C" w14:paraId="1764F3D7" w14:textId="77777777" w:rsidTr="002451E4">
        <w:trPr>
          <w:cantSplit/>
          <w:jc w:val="center"/>
        </w:trPr>
        <w:tc>
          <w:tcPr>
            <w:tcW w:w="1004" w:type="dxa"/>
            <w:shd w:val="clear" w:color="auto" w:fill="F3F6F8"/>
            <w:tcMar>
              <w:top w:w="70" w:type="dxa"/>
              <w:left w:w="80" w:type="dxa"/>
              <w:bottom w:w="70" w:type="dxa"/>
              <w:right w:w="80" w:type="dxa"/>
            </w:tcMar>
            <w:vAlign w:val="center"/>
          </w:tcPr>
          <w:p w14:paraId="7E7A4447"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339A4138" w14:textId="77777777" w:rsidR="00846FAB" w:rsidRDefault="00000000">
            <w:r>
              <w:rPr>
                <w:sz w:val="14"/>
              </w:rPr>
              <w:t>PCIe endpoint / DMA</w:t>
            </w:r>
          </w:p>
        </w:tc>
        <w:tc>
          <w:tcPr>
            <w:tcW w:w="604" w:type="dxa"/>
            <w:shd w:val="clear" w:color="auto" w:fill="F3F6F8"/>
            <w:tcMar>
              <w:top w:w="70" w:type="dxa"/>
              <w:left w:w="80" w:type="dxa"/>
              <w:bottom w:w="70" w:type="dxa"/>
              <w:right w:w="80" w:type="dxa"/>
            </w:tcMar>
            <w:vAlign w:val="center"/>
          </w:tcPr>
          <w:p w14:paraId="3FC4CAB3"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7BA10832" w14:textId="77777777" w:rsidR="00846FAB" w:rsidRDefault="00000000">
            <w:r>
              <w:rPr>
                <w:sz w:val="14"/>
              </w:rPr>
              <w:t>Fix endpoint generation, address widths, MSI-X, registered buffers, DMA descriptors, ordering, completions and errors.</w:t>
            </w:r>
          </w:p>
        </w:tc>
        <w:tc>
          <w:tcPr>
            <w:tcW w:w="2951" w:type="dxa"/>
            <w:shd w:val="clear" w:color="auto" w:fill="F3F6F8"/>
            <w:tcMar>
              <w:top w:w="70" w:type="dxa"/>
              <w:left w:w="80" w:type="dxa"/>
              <w:bottom w:w="70" w:type="dxa"/>
              <w:right w:w="80" w:type="dxa"/>
            </w:tcMar>
            <w:vAlign w:val="center"/>
          </w:tcPr>
          <w:p w14:paraId="6BC457D4" w14:textId="77777777" w:rsidR="00846FAB" w:rsidRDefault="00000000">
            <w:r>
              <w:rPr>
                <w:sz w:val="14"/>
              </w:rPr>
              <w:t>Same endpoint contract; platform-specific root/IOMMU and host architecture are requalified.</w:t>
            </w:r>
          </w:p>
        </w:tc>
        <w:tc>
          <w:tcPr>
            <w:tcW w:w="1224" w:type="dxa"/>
            <w:shd w:val="clear" w:color="auto" w:fill="F3F6F8"/>
            <w:vAlign w:val="center"/>
          </w:tcPr>
          <w:p w14:paraId="666A4EFB" w14:textId="77777777" w:rsidR="00846FAB" w:rsidRDefault="00000000">
            <w:r>
              <w:rPr>
                <w:sz w:val="14"/>
              </w:rPr>
              <w:t>Silicon/FW</w:t>
            </w:r>
          </w:p>
        </w:tc>
      </w:tr>
      <w:tr w:rsidR="0085422C" w14:paraId="297828F5" w14:textId="77777777" w:rsidTr="002451E4">
        <w:trPr>
          <w:cantSplit/>
          <w:jc w:val="center"/>
        </w:trPr>
        <w:tc>
          <w:tcPr>
            <w:tcW w:w="1004" w:type="dxa"/>
            <w:tcMar>
              <w:top w:w="70" w:type="dxa"/>
              <w:left w:w="80" w:type="dxa"/>
              <w:bottom w:w="70" w:type="dxa"/>
              <w:right w:w="80" w:type="dxa"/>
            </w:tcMar>
            <w:vAlign w:val="center"/>
          </w:tcPr>
          <w:p w14:paraId="16EB2DDD" w14:textId="77777777" w:rsidR="00846FAB" w:rsidRDefault="00000000">
            <w:r>
              <w:rPr>
                <w:sz w:val="14"/>
              </w:rPr>
              <w:t>Hardware</w:t>
            </w:r>
          </w:p>
        </w:tc>
        <w:tc>
          <w:tcPr>
            <w:tcW w:w="1228" w:type="dxa"/>
            <w:tcMar>
              <w:top w:w="70" w:type="dxa"/>
              <w:left w:w="80" w:type="dxa"/>
              <w:bottom w:w="70" w:type="dxa"/>
              <w:right w:w="80" w:type="dxa"/>
            </w:tcMar>
            <w:vAlign w:val="center"/>
          </w:tcPr>
          <w:p w14:paraId="574B37F2" w14:textId="77777777" w:rsidR="00846FAB" w:rsidRDefault="00000000">
            <w:r>
              <w:rPr>
                <w:sz w:val="14"/>
              </w:rPr>
              <w:t>GPU-to-ATMOS transport</w:t>
            </w:r>
          </w:p>
        </w:tc>
        <w:tc>
          <w:tcPr>
            <w:tcW w:w="604" w:type="dxa"/>
            <w:tcMar>
              <w:top w:w="70" w:type="dxa"/>
              <w:left w:w="80" w:type="dxa"/>
              <w:bottom w:w="70" w:type="dxa"/>
              <w:right w:w="80" w:type="dxa"/>
            </w:tcMar>
            <w:vAlign w:val="center"/>
          </w:tcPr>
          <w:p w14:paraId="7BAE35BF" w14:textId="77777777" w:rsidR="00846FAB" w:rsidRDefault="00000000">
            <w:r>
              <w:rPr>
                <w:sz w:val="14"/>
              </w:rPr>
              <w:t>V/M</w:t>
            </w:r>
          </w:p>
        </w:tc>
        <w:tc>
          <w:tcPr>
            <w:tcW w:w="3096" w:type="dxa"/>
            <w:tcMar>
              <w:top w:w="70" w:type="dxa"/>
              <w:left w:w="80" w:type="dxa"/>
              <w:bottom w:w="70" w:type="dxa"/>
              <w:right w:w="80" w:type="dxa"/>
            </w:tcMar>
            <w:vAlign w:val="center"/>
          </w:tcPr>
          <w:p w14:paraId="6550E3BC" w14:textId="77777777" w:rsidR="00846FAB" w:rsidRDefault="00000000">
            <w:r>
              <w:rPr>
                <w:sz w:val="14"/>
              </w:rPr>
              <w:t>Host-staged pinned-memory path is the required baseline. Direct GPU-memory peer DMA is optional only through documented interfaces.</w:t>
            </w:r>
          </w:p>
        </w:tc>
        <w:tc>
          <w:tcPr>
            <w:tcW w:w="2951" w:type="dxa"/>
            <w:tcMar>
              <w:top w:w="70" w:type="dxa"/>
              <w:left w:w="80" w:type="dxa"/>
              <w:bottom w:w="70" w:type="dxa"/>
              <w:right w:w="80" w:type="dxa"/>
            </w:tcMar>
            <w:vAlign w:val="center"/>
          </w:tcPr>
          <w:p w14:paraId="6B3D8D2B" w14:textId="77777777" w:rsidR="00846FAB" w:rsidRDefault="00000000">
            <w:r>
              <w:rPr>
                <w:sz w:val="14"/>
              </w:rPr>
              <w:t>NVIDIA: public supported CUDA/driver path only.</w:t>
            </w:r>
            <w:r>
              <w:rPr>
                <w:sz w:val="14"/>
              </w:rPr>
              <w:br/>
              <w:t>AMD: public/open ROCm/HIP/amdgpu path only. No proprietary patch dependency.</w:t>
            </w:r>
          </w:p>
        </w:tc>
        <w:tc>
          <w:tcPr>
            <w:tcW w:w="1224" w:type="dxa"/>
            <w:vAlign w:val="center"/>
          </w:tcPr>
          <w:p w14:paraId="335D9DB6" w14:textId="77777777" w:rsidR="00846FAB" w:rsidRDefault="00000000">
            <w:r>
              <w:rPr>
                <w:sz w:val="14"/>
              </w:rPr>
              <w:t>Sandisk + OEM</w:t>
            </w:r>
          </w:p>
        </w:tc>
      </w:tr>
      <w:tr w:rsidR="0085422C" w14:paraId="7E27028C" w14:textId="77777777" w:rsidTr="002451E4">
        <w:trPr>
          <w:cantSplit/>
          <w:jc w:val="center"/>
        </w:trPr>
        <w:tc>
          <w:tcPr>
            <w:tcW w:w="1004" w:type="dxa"/>
            <w:shd w:val="clear" w:color="auto" w:fill="F3F6F8"/>
            <w:tcMar>
              <w:top w:w="70" w:type="dxa"/>
              <w:left w:w="80" w:type="dxa"/>
              <w:bottom w:w="70" w:type="dxa"/>
              <w:right w:w="80" w:type="dxa"/>
            </w:tcMar>
            <w:vAlign w:val="center"/>
          </w:tcPr>
          <w:p w14:paraId="01C810AE"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7334963C" w14:textId="77777777" w:rsidR="00846FAB" w:rsidRDefault="00000000">
            <w:r>
              <w:rPr>
                <w:sz w:val="14"/>
              </w:rPr>
              <w:t>Native GPU scale-up fabric</w:t>
            </w:r>
          </w:p>
        </w:tc>
        <w:tc>
          <w:tcPr>
            <w:tcW w:w="604" w:type="dxa"/>
            <w:shd w:val="clear" w:color="auto" w:fill="F3F6F8"/>
            <w:tcMar>
              <w:top w:w="70" w:type="dxa"/>
              <w:left w:w="80" w:type="dxa"/>
              <w:bottom w:w="70" w:type="dxa"/>
              <w:right w:w="80" w:type="dxa"/>
            </w:tcMar>
            <w:vAlign w:val="center"/>
          </w:tcPr>
          <w:p w14:paraId="43747063"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650868A5" w14:textId="77777777" w:rsidR="00846FAB" w:rsidRDefault="00000000">
            <w:r>
              <w:rPr>
                <w:sz w:val="14"/>
              </w:rPr>
              <w:t>Preserve the rack GPU fabric; ATMOS does not masquerade as a native GPU-fabric endpoint.</w:t>
            </w:r>
          </w:p>
        </w:tc>
        <w:tc>
          <w:tcPr>
            <w:tcW w:w="2951" w:type="dxa"/>
            <w:shd w:val="clear" w:color="auto" w:fill="F3F6F8"/>
            <w:tcMar>
              <w:top w:w="70" w:type="dxa"/>
              <w:left w:w="80" w:type="dxa"/>
              <w:bottom w:w="70" w:type="dxa"/>
              <w:right w:w="80" w:type="dxa"/>
            </w:tcMar>
            <w:vAlign w:val="center"/>
          </w:tcPr>
          <w:p w14:paraId="0EA36440" w14:textId="77777777" w:rsidR="00846FAB" w:rsidRDefault="00000000">
            <w:r>
              <w:rPr>
                <w:sz w:val="14"/>
              </w:rPr>
              <w:t>NVIDIA: do not modify NVLink/NVSwitch domain.</w:t>
            </w:r>
            <w:r>
              <w:rPr>
                <w:sz w:val="14"/>
              </w:rPr>
              <w:br/>
              <w:t>AMD: do not modify UALink domain.</w:t>
            </w:r>
          </w:p>
        </w:tc>
        <w:tc>
          <w:tcPr>
            <w:tcW w:w="1224" w:type="dxa"/>
            <w:shd w:val="clear" w:color="auto" w:fill="F3F6F8"/>
            <w:vAlign w:val="center"/>
          </w:tcPr>
          <w:p w14:paraId="2D49AAB7" w14:textId="77777777" w:rsidR="00846FAB" w:rsidRDefault="00000000">
            <w:r>
              <w:rPr>
                <w:sz w:val="14"/>
              </w:rPr>
              <w:t>OEM/platform</w:t>
            </w:r>
          </w:p>
        </w:tc>
      </w:tr>
      <w:tr w:rsidR="0085422C" w14:paraId="401DA61C" w14:textId="77777777" w:rsidTr="002451E4">
        <w:trPr>
          <w:cantSplit/>
          <w:jc w:val="center"/>
        </w:trPr>
        <w:tc>
          <w:tcPr>
            <w:tcW w:w="1004" w:type="dxa"/>
            <w:tcMar>
              <w:top w:w="70" w:type="dxa"/>
              <w:left w:w="80" w:type="dxa"/>
              <w:bottom w:w="70" w:type="dxa"/>
              <w:right w:w="80" w:type="dxa"/>
            </w:tcMar>
            <w:vAlign w:val="center"/>
          </w:tcPr>
          <w:p w14:paraId="3999AD6B" w14:textId="77777777" w:rsidR="00846FAB" w:rsidRDefault="00000000">
            <w:r>
              <w:rPr>
                <w:sz w:val="14"/>
              </w:rPr>
              <w:t>Hardware</w:t>
            </w:r>
          </w:p>
        </w:tc>
        <w:tc>
          <w:tcPr>
            <w:tcW w:w="1228" w:type="dxa"/>
            <w:tcMar>
              <w:top w:w="70" w:type="dxa"/>
              <w:left w:w="80" w:type="dxa"/>
              <w:bottom w:w="70" w:type="dxa"/>
              <w:right w:w="80" w:type="dxa"/>
            </w:tcMar>
            <w:vAlign w:val="center"/>
          </w:tcPr>
          <w:p w14:paraId="579EC5C0" w14:textId="77777777" w:rsidR="00846FAB" w:rsidRDefault="00000000">
            <w:r>
              <w:rPr>
                <w:sz w:val="14"/>
              </w:rPr>
              <w:t>Switch / backplane</w:t>
            </w:r>
          </w:p>
        </w:tc>
        <w:tc>
          <w:tcPr>
            <w:tcW w:w="604" w:type="dxa"/>
            <w:tcMar>
              <w:top w:w="70" w:type="dxa"/>
              <w:left w:w="80" w:type="dxa"/>
              <w:bottom w:w="70" w:type="dxa"/>
              <w:right w:w="80" w:type="dxa"/>
            </w:tcMar>
            <w:vAlign w:val="center"/>
          </w:tcPr>
          <w:p w14:paraId="01153577" w14:textId="77777777" w:rsidR="00846FAB" w:rsidRDefault="00000000">
            <w:r>
              <w:rPr>
                <w:sz w:val="14"/>
              </w:rPr>
              <w:t>V/M</w:t>
            </w:r>
          </w:p>
        </w:tc>
        <w:tc>
          <w:tcPr>
            <w:tcW w:w="3096" w:type="dxa"/>
            <w:tcMar>
              <w:top w:w="70" w:type="dxa"/>
              <w:left w:w="80" w:type="dxa"/>
              <w:bottom w:w="70" w:type="dxa"/>
              <w:right w:w="80" w:type="dxa"/>
            </w:tcMar>
            <w:vAlign w:val="center"/>
          </w:tcPr>
          <w:p w14:paraId="25B0BA20" w14:textId="77777777" w:rsidR="00846FAB" w:rsidRDefault="00000000">
            <w:r>
              <w:rPr>
                <w:sz w:val="14"/>
              </w:rPr>
              <w:t>Qualify selected Gen5 switch, x16+8×x4 map, cables/retimers, ACS/IOMMU/DPC, diagnostics and reset containment.</w:t>
            </w:r>
          </w:p>
        </w:tc>
        <w:tc>
          <w:tcPr>
            <w:tcW w:w="2951" w:type="dxa"/>
            <w:tcMar>
              <w:top w:w="70" w:type="dxa"/>
              <w:left w:w="80" w:type="dxa"/>
              <w:bottom w:w="70" w:type="dxa"/>
              <w:right w:w="80" w:type="dxa"/>
            </w:tcMar>
            <w:vAlign w:val="center"/>
          </w:tcPr>
          <w:p w14:paraId="07E11155" w14:textId="77777777" w:rsidR="00846FAB" w:rsidRDefault="00000000">
            <w:r>
              <w:rPr>
                <w:sz w:val="14"/>
              </w:rPr>
              <w:t>Common ATMOS subsystem; exact upstream/root connection is different on RTX, NVL and Helios.</w:t>
            </w:r>
          </w:p>
        </w:tc>
        <w:tc>
          <w:tcPr>
            <w:tcW w:w="1224" w:type="dxa"/>
            <w:vAlign w:val="center"/>
          </w:tcPr>
          <w:p w14:paraId="60628F3B" w14:textId="77777777" w:rsidR="00846FAB" w:rsidRDefault="00000000">
            <w:r>
              <w:rPr>
                <w:sz w:val="14"/>
              </w:rPr>
              <w:t>OEM + switch FAE</w:t>
            </w:r>
          </w:p>
        </w:tc>
      </w:tr>
      <w:tr w:rsidR="0085422C" w14:paraId="479AADD7" w14:textId="77777777" w:rsidTr="002451E4">
        <w:trPr>
          <w:cantSplit/>
          <w:jc w:val="center"/>
        </w:trPr>
        <w:tc>
          <w:tcPr>
            <w:tcW w:w="1004" w:type="dxa"/>
            <w:shd w:val="clear" w:color="auto" w:fill="F3F6F8"/>
            <w:tcMar>
              <w:top w:w="70" w:type="dxa"/>
              <w:left w:w="80" w:type="dxa"/>
              <w:bottom w:w="70" w:type="dxa"/>
              <w:right w:w="80" w:type="dxa"/>
            </w:tcMar>
            <w:vAlign w:val="center"/>
          </w:tcPr>
          <w:p w14:paraId="4C7A4FF8"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0B5AC818" w14:textId="77777777" w:rsidR="00846FAB" w:rsidRDefault="00000000">
            <w:r>
              <w:rPr>
                <w:sz w:val="14"/>
              </w:rPr>
              <w:t>Server / rack envelope</w:t>
            </w:r>
          </w:p>
        </w:tc>
        <w:tc>
          <w:tcPr>
            <w:tcW w:w="604" w:type="dxa"/>
            <w:shd w:val="clear" w:color="auto" w:fill="F3F6F8"/>
            <w:tcMar>
              <w:top w:w="70" w:type="dxa"/>
              <w:left w:w="80" w:type="dxa"/>
              <w:bottom w:w="70" w:type="dxa"/>
              <w:right w:w="80" w:type="dxa"/>
            </w:tcMar>
            <w:vAlign w:val="center"/>
          </w:tcPr>
          <w:p w14:paraId="34BB02E2"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056A5A7E" w14:textId="77777777" w:rsidR="00846FAB" w:rsidRDefault="00000000">
            <w:r>
              <w:rPr>
                <w:sz w:val="14"/>
              </w:rPr>
              <w:t>Preserve GPU/NIC service, account for displaced storage, mixed-load power, cooling, BMC telemetry, serviceability and failure coupling.</w:t>
            </w:r>
          </w:p>
        </w:tc>
        <w:tc>
          <w:tcPr>
            <w:tcW w:w="2951" w:type="dxa"/>
            <w:shd w:val="clear" w:color="auto" w:fill="F3F6F8"/>
            <w:tcMar>
              <w:top w:w="70" w:type="dxa"/>
              <w:left w:w="80" w:type="dxa"/>
              <w:bottom w:w="70" w:type="dxa"/>
              <w:right w:w="80" w:type="dxa"/>
            </w:tcMar>
            <w:vAlign w:val="center"/>
          </w:tcPr>
          <w:p w14:paraId="5C1E44B3" w14:textId="77777777" w:rsidR="00846FAB" w:rsidRDefault="00000000">
            <w:r>
              <w:rPr>
                <w:sz w:val="14"/>
              </w:rPr>
              <w:t>NVIDIA: NVL OEM/Grace/Vera host path.</w:t>
            </w:r>
            <w:r>
              <w:rPr>
                <w:sz w:val="14"/>
              </w:rPr>
              <w:br/>
              <w:t>AMD: Helios ORW/EPYC Venice/OEM path.</w:t>
            </w:r>
          </w:p>
        </w:tc>
        <w:tc>
          <w:tcPr>
            <w:tcW w:w="1224" w:type="dxa"/>
            <w:shd w:val="clear" w:color="auto" w:fill="F3F6F8"/>
            <w:vAlign w:val="center"/>
          </w:tcPr>
          <w:p w14:paraId="103E7852" w14:textId="77777777" w:rsidR="00846FAB" w:rsidRDefault="00000000">
            <w:r>
              <w:rPr>
                <w:sz w:val="14"/>
              </w:rPr>
              <w:t>OEM engineering</w:t>
            </w:r>
          </w:p>
        </w:tc>
      </w:tr>
      <w:tr w:rsidR="0085422C" w14:paraId="0E0D4087" w14:textId="77777777" w:rsidTr="002451E4">
        <w:trPr>
          <w:cantSplit/>
          <w:jc w:val="center"/>
        </w:trPr>
        <w:tc>
          <w:tcPr>
            <w:tcW w:w="1004" w:type="dxa"/>
            <w:tcMar>
              <w:top w:w="70" w:type="dxa"/>
              <w:left w:w="80" w:type="dxa"/>
              <w:bottom w:w="70" w:type="dxa"/>
              <w:right w:w="80" w:type="dxa"/>
            </w:tcMar>
            <w:vAlign w:val="center"/>
          </w:tcPr>
          <w:p w14:paraId="140BF8F6" w14:textId="77777777" w:rsidR="00846FAB" w:rsidRDefault="00000000">
            <w:r>
              <w:rPr>
                <w:sz w:val="14"/>
              </w:rPr>
              <w:t>Product</w:t>
            </w:r>
          </w:p>
        </w:tc>
        <w:tc>
          <w:tcPr>
            <w:tcW w:w="1228" w:type="dxa"/>
            <w:tcMar>
              <w:top w:w="70" w:type="dxa"/>
              <w:left w:w="80" w:type="dxa"/>
              <w:bottom w:w="70" w:type="dxa"/>
              <w:right w:w="80" w:type="dxa"/>
            </w:tcMar>
            <w:vAlign w:val="center"/>
          </w:tcPr>
          <w:p w14:paraId="2A5A9F67" w14:textId="77777777" w:rsidR="00846FAB" w:rsidRDefault="00000000">
            <w:r>
              <w:rPr>
                <w:sz w:val="14"/>
              </w:rPr>
              <w:t>Compatibility manifest</w:t>
            </w:r>
          </w:p>
        </w:tc>
        <w:tc>
          <w:tcPr>
            <w:tcW w:w="604" w:type="dxa"/>
            <w:tcMar>
              <w:top w:w="70" w:type="dxa"/>
              <w:left w:w="80" w:type="dxa"/>
              <w:bottom w:w="70" w:type="dxa"/>
              <w:right w:w="80" w:type="dxa"/>
            </w:tcMar>
            <w:vAlign w:val="center"/>
          </w:tcPr>
          <w:p w14:paraId="71A2086F" w14:textId="77777777" w:rsidR="00846FAB" w:rsidRDefault="00000000">
            <w:r>
              <w:rPr>
                <w:sz w:val="14"/>
              </w:rPr>
              <w:t>N</w:t>
            </w:r>
          </w:p>
        </w:tc>
        <w:tc>
          <w:tcPr>
            <w:tcW w:w="3096" w:type="dxa"/>
            <w:tcMar>
              <w:top w:w="70" w:type="dxa"/>
              <w:left w:w="80" w:type="dxa"/>
              <w:bottom w:w="70" w:type="dxa"/>
              <w:right w:w="80" w:type="dxa"/>
            </w:tcMar>
            <w:vAlign w:val="center"/>
          </w:tcPr>
          <w:p w14:paraId="702A783E" w14:textId="77777777" w:rsidR="00846FAB" w:rsidRDefault="00000000">
            <w:r>
              <w:rPr>
                <w:sz w:val="14"/>
              </w:rPr>
              <w:t>Bind ATMOS hardware/firmware, switch, OS, vLLM, model/pack hashes, Kubernetes, workload envelope and known limits.</w:t>
            </w:r>
          </w:p>
        </w:tc>
        <w:tc>
          <w:tcPr>
            <w:tcW w:w="2951" w:type="dxa"/>
            <w:tcMar>
              <w:top w:w="70" w:type="dxa"/>
              <w:left w:w="80" w:type="dxa"/>
              <w:bottom w:w="70" w:type="dxa"/>
              <w:right w:w="80" w:type="dxa"/>
            </w:tcMar>
            <w:vAlign w:val="center"/>
          </w:tcPr>
          <w:p w14:paraId="2853CE59" w14:textId="77777777" w:rsidR="00846FAB" w:rsidRDefault="00000000">
            <w:r>
              <w:rPr>
                <w:sz w:val="14"/>
              </w:rPr>
              <w:t>Separate qualified manifests for RTX development vehicle, NVIDIA NVL and AMD Helios.</w:t>
            </w:r>
          </w:p>
        </w:tc>
        <w:tc>
          <w:tcPr>
            <w:tcW w:w="1224" w:type="dxa"/>
            <w:vAlign w:val="center"/>
          </w:tcPr>
          <w:p w14:paraId="321FEE7F" w14:textId="77777777" w:rsidR="00846FAB" w:rsidRDefault="00000000">
            <w:r>
              <w:rPr>
                <w:sz w:val="14"/>
              </w:rPr>
              <w:t>Sandisk release</w:t>
            </w:r>
          </w:p>
        </w:tc>
      </w:tr>
      <w:tr w:rsidR="00846FAB" w14:paraId="60041DFB" w14:textId="77777777" w:rsidTr="002451E4">
        <w:trPr>
          <w:jc w:val="center"/>
        </w:trPr>
        <w:tc>
          <w:tcPr>
            <w:tcW w:w="1004" w:type="dxa"/>
            <w:shd w:val="clear" w:color="auto" w:fill="F3F6F8"/>
            <w:vAlign w:val="center"/>
          </w:tcPr>
          <w:p w14:paraId="2D712BF9" w14:textId="77777777" w:rsidR="00846FAB" w:rsidRDefault="00000000">
            <w:r>
              <w:rPr>
                <w:sz w:val="14"/>
              </w:rPr>
              <w:t>Product</w:t>
            </w:r>
          </w:p>
        </w:tc>
        <w:tc>
          <w:tcPr>
            <w:tcW w:w="1228" w:type="dxa"/>
            <w:shd w:val="clear" w:color="auto" w:fill="F3F6F8"/>
            <w:vAlign w:val="center"/>
          </w:tcPr>
          <w:p w14:paraId="69B0BA62" w14:textId="77777777" w:rsidR="00846FAB" w:rsidRDefault="00000000">
            <w:r>
              <w:rPr>
                <w:sz w:val="14"/>
              </w:rPr>
              <w:t>Economic / support contract</w:t>
            </w:r>
          </w:p>
        </w:tc>
        <w:tc>
          <w:tcPr>
            <w:tcW w:w="604" w:type="dxa"/>
            <w:shd w:val="clear" w:color="auto" w:fill="F3F6F8"/>
            <w:vAlign w:val="center"/>
          </w:tcPr>
          <w:p w14:paraId="3BEB3405" w14:textId="77777777" w:rsidR="00846FAB" w:rsidRDefault="00000000">
            <w:r>
              <w:rPr>
                <w:sz w:val="14"/>
              </w:rPr>
              <w:t>N</w:t>
            </w:r>
          </w:p>
        </w:tc>
        <w:tc>
          <w:tcPr>
            <w:tcW w:w="3096" w:type="dxa"/>
            <w:shd w:val="clear" w:color="auto" w:fill="F3F6F8"/>
            <w:vAlign w:val="center"/>
          </w:tcPr>
          <w:p w14:paraId="4937654E" w14:textId="77777777" w:rsidR="00846FAB" w:rsidRDefault="00000000">
            <w:r>
              <w:rPr>
                <w:sz w:val="14"/>
              </w:rPr>
              <w:t>Report qualified service rate, SLO, failure reserve, avoidable GPU/rack cost and one accountable support route.</w:t>
            </w:r>
          </w:p>
        </w:tc>
        <w:tc>
          <w:tcPr>
            <w:tcW w:w="2951" w:type="dxa"/>
            <w:shd w:val="clear" w:color="auto" w:fill="F3F6F8"/>
            <w:vAlign w:val="center"/>
          </w:tcPr>
          <w:p w14:paraId="6D3631BB" w14:textId="77777777" w:rsidR="00846FAB" w:rsidRDefault="00000000">
            <w:r>
              <w:rPr>
                <w:sz w:val="14"/>
              </w:rPr>
              <w:t>ROI is earned separately per platform; RTX economics are not transferred to rack scale.</w:t>
            </w:r>
          </w:p>
        </w:tc>
        <w:tc>
          <w:tcPr>
            <w:tcW w:w="1224" w:type="dxa"/>
            <w:shd w:val="clear" w:color="auto" w:fill="F3F6F8"/>
            <w:vAlign w:val="center"/>
          </w:tcPr>
          <w:p w14:paraId="531ECF50" w14:textId="77777777" w:rsidR="00846FAB" w:rsidRDefault="00000000">
            <w:r>
              <w:rPr>
                <w:sz w:val="14"/>
              </w:rPr>
              <w:t>Product + SA</w:t>
            </w:r>
          </w:p>
        </w:tc>
      </w:tr>
    </w:tbl>
    <w:p w14:paraId="18FF11EF" w14:textId="77777777" w:rsidR="0085422C" w:rsidRDefault="0085422C">
      <w:pPr>
        <w:spacing w:after="20"/>
      </w:pPr>
    </w:p>
    <w:p w14:paraId="4F46DB74" w14:textId="77777777" w:rsidR="0085422C" w:rsidRDefault="00000000">
      <w:pPr>
        <w:keepNext/>
        <w:spacing w:before="60" w:after="60"/>
      </w:pPr>
      <w:r>
        <w:rPr>
          <w:b/>
          <w:color w:val="16324F"/>
          <w:sz w:val="25"/>
        </w:rPr>
        <w:t>Definition of done for Part II</w:t>
      </w:r>
    </w:p>
    <w:p w14:paraId="6C5DCC2D" w14:textId="77777777" w:rsidR="0085422C" w:rsidRDefault="00000000">
      <w:pPr>
        <w:spacing w:after="100" w:line="259" w:lineRule="auto"/>
      </w:pPr>
      <w:r>
        <w:rPr>
          <w:sz w:val="18"/>
        </w:rPr>
        <w:t>The common expert ABI, vLLM adapter, ATMOS runtime/driver and switched E3.S subsystem must first operate as a reproducible RTX development vehicle while preserving model quality and the required TTFT/TPOT. Product completion requires the same logical contract to pass on at least one named rack-scale target — NVIDIA NVL or AMD Helios — using the stock GPU stack, a qualified physical route and a measured economic benefit. The two rack platforms are released independently.</w:t>
      </w:r>
    </w:p>
    <w:p w14:paraId="656ECEC9" w14:textId="77777777" w:rsidR="0085422C" w:rsidRDefault="0085422C">
      <w:pPr>
        <w:spacing w:after="20"/>
      </w:pPr>
    </w:p>
    <w:p w14:paraId="66FFD932" w14:textId="77777777" w:rsidR="0085422C" w:rsidRDefault="0085422C"/>
    <w:p w14:paraId="003C4DC0" w14:textId="255B24EE" w:rsidR="0085422C" w:rsidRPr="005A5290" w:rsidRDefault="005835B4" w:rsidP="005A5290">
      <w:pPr>
        <w:rPr>
          <w:b/>
          <w:color w:val="16324F"/>
          <w:sz w:val="36"/>
        </w:rPr>
      </w:pPr>
      <w:r>
        <w:rPr>
          <w:b/>
          <w:color w:val="16324F"/>
          <w:sz w:val="36"/>
        </w:rPr>
        <w:t>Part III — Break-even model: illustrative RTX calibration and rack-scale translation</w:t>
      </w:r>
    </w:p>
    <w:p w14:paraId="247F7886" w14:textId="77777777" w:rsidR="0085422C" w:rsidRDefault="00000000">
      <w:pPr>
        <w:spacing w:after="100" w:line="259" w:lineRule="auto"/>
      </w:pPr>
      <w:r>
        <w:t>The following scenario remains intentionally concrete, but it is now used as an RTX development vehicle calibration case rather than the final production sizing. It shows how the heterogeneous expert architecture could create measurable headroom with ~235B and ~671B MoE classes. Once the MVP is measured, the same demand, model quality and latency contract is replayed against NVIDIA NVL and AMD Helios using their own GPU memory, scale-up fabric, rack topology and service rate.</w:t>
      </w:r>
    </w:p>
    <w:p w14:paraId="493F61E1" w14:textId="77777777" w:rsidR="0085422C" w:rsidRDefault="00000000">
      <w:pPr>
        <w:keepNext/>
        <w:spacing w:before="60" w:after="60"/>
      </w:pPr>
      <w:r>
        <w:rPr>
          <w:rFonts w:eastAsia="Noto Sans"/>
          <w:b/>
          <w:color w:val="16324F"/>
          <w:sz w:val="25"/>
        </w:rPr>
        <w:t>Scenario demand</w:t>
      </w:r>
    </w:p>
    <w:tbl>
      <w:tblPr>
        <w:tblStyle w:val="TableGrid"/>
        <w:tblW w:w="0" w:type="auto"/>
        <w:jc w:val="center"/>
        <w:tblLayout w:type="fixed"/>
        <w:tblLook w:val="04A0" w:firstRow="1" w:lastRow="0" w:firstColumn="1" w:lastColumn="0" w:noHBand="0" w:noVBand="1"/>
      </w:tblPr>
      <w:tblGrid>
        <w:gridCol w:w="2088"/>
        <w:gridCol w:w="7704"/>
      </w:tblGrid>
      <w:tr w:rsidR="0085422C" w14:paraId="692BFC0D" w14:textId="77777777">
        <w:trPr>
          <w:tblHeader/>
          <w:jc w:val="center"/>
        </w:trPr>
        <w:tc>
          <w:tcPr>
            <w:tcW w:w="2088" w:type="dxa"/>
            <w:shd w:val="clear" w:color="auto" w:fill="16324F"/>
            <w:tcMar>
              <w:top w:w="80" w:type="dxa"/>
              <w:left w:w="90" w:type="dxa"/>
              <w:bottom w:w="80" w:type="dxa"/>
              <w:right w:w="90" w:type="dxa"/>
            </w:tcMar>
            <w:vAlign w:val="center"/>
          </w:tcPr>
          <w:p w14:paraId="1F9ADB9E" w14:textId="77777777" w:rsidR="0085422C" w:rsidRDefault="00000000">
            <w:r>
              <w:rPr>
                <w:rFonts w:eastAsia="Noto Sans"/>
                <w:b/>
                <w:color w:val="FFFFFF"/>
                <w:sz w:val="16"/>
              </w:rPr>
              <w:t>Input</w:t>
            </w:r>
          </w:p>
        </w:tc>
        <w:tc>
          <w:tcPr>
            <w:tcW w:w="7704" w:type="dxa"/>
            <w:shd w:val="clear" w:color="auto" w:fill="16324F"/>
            <w:tcMar>
              <w:top w:w="80" w:type="dxa"/>
              <w:left w:w="90" w:type="dxa"/>
              <w:bottom w:w="80" w:type="dxa"/>
              <w:right w:w="90" w:type="dxa"/>
            </w:tcMar>
            <w:vAlign w:val="center"/>
          </w:tcPr>
          <w:p w14:paraId="12E7FEF0" w14:textId="77777777" w:rsidR="0085422C" w:rsidRDefault="00000000">
            <w:r>
              <w:rPr>
                <w:rFonts w:eastAsia="Noto Sans"/>
                <w:b/>
                <w:color w:val="FFFFFF"/>
                <w:sz w:val="16"/>
              </w:rPr>
              <w:t>Assumption</w:t>
            </w:r>
          </w:p>
        </w:tc>
      </w:tr>
      <w:tr w:rsidR="0085422C" w14:paraId="017B5DBF" w14:textId="77777777">
        <w:trPr>
          <w:cantSplit/>
          <w:jc w:val="center"/>
        </w:trPr>
        <w:tc>
          <w:tcPr>
            <w:tcW w:w="2088" w:type="dxa"/>
            <w:tcMar>
              <w:top w:w="70" w:type="dxa"/>
              <w:left w:w="80" w:type="dxa"/>
              <w:bottom w:w="70" w:type="dxa"/>
              <w:right w:w="80" w:type="dxa"/>
            </w:tcMar>
          </w:tcPr>
          <w:p w14:paraId="577167C5" w14:textId="77777777" w:rsidR="0085422C" w:rsidRDefault="00000000">
            <w:r>
              <w:rPr>
                <w:rFonts w:eastAsia="Noto Sans"/>
                <w:b/>
                <w:color w:val="24313D"/>
                <w:sz w:val="16"/>
              </w:rPr>
              <w:t>User scale</w:t>
            </w:r>
          </w:p>
        </w:tc>
        <w:tc>
          <w:tcPr>
            <w:tcW w:w="7704" w:type="dxa"/>
            <w:tcMar>
              <w:top w:w="70" w:type="dxa"/>
              <w:left w:w="80" w:type="dxa"/>
              <w:bottom w:w="70" w:type="dxa"/>
              <w:right w:w="80" w:type="dxa"/>
            </w:tcMar>
          </w:tcPr>
          <w:p w14:paraId="34A6E3BB" w14:textId="77777777" w:rsidR="0085422C" w:rsidRDefault="00000000">
            <w:r>
              <w:rPr>
                <w:rFonts w:eastAsia="Noto Sans"/>
                <w:color w:val="24313D"/>
                <w:sz w:val="16"/>
              </w:rPr>
              <w:t>60,000 active-user population; assume 40% active on a selected day.</w:t>
            </w:r>
          </w:p>
        </w:tc>
      </w:tr>
      <w:tr w:rsidR="0085422C" w14:paraId="394BCBDD" w14:textId="77777777">
        <w:trPr>
          <w:cantSplit/>
          <w:jc w:val="center"/>
        </w:trPr>
        <w:tc>
          <w:tcPr>
            <w:tcW w:w="2088" w:type="dxa"/>
            <w:shd w:val="clear" w:color="auto" w:fill="F6F8FA"/>
            <w:tcMar>
              <w:top w:w="70" w:type="dxa"/>
              <w:left w:w="80" w:type="dxa"/>
              <w:bottom w:w="70" w:type="dxa"/>
              <w:right w:w="80" w:type="dxa"/>
            </w:tcMar>
          </w:tcPr>
          <w:p w14:paraId="74C80F92" w14:textId="77777777" w:rsidR="0085422C" w:rsidRDefault="00000000">
            <w:r>
              <w:rPr>
                <w:rFonts w:eastAsia="Noto Sans"/>
                <w:b/>
                <w:color w:val="24313D"/>
                <w:sz w:val="16"/>
              </w:rPr>
              <w:t>Daily calls</w:t>
            </w:r>
          </w:p>
        </w:tc>
        <w:tc>
          <w:tcPr>
            <w:tcW w:w="7704" w:type="dxa"/>
            <w:shd w:val="clear" w:color="auto" w:fill="F6F8FA"/>
            <w:tcMar>
              <w:top w:w="70" w:type="dxa"/>
              <w:left w:w="80" w:type="dxa"/>
              <w:bottom w:w="70" w:type="dxa"/>
              <w:right w:w="80" w:type="dxa"/>
            </w:tcMar>
          </w:tcPr>
          <w:p w14:paraId="3A0A542B" w14:textId="77777777" w:rsidR="0085422C" w:rsidRDefault="00000000">
            <w:r>
              <w:rPr>
                <w:rFonts w:eastAsia="Noto Sans"/>
                <w:color w:val="24313D"/>
                <w:sz w:val="16"/>
              </w:rPr>
              <w:t>10 model calls per active user → 240,000 calls/day.</w:t>
            </w:r>
          </w:p>
        </w:tc>
      </w:tr>
      <w:tr w:rsidR="0085422C" w14:paraId="16AF6F2D" w14:textId="77777777">
        <w:trPr>
          <w:cantSplit/>
          <w:jc w:val="center"/>
        </w:trPr>
        <w:tc>
          <w:tcPr>
            <w:tcW w:w="2088" w:type="dxa"/>
            <w:tcMar>
              <w:top w:w="70" w:type="dxa"/>
              <w:left w:w="80" w:type="dxa"/>
              <w:bottom w:w="70" w:type="dxa"/>
              <w:right w:w="80" w:type="dxa"/>
            </w:tcMar>
          </w:tcPr>
          <w:p w14:paraId="2BD8B9C0" w14:textId="77777777" w:rsidR="0085422C" w:rsidRDefault="00000000">
            <w:r>
              <w:rPr>
                <w:rFonts w:eastAsia="Noto Sans"/>
                <w:b/>
                <w:color w:val="24313D"/>
                <w:sz w:val="16"/>
              </w:rPr>
              <w:t>Service window</w:t>
            </w:r>
          </w:p>
        </w:tc>
        <w:tc>
          <w:tcPr>
            <w:tcW w:w="7704" w:type="dxa"/>
            <w:tcMar>
              <w:top w:w="70" w:type="dxa"/>
              <w:left w:w="80" w:type="dxa"/>
              <w:bottom w:w="70" w:type="dxa"/>
              <w:right w:w="80" w:type="dxa"/>
            </w:tcMar>
          </w:tcPr>
          <w:p w14:paraId="345AB3C5" w14:textId="77777777" w:rsidR="0085422C" w:rsidRDefault="00000000">
            <w:r>
              <w:rPr>
                <w:rFonts w:eastAsia="Noto Sans"/>
                <w:color w:val="24313D"/>
                <w:sz w:val="16"/>
              </w:rPr>
              <w:t>8-hour concentrated business window → 8.33 calls/s mean.</w:t>
            </w:r>
          </w:p>
        </w:tc>
      </w:tr>
      <w:tr w:rsidR="0085422C" w14:paraId="1934235C" w14:textId="77777777">
        <w:trPr>
          <w:cantSplit/>
          <w:jc w:val="center"/>
        </w:trPr>
        <w:tc>
          <w:tcPr>
            <w:tcW w:w="2088" w:type="dxa"/>
            <w:shd w:val="clear" w:color="auto" w:fill="F6F8FA"/>
            <w:tcMar>
              <w:top w:w="70" w:type="dxa"/>
              <w:left w:w="80" w:type="dxa"/>
              <w:bottom w:w="70" w:type="dxa"/>
              <w:right w:w="80" w:type="dxa"/>
            </w:tcMar>
          </w:tcPr>
          <w:p w14:paraId="6348C652" w14:textId="77777777" w:rsidR="0085422C" w:rsidRDefault="00000000">
            <w:r>
              <w:rPr>
                <w:rFonts w:eastAsia="Noto Sans"/>
                <w:b/>
                <w:color w:val="24313D"/>
                <w:sz w:val="16"/>
              </w:rPr>
              <w:t>Peak factor</w:t>
            </w:r>
          </w:p>
        </w:tc>
        <w:tc>
          <w:tcPr>
            <w:tcW w:w="7704" w:type="dxa"/>
            <w:shd w:val="clear" w:color="auto" w:fill="F6F8FA"/>
            <w:tcMar>
              <w:top w:w="70" w:type="dxa"/>
              <w:left w:w="80" w:type="dxa"/>
              <w:bottom w:w="70" w:type="dxa"/>
              <w:right w:w="80" w:type="dxa"/>
            </w:tcMar>
          </w:tcPr>
          <w:p w14:paraId="79ED21BC" w14:textId="77777777" w:rsidR="0085422C" w:rsidRDefault="00000000">
            <w:r>
              <w:rPr>
                <w:rFonts w:eastAsia="Noto Sans"/>
                <w:color w:val="24313D"/>
                <w:sz w:val="16"/>
              </w:rPr>
              <w:t>3× mean → 25 calls/s peak.</w:t>
            </w:r>
          </w:p>
        </w:tc>
      </w:tr>
      <w:tr w:rsidR="0085422C" w14:paraId="28F2C45E" w14:textId="77777777">
        <w:trPr>
          <w:cantSplit/>
          <w:jc w:val="center"/>
        </w:trPr>
        <w:tc>
          <w:tcPr>
            <w:tcW w:w="2088" w:type="dxa"/>
            <w:tcMar>
              <w:top w:w="70" w:type="dxa"/>
              <w:left w:w="80" w:type="dxa"/>
              <w:bottom w:w="70" w:type="dxa"/>
              <w:right w:w="80" w:type="dxa"/>
            </w:tcMar>
          </w:tcPr>
          <w:p w14:paraId="003D2FDB" w14:textId="77777777" w:rsidR="0085422C" w:rsidRDefault="00000000">
            <w:r>
              <w:rPr>
                <w:rFonts w:eastAsia="Noto Sans"/>
                <w:b/>
                <w:color w:val="24313D"/>
                <w:sz w:val="16"/>
              </w:rPr>
              <w:t>Traffic mix</w:t>
            </w:r>
          </w:p>
        </w:tc>
        <w:tc>
          <w:tcPr>
            <w:tcW w:w="7704" w:type="dxa"/>
            <w:tcMar>
              <w:top w:w="70" w:type="dxa"/>
              <w:left w:w="80" w:type="dxa"/>
              <w:bottom w:w="70" w:type="dxa"/>
              <w:right w:w="80" w:type="dxa"/>
            </w:tcMar>
          </w:tcPr>
          <w:p w14:paraId="46619736" w14:textId="77777777" w:rsidR="0085422C" w:rsidRDefault="00000000">
            <w:r>
              <w:rPr>
                <w:rFonts w:eastAsia="Noto Sans"/>
                <w:color w:val="24313D"/>
                <w:sz w:val="16"/>
              </w:rPr>
              <w:t>80% claims-assistant traffic (20 RPS peak); 20% complex-claims traffic (5 RPS peak).</w:t>
            </w:r>
          </w:p>
        </w:tc>
      </w:tr>
      <w:tr w:rsidR="0085422C" w14:paraId="23B336FF" w14:textId="77777777">
        <w:trPr>
          <w:cantSplit/>
          <w:jc w:val="center"/>
        </w:trPr>
        <w:tc>
          <w:tcPr>
            <w:tcW w:w="2088" w:type="dxa"/>
            <w:shd w:val="clear" w:color="auto" w:fill="F6F8FA"/>
            <w:tcMar>
              <w:top w:w="70" w:type="dxa"/>
              <w:left w:w="80" w:type="dxa"/>
              <w:bottom w:w="70" w:type="dxa"/>
              <w:right w:w="80" w:type="dxa"/>
            </w:tcMar>
          </w:tcPr>
          <w:p w14:paraId="04641288" w14:textId="77777777" w:rsidR="0085422C" w:rsidRDefault="00000000">
            <w:r>
              <w:rPr>
                <w:rFonts w:eastAsia="Noto Sans"/>
                <w:b/>
                <w:color w:val="24313D"/>
                <w:sz w:val="16"/>
              </w:rPr>
              <w:t>Availability</w:t>
            </w:r>
          </w:p>
        </w:tc>
        <w:tc>
          <w:tcPr>
            <w:tcW w:w="7704" w:type="dxa"/>
            <w:shd w:val="clear" w:color="auto" w:fill="F6F8FA"/>
            <w:tcMar>
              <w:top w:w="70" w:type="dxa"/>
              <w:left w:w="80" w:type="dxa"/>
              <w:bottom w:w="70" w:type="dxa"/>
              <w:right w:w="80" w:type="dxa"/>
            </w:tcMar>
          </w:tcPr>
          <w:p w14:paraId="0E27B0B8" w14:textId="77777777" w:rsidR="0085422C" w:rsidRDefault="00000000">
            <w:r>
              <w:rPr>
                <w:rFonts w:eastAsia="Noto Sans"/>
                <w:color w:val="24313D"/>
                <w:sz w:val="16"/>
              </w:rPr>
              <w:t>Each independently scalable service class carries one complete replica/group of reserve capacity.</w:t>
            </w:r>
          </w:p>
        </w:tc>
      </w:tr>
      <w:tr w:rsidR="0085422C" w14:paraId="46622D07" w14:textId="77777777">
        <w:trPr>
          <w:cantSplit/>
          <w:jc w:val="center"/>
        </w:trPr>
        <w:tc>
          <w:tcPr>
            <w:tcW w:w="2088" w:type="dxa"/>
            <w:tcMar>
              <w:top w:w="70" w:type="dxa"/>
              <w:left w:w="80" w:type="dxa"/>
              <w:bottom w:w="70" w:type="dxa"/>
              <w:right w:w="80" w:type="dxa"/>
            </w:tcMar>
          </w:tcPr>
          <w:p w14:paraId="2D51984C" w14:textId="77777777" w:rsidR="0085422C" w:rsidRDefault="00000000">
            <w:r>
              <w:rPr>
                <w:rFonts w:eastAsia="Noto Sans"/>
                <w:b/>
                <w:color w:val="24313D"/>
                <w:sz w:val="16"/>
              </w:rPr>
              <w:t>Latency contract</w:t>
            </w:r>
          </w:p>
        </w:tc>
        <w:tc>
          <w:tcPr>
            <w:tcW w:w="7704" w:type="dxa"/>
            <w:tcMar>
              <w:top w:w="70" w:type="dxa"/>
              <w:left w:w="80" w:type="dxa"/>
              <w:bottom w:w="70" w:type="dxa"/>
              <w:right w:w="80" w:type="dxa"/>
            </w:tcMar>
          </w:tcPr>
          <w:p w14:paraId="2E4C7646" w14:textId="77777777" w:rsidR="0085422C" w:rsidRDefault="00000000">
            <w:r>
              <w:rPr>
                <w:rFonts w:eastAsia="Noto Sans"/>
                <w:color w:val="24313D"/>
                <w:sz w:val="16"/>
              </w:rPr>
              <w:t>Claims assistant: TTFT ≤2.5 s, TPOT ≤45 ms. Complex claims: TTFT ≤5 s, TPOT ≤70 ms.</w:t>
            </w:r>
          </w:p>
        </w:tc>
      </w:tr>
    </w:tbl>
    <w:p w14:paraId="3F6637F7" w14:textId="77777777" w:rsidR="0085422C" w:rsidRDefault="0085422C">
      <w:pPr>
        <w:spacing w:after="20"/>
      </w:pPr>
    </w:p>
    <w:p w14:paraId="4F7DD113" w14:textId="77777777" w:rsidR="0085422C" w:rsidRDefault="00000000">
      <w:pPr>
        <w:spacing w:before="20" w:after="80"/>
      </w:pPr>
      <w:r>
        <w:rPr>
          <w:rFonts w:eastAsia="Noto Sans"/>
          <w:b/>
          <w:color w:val="66727D"/>
          <w:sz w:val="14"/>
        </w:rPr>
        <w:t xml:space="preserve">Source / note: </w:t>
      </w:r>
      <w:r>
        <w:rPr>
          <w:rFonts w:eastAsia="Noto Sans"/>
          <w:i/>
          <w:color w:val="66727D"/>
          <w:sz w:val="14"/>
        </w:rPr>
        <w:t>The user count is an enterprise-scale anchor only. Activity, call count, traffic mix, context/output lengths, model choices, node rates and inventory are scenario assumptions for sizing—not customer disclosures.</w:t>
      </w:r>
    </w:p>
    <w:p w14:paraId="28CAB7A5" w14:textId="77777777" w:rsidR="0085422C" w:rsidRDefault="00000000">
      <w:pPr>
        <w:keepNext/>
        <w:spacing w:before="60" w:after="60"/>
      </w:pPr>
      <w:r>
        <w:rPr>
          <w:rFonts w:eastAsia="Noto Sans"/>
          <w:b/>
          <w:color w:val="16324F"/>
          <w:sz w:val="25"/>
        </w:rPr>
        <w:t>Two MoE classes — different expert populations and precision pressure</w:t>
      </w:r>
    </w:p>
    <w:tbl>
      <w:tblPr>
        <w:tblStyle w:val="TableGrid"/>
        <w:tblW w:w="0" w:type="auto"/>
        <w:jc w:val="center"/>
        <w:tblLayout w:type="fixed"/>
        <w:tblLook w:val="04A0" w:firstRow="1" w:lastRow="0" w:firstColumn="1" w:lastColumn="0" w:noHBand="0" w:noVBand="1"/>
      </w:tblPr>
      <w:tblGrid>
        <w:gridCol w:w="2088"/>
        <w:gridCol w:w="3168"/>
        <w:gridCol w:w="2376"/>
        <w:gridCol w:w="3168"/>
      </w:tblGrid>
      <w:tr w:rsidR="0085422C" w14:paraId="76D2BF0E" w14:textId="77777777">
        <w:trPr>
          <w:tblHeader/>
          <w:jc w:val="center"/>
        </w:trPr>
        <w:tc>
          <w:tcPr>
            <w:tcW w:w="2088" w:type="dxa"/>
            <w:shd w:val="clear" w:color="auto" w:fill="16324F"/>
            <w:tcMar>
              <w:top w:w="80" w:type="dxa"/>
              <w:left w:w="90" w:type="dxa"/>
              <w:bottom w:w="80" w:type="dxa"/>
              <w:right w:w="90" w:type="dxa"/>
            </w:tcMar>
            <w:vAlign w:val="center"/>
          </w:tcPr>
          <w:p w14:paraId="03F40472" w14:textId="77777777" w:rsidR="0085422C" w:rsidRDefault="00000000">
            <w:r>
              <w:rPr>
                <w:rFonts w:eastAsia="Noto Sans"/>
                <w:b/>
                <w:color w:val="FFFFFF"/>
                <w:sz w:val="15"/>
              </w:rPr>
              <w:t>Model class</w:t>
            </w:r>
          </w:p>
        </w:tc>
        <w:tc>
          <w:tcPr>
            <w:tcW w:w="3168" w:type="dxa"/>
            <w:shd w:val="clear" w:color="auto" w:fill="16324F"/>
            <w:tcMar>
              <w:top w:w="80" w:type="dxa"/>
              <w:left w:w="90" w:type="dxa"/>
              <w:bottom w:w="80" w:type="dxa"/>
              <w:right w:w="90" w:type="dxa"/>
            </w:tcMar>
            <w:vAlign w:val="center"/>
          </w:tcPr>
          <w:p w14:paraId="435B322D" w14:textId="77777777" w:rsidR="0085422C" w:rsidRDefault="00000000">
            <w:r>
              <w:rPr>
                <w:rFonts w:eastAsia="Noto Sans"/>
                <w:b/>
                <w:color w:val="FFFFFF"/>
                <w:sz w:val="15"/>
              </w:rPr>
              <w:t>Published / chosen geometry</w:t>
            </w:r>
          </w:p>
        </w:tc>
        <w:tc>
          <w:tcPr>
            <w:tcW w:w="2376" w:type="dxa"/>
            <w:shd w:val="clear" w:color="auto" w:fill="16324F"/>
            <w:tcMar>
              <w:top w:w="80" w:type="dxa"/>
              <w:left w:w="90" w:type="dxa"/>
              <w:bottom w:w="80" w:type="dxa"/>
              <w:right w:w="90" w:type="dxa"/>
            </w:tcMar>
            <w:vAlign w:val="center"/>
          </w:tcPr>
          <w:p w14:paraId="1CA0BAFF" w14:textId="77777777" w:rsidR="0085422C" w:rsidRDefault="00000000">
            <w:r>
              <w:rPr>
                <w:rFonts w:eastAsia="Noto Sans"/>
                <w:b/>
                <w:color w:val="FFFFFF"/>
                <w:sz w:val="15"/>
              </w:rPr>
              <w:t>Routed-expert raw size</w:t>
            </w:r>
          </w:p>
        </w:tc>
        <w:tc>
          <w:tcPr>
            <w:tcW w:w="3168" w:type="dxa"/>
            <w:shd w:val="clear" w:color="auto" w:fill="16324F"/>
            <w:tcMar>
              <w:top w:w="80" w:type="dxa"/>
              <w:left w:w="90" w:type="dxa"/>
              <w:bottom w:w="80" w:type="dxa"/>
              <w:right w:w="90" w:type="dxa"/>
            </w:tcMar>
            <w:vAlign w:val="center"/>
          </w:tcPr>
          <w:p w14:paraId="5D328986" w14:textId="77777777" w:rsidR="0085422C" w:rsidRDefault="00000000">
            <w:r>
              <w:rPr>
                <w:rFonts w:eastAsia="Noto Sans"/>
                <w:b/>
                <w:color w:val="FFFFFF"/>
                <w:sz w:val="15"/>
              </w:rPr>
              <w:t>8-ATMOS implication</w:t>
            </w:r>
          </w:p>
        </w:tc>
      </w:tr>
      <w:tr w:rsidR="0085422C" w14:paraId="712C12CC" w14:textId="77777777">
        <w:trPr>
          <w:cantSplit/>
          <w:jc w:val="center"/>
        </w:trPr>
        <w:tc>
          <w:tcPr>
            <w:tcW w:w="2088" w:type="dxa"/>
            <w:tcMar>
              <w:top w:w="70" w:type="dxa"/>
              <w:left w:w="80" w:type="dxa"/>
              <w:bottom w:w="70" w:type="dxa"/>
              <w:right w:w="80" w:type="dxa"/>
            </w:tcMar>
          </w:tcPr>
          <w:p w14:paraId="0DF87313" w14:textId="77777777" w:rsidR="0085422C" w:rsidRDefault="00000000">
            <w:r>
              <w:rPr>
                <w:rFonts w:eastAsia="Noto Sans"/>
                <w:b/>
                <w:color w:val="24313D"/>
                <w:sz w:val="15"/>
              </w:rPr>
              <w:t>Qwen3-235B-A22B</w:t>
            </w:r>
          </w:p>
        </w:tc>
        <w:tc>
          <w:tcPr>
            <w:tcW w:w="3168" w:type="dxa"/>
            <w:tcMar>
              <w:top w:w="70" w:type="dxa"/>
              <w:left w:w="80" w:type="dxa"/>
              <w:bottom w:w="70" w:type="dxa"/>
              <w:right w:w="80" w:type="dxa"/>
            </w:tcMar>
          </w:tcPr>
          <w:p w14:paraId="0F636477" w14:textId="77777777" w:rsidR="0085422C" w:rsidRDefault="00000000">
            <w:r>
              <w:rPr>
                <w:rFonts w:eastAsia="Noto Sans"/>
                <w:color w:val="24313D"/>
                <w:sz w:val="15"/>
              </w:rPr>
              <w:t>235B total / ~22B active; 94 layers; 128 routed experts per MoE layer; top-8.</w:t>
            </w:r>
          </w:p>
        </w:tc>
        <w:tc>
          <w:tcPr>
            <w:tcW w:w="2376" w:type="dxa"/>
            <w:tcMar>
              <w:top w:w="70" w:type="dxa"/>
              <w:left w:w="80" w:type="dxa"/>
              <w:bottom w:w="70" w:type="dxa"/>
              <w:right w:w="80" w:type="dxa"/>
            </w:tcMar>
          </w:tcPr>
          <w:p w14:paraId="7311E46C" w14:textId="77777777" w:rsidR="0085422C" w:rsidRDefault="00000000">
            <w:r>
              <w:rPr>
                <w:rFonts w:eastAsia="Noto Sans"/>
                <w:color w:val="24313D"/>
                <w:sz w:val="15"/>
              </w:rPr>
              <w:t>~227.1B routed-expert parameters → ~227 GB FP8 or ~454 GB at 16-bit.</w:t>
            </w:r>
          </w:p>
        </w:tc>
        <w:tc>
          <w:tcPr>
            <w:tcW w:w="3168" w:type="dxa"/>
            <w:tcMar>
              <w:top w:w="70" w:type="dxa"/>
              <w:left w:w="80" w:type="dxa"/>
              <w:bottom w:w="70" w:type="dxa"/>
              <w:right w:w="80" w:type="dxa"/>
            </w:tcMar>
          </w:tcPr>
          <w:p w14:paraId="1074F01C" w14:textId="77777777" w:rsidR="0085422C" w:rsidRDefault="00000000">
            <w:r>
              <w:rPr>
                <w:rFonts w:eastAsia="Noto Sans"/>
                <w:color w:val="24313D"/>
                <w:sz w:val="15"/>
              </w:rPr>
              <w:t>Both raw expert sets fit inside the 800-GB application HBF study budget, subject to pack/runtime reserve and per-device placement.</w:t>
            </w:r>
          </w:p>
        </w:tc>
      </w:tr>
      <w:tr w:rsidR="0085422C" w14:paraId="20B7F93E" w14:textId="77777777">
        <w:trPr>
          <w:cantSplit/>
          <w:jc w:val="center"/>
        </w:trPr>
        <w:tc>
          <w:tcPr>
            <w:tcW w:w="2088" w:type="dxa"/>
            <w:shd w:val="clear" w:color="auto" w:fill="F6F8FA"/>
            <w:tcMar>
              <w:top w:w="70" w:type="dxa"/>
              <w:left w:w="80" w:type="dxa"/>
              <w:bottom w:w="70" w:type="dxa"/>
              <w:right w:w="80" w:type="dxa"/>
            </w:tcMar>
          </w:tcPr>
          <w:p w14:paraId="42DA17E4" w14:textId="77777777" w:rsidR="0085422C" w:rsidRDefault="00000000">
            <w:r>
              <w:rPr>
                <w:rFonts w:eastAsia="Noto Sans"/>
                <w:b/>
                <w:color w:val="24313D"/>
                <w:sz w:val="15"/>
              </w:rPr>
              <w:t>DeepSeek-V3-class</w:t>
            </w:r>
          </w:p>
        </w:tc>
        <w:tc>
          <w:tcPr>
            <w:tcW w:w="3168" w:type="dxa"/>
            <w:shd w:val="clear" w:color="auto" w:fill="F6F8FA"/>
            <w:tcMar>
              <w:top w:w="70" w:type="dxa"/>
              <w:left w:w="80" w:type="dxa"/>
              <w:bottom w:w="70" w:type="dxa"/>
              <w:right w:w="80" w:type="dxa"/>
            </w:tcMar>
          </w:tcPr>
          <w:p w14:paraId="43D3625D" w14:textId="77777777" w:rsidR="0085422C" w:rsidRDefault="00000000">
            <w:r>
              <w:rPr>
                <w:rFonts w:eastAsia="Noto Sans"/>
                <w:color w:val="24313D"/>
                <w:sz w:val="15"/>
              </w:rPr>
              <w:t>~671B total / ~37B active; 61 layers, first 3 dense; 256 routed + 1 shared expert; top-8.</w:t>
            </w:r>
          </w:p>
        </w:tc>
        <w:tc>
          <w:tcPr>
            <w:tcW w:w="2376" w:type="dxa"/>
            <w:shd w:val="clear" w:color="auto" w:fill="F6F8FA"/>
            <w:tcMar>
              <w:top w:w="70" w:type="dxa"/>
              <w:left w:w="80" w:type="dxa"/>
              <w:bottom w:w="70" w:type="dxa"/>
              <w:right w:w="80" w:type="dxa"/>
            </w:tcMar>
          </w:tcPr>
          <w:p w14:paraId="1F717024" w14:textId="77777777" w:rsidR="0085422C" w:rsidRDefault="00000000">
            <w:r>
              <w:rPr>
                <w:rFonts w:eastAsia="Noto Sans"/>
                <w:color w:val="24313D"/>
                <w:sz w:val="15"/>
              </w:rPr>
              <w:t>~653.9B routed-expert parameters → ~654 GB FP8 or ~1.308 TB at 16-bit. Shared expert excluded from this routed count.</w:t>
            </w:r>
          </w:p>
        </w:tc>
        <w:tc>
          <w:tcPr>
            <w:tcW w:w="3168" w:type="dxa"/>
            <w:shd w:val="clear" w:color="auto" w:fill="F6F8FA"/>
            <w:tcMar>
              <w:top w:w="70" w:type="dxa"/>
              <w:left w:w="80" w:type="dxa"/>
              <w:bottom w:w="70" w:type="dxa"/>
              <w:right w:w="80" w:type="dxa"/>
            </w:tcMar>
          </w:tcPr>
          <w:p w14:paraId="5DE7CD33" w14:textId="77777777" w:rsidR="0085422C" w:rsidRDefault="00000000">
            <w:r>
              <w:rPr>
                <w:rFonts w:eastAsia="Noto Sans"/>
                <w:color w:val="24313D"/>
                <w:sz w:val="15"/>
              </w:rPr>
              <w:t>FP8 routed experts plausibly fit in 8 ATMOS under the 800-GB study budget. 16-bit does not; use mixed placement or at least two hybrid nodes / more devices.</w:t>
            </w:r>
          </w:p>
        </w:tc>
      </w:tr>
    </w:tbl>
    <w:p w14:paraId="4CE17F96" w14:textId="77777777" w:rsidR="0085422C" w:rsidRDefault="0085422C">
      <w:pPr>
        <w:spacing w:after="20"/>
      </w:pPr>
    </w:p>
    <w:p w14:paraId="01E882F3" w14:textId="77777777" w:rsidR="0085422C" w:rsidRDefault="00000000">
      <w:pPr>
        <w:spacing w:before="20" w:after="80"/>
      </w:pPr>
      <w:r>
        <w:rPr>
          <w:rFonts w:eastAsia="Noto Sans"/>
          <w:b/>
          <w:color w:val="66727D"/>
          <w:sz w:val="14"/>
        </w:rPr>
        <w:t xml:space="preserve">Source / note: </w:t>
      </w:r>
      <w:r>
        <w:rPr>
          <w:rFonts w:eastAsia="Noto Sans"/>
          <w:i/>
          <w:color w:val="66727D"/>
          <w:sz w:val="14"/>
        </w:rPr>
        <w:t>Qwen geometry is from the published Qwen3-235B-A22B configuration (128 experts, top-8, 94 layers, hidden 4096, MoE intermediate 1536). DeepSeek-V3 configuration publishes 256 routed experts, 1 shared expert, top-8 and 61 layers with the first three dense. Raw bytes exclude scales, packing, metadata, shared tensors and replicas.</w:t>
      </w:r>
    </w:p>
    <w:tbl>
      <w:tblPr>
        <w:tblW w:w="0" w:type="auto"/>
        <w:jc w:val="center"/>
        <w:tblLook w:val="04A0" w:firstRow="1" w:lastRow="0" w:firstColumn="1" w:lastColumn="0" w:noHBand="0" w:noVBand="1"/>
      </w:tblPr>
      <w:tblGrid>
        <w:gridCol w:w="10368"/>
      </w:tblGrid>
      <w:tr w:rsidR="0085422C" w14:paraId="53359EB1" w14:textId="77777777">
        <w:trPr>
          <w:jc w:val="center"/>
        </w:trPr>
        <w:tc>
          <w:tcPr>
            <w:tcW w:w="10368" w:type="dxa"/>
            <w:shd w:val="clear" w:color="auto" w:fill="E8F5F3"/>
            <w:tcMar>
              <w:top w:w="120" w:type="dxa"/>
              <w:left w:w="150" w:type="dxa"/>
              <w:bottom w:w="120" w:type="dxa"/>
              <w:right w:w="150" w:type="dxa"/>
            </w:tcMar>
          </w:tcPr>
          <w:p w14:paraId="4FF45581" w14:textId="77777777" w:rsidR="0085422C" w:rsidRDefault="00000000">
            <w:pPr>
              <w:spacing w:after="40"/>
            </w:pPr>
            <w:r>
              <w:rPr>
                <w:rFonts w:eastAsia="Noto Sans"/>
                <w:b/>
                <w:color w:val="0D887F"/>
                <w:sz w:val="18"/>
              </w:rPr>
              <w:t>WHY THE 700B-CLASS FP8 CASE IS ESPECIALLY INTERESTING</w:t>
            </w:r>
          </w:p>
          <w:p w14:paraId="6B811CAA" w14:textId="77777777" w:rsidR="0085422C" w:rsidRDefault="00000000">
            <w:pPr>
              <w:spacing w:after="0" w:line="252" w:lineRule="auto"/>
            </w:pPr>
            <w:r>
              <w:rPr>
                <w:rFonts w:eastAsia="Noto Sans"/>
                <w:color w:val="24313D"/>
                <w:sz w:val="18"/>
              </w:rPr>
              <w:t>Eight RTX PRO 6000 GPUs provide 768 GB nominal distributed GDDR. A ~671-GB raw FP8 model leaves little practical room for KV, workspace and fragmentation. If ~654 GB of routed experts can instead live and execute on the eight ATMOS devices, the GPU side keeps a much smaller non-expert working set plus live KV. That changes the service geometry even if per-request latency does not improve.</w:t>
            </w:r>
          </w:p>
        </w:tc>
      </w:tr>
    </w:tbl>
    <w:p w14:paraId="4B15CC95" w14:textId="77777777" w:rsidR="0085422C" w:rsidRDefault="0085422C">
      <w:pPr>
        <w:spacing w:after="20"/>
      </w:pPr>
    </w:p>
    <w:p w14:paraId="1E5659A1" w14:textId="77777777" w:rsidR="0085422C" w:rsidRDefault="00000000">
      <w:r>
        <w:br w:type="page"/>
      </w:r>
    </w:p>
    <w:p w14:paraId="71B945BC" w14:textId="77777777" w:rsidR="0085422C" w:rsidRDefault="00000000">
      <w:pPr>
        <w:keepNext/>
        <w:spacing w:before="80" w:after="40"/>
      </w:pPr>
      <w:r>
        <w:rPr>
          <w:rFonts w:eastAsia="Noto Sans"/>
          <w:b/>
          <w:color w:val="A73545"/>
          <w:sz w:val="17"/>
        </w:rPr>
        <w:lastRenderedPageBreak/>
        <w:t>SAME DEMAND • SAME MODEL QUALITY • SAME LATENCY SLA</w:t>
      </w:r>
    </w:p>
    <w:p w14:paraId="6BB52BBD" w14:textId="77777777" w:rsidR="0085422C" w:rsidRDefault="00000000">
      <w:pPr>
        <w:keepNext/>
        <w:spacing w:before="100" w:after="100"/>
      </w:pPr>
      <w:r>
        <w:rPr>
          <w:rFonts w:eastAsia="Noto Sans"/>
          <w:b/>
          <w:color w:val="16324F"/>
          <w:sz w:val="36"/>
        </w:rPr>
        <w:t>Baseline and hybrid sizing</w:t>
      </w:r>
    </w:p>
    <w:p w14:paraId="205BE7D3" w14:textId="77777777" w:rsidR="0085422C" w:rsidRDefault="00000000">
      <w:pPr>
        <w:spacing w:after="100" w:line="259" w:lineRule="auto"/>
      </w:pPr>
      <w:r>
        <w:rPr>
          <w:sz w:val="18"/>
        </w:rPr>
        <w:t>The node rates below are explicit planning assumptions for the RTX calibration case and are replaced by measured complete-service rates. They are useful only to set an development economic threshold. NVIDIA NVL and AMD Helios are not sized by multiplying or reusing these node ratios.</w:t>
      </w:r>
    </w:p>
    <w:tbl>
      <w:tblPr>
        <w:tblStyle w:val="TableGrid"/>
        <w:tblW w:w="0" w:type="auto"/>
        <w:jc w:val="center"/>
        <w:tblLayout w:type="fixed"/>
        <w:tblLook w:val="04A0" w:firstRow="1" w:lastRow="0" w:firstColumn="1" w:lastColumn="0" w:noHBand="0" w:noVBand="1"/>
      </w:tblPr>
      <w:tblGrid>
        <w:gridCol w:w="1944"/>
        <w:gridCol w:w="2880"/>
        <w:gridCol w:w="3024"/>
        <w:gridCol w:w="1007"/>
        <w:gridCol w:w="1800"/>
      </w:tblGrid>
      <w:tr w:rsidR="0085422C" w14:paraId="47E5D344" w14:textId="77777777">
        <w:trPr>
          <w:tblHeader/>
          <w:jc w:val="center"/>
        </w:trPr>
        <w:tc>
          <w:tcPr>
            <w:tcW w:w="1944" w:type="dxa"/>
            <w:shd w:val="clear" w:color="auto" w:fill="16324F"/>
            <w:tcMar>
              <w:top w:w="80" w:type="dxa"/>
              <w:left w:w="90" w:type="dxa"/>
              <w:bottom w:w="80" w:type="dxa"/>
              <w:right w:w="90" w:type="dxa"/>
            </w:tcMar>
            <w:vAlign w:val="center"/>
          </w:tcPr>
          <w:p w14:paraId="00D94E5E" w14:textId="77777777" w:rsidR="0085422C" w:rsidRDefault="00000000">
            <w:r>
              <w:rPr>
                <w:rFonts w:eastAsia="Noto Sans"/>
                <w:b/>
                <w:color w:val="FFFFFF"/>
                <w:sz w:val="14"/>
              </w:rPr>
              <w:t>Service class</w:t>
            </w:r>
          </w:p>
        </w:tc>
        <w:tc>
          <w:tcPr>
            <w:tcW w:w="2880" w:type="dxa"/>
            <w:shd w:val="clear" w:color="auto" w:fill="16324F"/>
            <w:tcMar>
              <w:top w:w="80" w:type="dxa"/>
              <w:left w:w="90" w:type="dxa"/>
              <w:bottom w:w="80" w:type="dxa"/>
              <w:right w:w="90" w:type="dxa"/>
            </w:tcMar>
            <w:vAlign w:val="center"/>
          </w:tcPr>
          <w:p w14:paraId="2BA00EEB" w14:textId="77777777" w:rsidR="00846FAB" w:rsidRDefault="00000000">
            <w:r>
              <w:rPr>
                <w:b/>
                <w:color w:val="FFFFFF"/>
                <w:sz w:val="14"/>
              </w:rPr>
              <w:t>GPU-only RTX development vehicle baseline</w:t>
            </w:r>
          </w:p>
        </w:tc>
        <w:tc>
          <w:tcPr>
            <w:tcW w:w="3024" w:type="dxa"/>
            <w:shd w:val="clear" w:color="auto" w:fill="16324F"/>
            <w:tcMar>
              <w:top w:w="80" w:type="dxa"/>
              <w:left w:w="90" w:type="dxa"/>
              <w:bottom w:w="80" w:type="dxa"/>
              <w:right w:w="90" w:type="dxa"/>
            </w:tcMar>
            <w:vAlign w:val="center"/>
          </w:tcPr>
          <w:p w14:paraId="36690BA3" w14:textId="77777777" w:rsidR="00846FAB" w:rsidRDefault="00000000">
            <w:r>
              <w:rPr>
                <w:b/>
                <w:color w:val="FFFFFF"/>
                <w:sz w:val="14"/>
              </w:rPr>
              <w:t>RTX + ATMOS development target case</w:t>
            </w:r>
          </w:p>
        </w:tc>
        <w:tc>
          <w:tcPr>
            <w:tcW w:w="1007" w:type="dxa"/>
            <w:shd w:val="clear" w:color="auto" w:fill="16324F"/>
            <w:tcMar>
              <w:top w:w="80" w:type="dxa"/>
              <w:left w:w="90" w:type="dxa"/>
              <w:bottom w:w="80" w:type="dxa"/>
              <w:right w:w="90" w:type="dxa"/>
            </w:tcMar>
            <w:vAlign w:val="center"/>
          </w:tcPr>
          <w:p w14:paraId="76F04F61" w14:textId="77777777" w:rsidR="0085422C" w:rsidRDefault="00000000">
            <w:r>
              <w:rPr>
                <w:rFonts w:eastAsia="Noto Sans"/>
                <w:b/>
                <w:color w:val="FFFFFF"/>
                <w:sz w:val="14"/>
              </w:rPr>
              <w:t>Peak demand</w:t>
            </w:r>
          </w:p>
        </w:tc>
        <w:tc>
          <w:tcPr>
            <w:tcW w:w="1800" w:type="dxa"/>
            <w:shd w:val="clear" w:color="auto" w:fill="16324F"/>
            <w:tcMar>
              <w:top w:w="80" w:type="dxa"/>
              <w:left w:w="90" w:type="dxa"/>
              <w:bottom w:w="80" w:type="dxa"/>
              <w:right w:w="90" w:type="dxa"/>
            </w:tcMar>
            <w:vAlign w:val="center"/>
          </w:tcPr>
          <w:p w14:paraId="7C2238B1" w14:textId="77777777" w:rsidR="0085422C" w:rsidRDefault="00000000">
            <w:r>
              <w:rPr>
                <w:rFonts w:eastAsia="Noto Sans"/>
                <w:b/>
                <w:color w:val="FFFFFF"/>
                <w:sz w:val="14"/>
              </w:rPr>
              <w:t>Nodes incl. one reserve</w:t>
            </w:r>
          </w:p>
        </w:tc>
      </w:tr>
      <w:tr w:rsidR="0085422C" w14:paraId="05513E96" w14:textId="77777777">
        <w:trPr>
          <w:cantSplit/>
          <w:jc w:val="center"/>
        </w:trPr>
        <w:tc>
          <w:tcPr>
            <w:tcW w:w="1944" w:type="dxa"/>
            <w:tcMar>
              <w:top w:w="70" w:type="dxa"/>
              <w:left w:w="80" w:type="dxa"/>
              <w:bottom w:w="70" w:type="dxa"/>
              <w:right w:w="80" w:type="dxa"/>
            </w:tcMar>
          </w:tcPr>
          <w:p w14:paraId="56E6A002" w14:textId="77777777" w:rsidR="0085422C" w:rsidRDefault="00000000">
            <w:r>
              <w:rPr>
                <w:rFonts w:eastAsia="Noto Sans"/>
                <w:b/>
                <w:color w:val="24313D"/>
                <w:sz w:val="14"/>
              </w:rPr>
              <w:t>Claims assistant — Qwen3-235B class</w:t>
            </w:r>
          </w:p>
        </w:tc>
        <w:tc>
          <w:tcPr>
            <w:tcW w:w="2880" w:type="dxa"/>
            <w:tcMar>
              <w:top w:w="70" w:type="dxa"/>
              <w:left w:w="80" w:type="dxa"/>
              <w:bottom w:w="70" w:type="dxa"/>
              <w:right w:w="80" w:type="dxa"/>
            </w:tcMar>
          </w:tcPr>
          <w:p w14:paraId="6895516E" w14:textId="77777777" w:rsidR="0085422C" w:rsidRDefault="00000000">
            <w:r>
              <w:rPr>
                <w:rFonts w:eastAsia="Noto Sans"/>
                <w:color w:val="24313D"/>
                <w:sz w:val="14"/>
              </w:rPr>
              <w:t>1 × 8-RTX node per replica; 1.3 accepted RPS/node at the SLO.</w:t>
            </w:r>
          </w:p>
        </w:tc>
        <w:tc>
          <w:tcPr>
            <w:tcW w:w="3024" w:type="dxa"/>
            <w:tcMar>
              <w:top w:w="70" w:type="dxa"/>
              <w:left w:w="80" w:type="dxa"/>
              <w:bottom w:w="70" w:type="dxa"/>
              <w:right w:w="80" w:type="dxa"/>
            </w:tcMar>
          </w:tcPr>
          <w:p w14:paraId="4361C798" w14:textId="77777777" w:rsidR="0085422C" w:rsidRDefault="00000000">
            <w:r>
              <w:rPr>
                <w:rFonts w:eastAsia="Noto Sans"/>
                <w:color w:val="24313D"/>
                <w:sz w:val="14"/>
              </w:rPr>
              <w:t>1 × 8-RTX + 8-ATMOS node; 2.2 accepted RPS/node target.</w:t>
            </w:r>
          </w:p>
        </w:tc>
        <w:tc>
          <w:tcPr>
            <w:tcW w:w="1007" w:type="dxa"/>
            <w:tcMar>
              <w:top w:w="70" w:type="dxa"/>
              <w:left w:w="80" w:type="dxa"/>
              <w:bottom w:w="70" w:type="dxa"/>
              <w:right w:w="80" w:type="dxa"/>
            </w:tcMar>
          </w:tcPr>
          <w:p w14:paraId="1932FBDF" w14:textId="77777777" w:rsidR="0085422C" w:rsidRDefault="00000000">
            <w:r>
              <w:rPr>
                <w:rFonts w:eastAsia="Noto Sans"/>
                <w:color w:val="24313D"/>
                <w:sz w:val="14"/>
              </w:rPr>
              <w:t>20 RPS</w:t>
            </w:r>
          </w:p>
        </w:tc>
        <w:tc>
          <w:tcPr>
            <w:tcW w:w="1800" w:type="dxa"/>
            <w:tcMar>
              <w:top w:w="70" w:type="dxa"/>
              <w:left w:w="80" w:type="dxa"/>
              <w:bottom w:w="70" w:type="dxa"/>
              <w:right w:w="80" w:type="dxa"/>
            </w:tcMar>
          </w:tcPr>
          <w:p w14:paraId="53F551D5" w14:textId="77777777" w:rsidR="0085422C" w:rsidRDefault="00000000">
            <w:r>
              <w:rPr>
                <w:rFonts w:eastAsia="Noto Sans"/>
                <w:color w:val="24313D"/>
                <w:sz w:val="14"/>
              </w:rPr>
              <w:t>GPU-only: 1 + ceil(20/1.3) = 17</w:t>
            </w:r>
            <w:r>
              <w:rPr>
                <w:rFonts w:eastAsia="Noto Sans"/>
                <w:color w:val="24313D"/>
                <w:sz w:val="14"/>
              </w:rPr>
              <w:br/>
              <w:t>Hybrid: 1 + ceil(20/2.2) = 11</w:t>
            </w:r>
          </w:p>
        </w:tc>
      </w:tr>
      <w:tr w:rsidR="0085422C" w14:paraId="35064933" w14:textId="77777777">
        <w:trPr>
          <w:cantSplit/>
          <w:jc w:val="center"/>
        </w:trPr>
        <w:tc>
          <w:tcPr>
            <w:tcW w:w="1944" w:type="dxa"/>
            <w:shd w:val="clear" w:color="auto" w:fill="F3F6F8"/>
            <w:tcMar>
              <w:top w:w="70" w:type="dxa"/>
              <w:left w:w="80" w:type="dxa"/>
              <w:bottom w:w="70" w:type="dxa"/>
              <w:right w:w="80" w:type="dxa"/>
            </w:tcMar>
          </w:tcPr>
          <w:p w14:paraId="18DAAAAE" w14:textId="77777777" w:rsidR="0085422C" w:rsidRDefault="00000000">
            <w:r>
              <w:rPr>
                <w:rFonts w:eastAsia="Noto Sans"/>
                <w:b/>
                <w:color w:val="24313D"/>
                <w:sz w:val="14"/>
              </w:rPr>
              <w:t>Complex claims — ~671B FP8 MoE</w:t>
            </w:r>
          </w:p>
        </w:tc>
        <w:tc>
          <w:tcPr>
            <w:tcW w:w="2880" w:type="dxa"/>
            <w:shd w:val="clear" w:color="auto" w:fill="F3F6F8"/>
            <w:tcMar>
              <w:top w:w="70" w:type="dxa"/>
              <w:left w:w="80" w:type="dxa"/>
              <w:bottom w:w="70" w:type="dxa"/>
              <w:right w:w="80" w:type="dxa"/>
            </w:tcMar>
          </w:tcPr>
          <w:p w14:paraId="17D292CE" w14:textId="77777777" w:rsidR="0085422C" w:rsidRDefault="00000000">
            <w:r>
              <w:rPr>
                <w:rFonts w:eastAsia="Noto Sans"/>
                <w:color w:val="24313D"/>
                <w:sz w:val="14"/>
              </w:rPr>
              <w:t>2 × 8-RTX nodes per complete replica/group; 0.7 accepted RPS per two-node group.</w:t>
            </w:r>
          </w:p>
        </w:tc>
        <w:tc>
          <w:tcPr>
            <w:tcW w:w="3024" w:type="dxa"/>
            <w:shd w:val="clear" w:color="auto" w:fill="F3F6F8"/>
            <w:tcMar>
              <w:top w:w="70" w:type="dxa"/>
              <w:left w:w="80" w:type="dxa"/>
              <w:bottom w:w="70" w:type="dxa"/>
              <w:right w:w="80" w:type="dxa"/>
            </w:tcMar>
          </w:tcPr>
          <w:p w14:paraId="0456A828" w14:textId="77777777" w:rsidR="0085422C" w:rsidRDefault="00000000">
            <w:r>
              <w:rPr>
                <w:rFonts w:eastAsia="Noto Sans"/>
                <w:color w:val="24313D"/>
                <w:sz w:val="14"/>
              </w:rPr>
              <w:t>1 hybrid node if the FP8 routed-expert pack and non-expert GPU state fit; 0.7 accepted RPS/node target.</w:t>
            </w:r>
          </w:p>
        </w:tc>
        <w:tc>
          <w:tcPr>
            <w:tcW w:w="1007" w:type="dxa"/>
            <w:shd w:val="clear" w:color="auto" w:fill="F3F6F8"/>
            <w:tcMar>
              <w:top w:w="70" w:type="dxa"/>
              <w:left w:w="80" w:type="dxa"/>
              <w:bottom w:w="70" w:type="dxa"/>
              <w:right w:w="80" w:type="dxa"/>
            </w:tcMar>
          </w:tcPr>
          <w:p w14:paraId="0B7DA64E" w14:textId="77777777" w:rsidR="0085422C" w:rsidRDefault="00000000">
            <w:r>
              <w:rPr>
                <w:rFonts w:eastAsia="Noto Sans"/>
                <w:color w:val="24313D"/>
                <w:sz w:val="14"/>
              </w:rPr>
              <w:t>5 RPS</w:t>
            </w:r>
          </w:p>
        </w:tc>
        <w:tc>
          <w:tcPr>
            <w:tcW w:w="1800" w:type="dxa"/>
            <w:shd w:val="clear" w:color="auto" w:fill="F3F6F8"/>
            <w:tcMar>
              <w:top w:w="70" w:type="dxa"/>
              <w:left w:w="80" w:type="dxa"/>
              <w:bottom w:w="70" w:type="dxa"/>
              <w:right w:w="80" w:type="dxa"/>
            </w:tcMar>
          </w:tcPr>
          <w:p w14:paraId="6E61B269" w14:textId="77777777" w:rsidR="0085422C" w:rsidRDefault="00000000">
            <w:r>
              <w:rPr>
                <w:rFonts w:eastAsia="Noto Sans"/>
                <w:color w:val="24313D"/>
                <w:sz w:val="14"/>
              </w:rPr>
              <w:t>GPU-only: [1 + ceil(5/0.7)] × 2 = 18</w:t>
            </w:r>
            <w:r>
              <w:rPr>
                <w:rFonts w:eastAsia="Noto Sans"/>
                <w:color w:val="24313D"/>
                <w:sz w:val="14"/>
              </w:rPr>
              <w:br/>
              <w:t>Hybrid: 1 + ceil(5/0.7) = 9</w:t>
            </w:r>
          </w:p>
        </w:tc>
      </w:tr>
      <w:tr w:rsidR="0085422C" w14:paraId="1E505ADB" w14:textId="77777777">
        <w:trPr>
          <w:cantSplit/>
          <w:jc w:val="center"/>
        </w:trPr>
        <w:tc>
          <w:tcPr>
            <w:tcW w:w="1944" w:type="dxa"/>
            <w:tcMar>
              <w:top w:w="70" w:type="dxa"/>
              <w:left w:w="80" w:type="dxa"/>
              <w:bottom w:w="70" w:type="dxa"/>
              <w:right w:w="80" w:type="dxa"/>
            </w:tcMar>
          </w:tcPr>
          <w:p w14:paraId="4D330850" w14:textId="77777777" w:rsidR="0085422C" w:rsidRDefault="00000000">
            <w:r>
              <w:rPr>
                <w:rFonts w:eastAsia="Noto Sans"/>
                <w:b/>
                <w:color w:val="24313D"/>
                <w:sz w:val="14"/>
              </w:rPr>
              <w:t>TOTAL</w:t>
            </w:r>
          </w:p>
        </w:tc>
        <w:tc>
          <w:tcPr>
            <w:tcW w:w="2880" w:type="dxa"/>
            <w:tcMar>
              <w:top w:w="70" w:type="dxa"/>
              <w:left w:w="80" w:type="dxa"/>
              <w:bottom w:w="70" w:type="dxa"/>
              <w:right w:w="80" w:type="dxa"/>
            </w:tcMar>
          </w:tcPr>
          <w:p w14:paraId="39D2B649" w14:textId="77777777" w:rsidR="0085422C" w:rsidRDefault="00000000">
            <w:r>
              <w:rPr>
                <w:rFonts w:eastAsia="Noto Sans"/>
                <w:color w:val="24313D"/>
                <w:sz w:val="14"/>
              </w:rPr>
              <w:t>35 RTX servers = 280 RTX GPUs</w:t>
            </w:r>
          </w:p>
        </w:tc>
        <w:tc>
          <w:tcPr>
            <w:tcW w:w="3024" w:type="dxa"/>
            <w:tcMar>
              <w:top w:w="70" w:type="dxa"/>
              <w:left w:w="80" w:type="dxa"/>
              <w:bottom w:w="70" w:type="dxa"/>
              <w:right w:w="80" w:type="dxa"/>
            </w:tcMar>
          </w:tcPr>
          <w:p w14:paraId="63A7E476" w14:textId="77777777" w:rsidR="0085422C" w:rsidRDefault="00000000">
            <w:r>
              <w:rPr>
                <w:rFonts w:eastAsia="Noto Sans"/>
                <w:color w:val="24313D"/>
                <w:sz w:val="14"/>
              </w:rPr>
              <w:t>20 hybrid servers = 160 RTX GPUs + 160 ATMOS modules</w:t>
            </w:r>
          </w:p>
        </w:tc>
        <w:tc>
          <w:tcPr>
            <w:tcW w:w="1007" w:type="dxa"/>
            <w:tcMar>
              <w:top w:w="70" w:type="dxa"/>
              <w:left w:w="80" w:type="dxa"/>
              <w:bottom w:w="70" w:type="dxa"/>
              <w:right w:w="80" w:type="dxa"/>
            </w:tcMar>
          </w:tcPr>
          <w:p w14:paraId="3AF469D2" w14:textId="77777777" w:rsidR="0085422C" w:rsidRDefault="00000000">
            <w:r>
              <w:rPr>
                <w:rFonts w:eastAsia="Noto Sans"/>
                <w:color w:val="24313D"/>
                <w:sz w:val="14"/>
              </w:rPr>
              <w:t>25 RPS</w:t>
            </w:r>
          </w:p>
        </w:tc>
        <w:tc>
          <w:tcPr>
            <w:tcW w:w="1800" w:type="dxa"/>
            <w:tcMar>
              <w:top w:w="70" w:type="dxa"/>
              <w:left w:w="80" w:type="dxa"/>
              <w:bottom w:w="70" w:type="dxa"/>
              <w:right w:w="80" w:type="dxa"/>
            </w:tcMar>
          </w:tcPr>
          <w:p w14:paraId="4D8C66CB" w14:textId="77777777" w:rsidR="0085422C" w:rsidRDefault="00000000">
            <w:r>
              <w:rPr>
                <w:rFonts w:eastAsia="Noto Sans"/>
                <w:color w:val="24313D"/>
                <w:sz w:val="14"/>
              </w:rPr>
              <w:t>Illustrative only: 35 vs 20 servers and 280 vs 160 RTX GPUs; not a product claim</w:t>
            </w:r>
          </w:p>
        </w:tc>
      </w:tr>
    </w:tbl>
    <w:p w14:paraId="0BBA469F" w14:textId="77777777" w:rsidR="0085422C" w:rsidRDefault="0085422C">
      <w:pPr>
        <w:spacing w:after="20"/>
      </w:pPr>
    </w:p>
    <w:tbl>
      <w:tblPr>
        <w:tblStyle w:val="TableGrid"/>
        <w:tblW w:w="0" w:type="auto"/>
        <w:tblLook w:val="04A0" w:firstRow="1" w:lastRow="0" w:firstColumn="1" w:lastColumn="0" w:noHBand="0" w:noVBand="1"/>
      </w:tblPr>
      <w:tblGrid>
        <w:gridCol w:w="10358"/>
      </w:tblGrid>
      <w:tr w:rsidR="005A5290" w14:paraId="519247F3" w14:textId="77777777" w:rsidTr="005A5290">
        <w:tc>
          <w:tcPr>
            <w:tcW w:w="10584" w:type="dxa"/>
          </w:tcPr>
          <w:p w14:paraId="16302F46" w14:textId="43C33E93" w:rsidR="005A5290" w:rsidRDefault="005A5290">
            <w:pPr>
              <w:spacing w:after="40"/>
              <w:jc w:val="center"/>
            </w:pPr>
            <w:r>
              <w:rPr>
                <w:noProof/>
              </w:rPr>
              <w:drawing>
                <wp:inline distT="0" distB="0" distL="0" distR="0" wp14:anchorId="34445D47" wp14:editId="3DBB3865">
                  <wp:extent cx="5989320" cy="3559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surance_fleet.png"/>
                          <pic:cNvPicPr/>
                        </pic:nvPicPr>
                        <pic:blipFill>
                          <a:blip r:embed="rId13"/>
                          <a:stretch>
                            <a:fillRect/>
                          </a:stretch>
                        </pic:blipFill>
                        <pic:spPr>
                          <a:xfrm>
                            <a:off x="0" y="0"/>
                            <a:ext cx="5989320" cy="3559871"/>
                          </a:xfrm>
                          <a:prstGeom prst="rect">
                            <a:avLst/>
                          </a:prstGeom>
                        </pic:spPr>
                      </pic:pic>
                    </a:graphicData>
                  </a:graphic>
                </wp:inline>
              </w:drawing>
            </w:r>
          </w:p>
        </w:tc>
      </w:tr>
    </w:tbl>
    <w:p w14:paraId="04340B0C" w14:textId="4F8D5B44" w:rsidR="0085422C" w:rsidRDefault="0085422C">
      <w:pPr>
        <w:spacing w:after="40"/>
        <w:jc w:val="center"/>
      </w:pPr>
    </w:p>
    <w:p w14:paraId="5B987132" w14:textId="77777777" w:rsidR="0085422C" w:rsidRDefault="00000000">
      <w:pPr>
        <w:spacing w:after="100"/>
        <w:jc w:val="center"/>
      </w:pPr>
      <w:r>
        <w:rPr>
          <w:i/>
          <w:color w:val="66727D"/>
          <w:sz w:val="16"/>
        </w:rPr>
        <w:t>Figure 4. RTX development vehicle calibration only. The large-model benefit comes primarily from changing the complete replica geometry; the Qwen-class benefit also assumes higher accepted rate per hybrid node. Rack-scale NVL/Helios results must be re-measured from their own control configurations.</w:t>
      </w:r>
    </w:p>
    <w:p w14:paraId="023B80F5" w14:textId="77777777" w:rsidR="0085422C" w:rsidRDefault="00000000">
      <w:pPr>
        <w:keepNext/>
        <w:spacing w:before="60" w:after="60"/>
      </w:pPr>
      <w:r>
        <w:rPr>
          <w:rFonts w:eastAsia="Noto Sans"/>
          <w:b/>
          <w:color w:val="16324F"/>
          <w:sz w:val="25"/>
        </w:rPr>
        <w:t>Sensitivity: how much node improvement is required to justify the hybrid premium?</w:t>
      </w:r>
    </w:p>
    <w:p w14:paraId="3FCED8CC" w14:textId="77777777" w:rsidR="0085422C" w:rsidRDefault="00000000">
      <w:pPr>
        <w:spacing w:after="100" w:line="259" w:lineRule="auto"/>
      </w:pPr>
      <w:r>
        <w:rPr>
          <w:rFonts w:eastAsia="Noto Sans"/>
          <w:color w:val="24313D"/>
          <w:sz w:val="18"/>
        </w:rPr>
        <w:t>Normalize a GPU-only node’s comparable three-year cost to 100 units and assume the hybrid node costs 120 units after ATMOS modules, switch, power/support and platform overhead. Integration NRE is accounted separately. The table shows why the program needs service-rate evidence rather than a capacity-only story.</w:t>
      </w:r>
    </w:p>
    <w:tbl>
      <w:tblPr>
        <w:tblStyle w:val="TableGrid"/>
        <w:tblW w:w="0" w:type="auto"/>
        <w:jc w:val="center"/>
        <w:tblLayout w:type="fixed"/>
        <w:tblLook w:val="04A0" w:firstRow="1" w:lastRow="0" w:firstColumn="1" w:lastColumn="0" w:noHBand="0" w:noVBand="1"/>
      </w:tblPr>
      <w:tblGrid>
        <w:gridCol w:w="1800"/>
        <w:gridCol w:w="2016"/>
        <w:gridCol w:w="2304"/>
        <w:gridCol w:w="1440"/>
        <w:gridCol w:w="1440"/>
        <w:gridCol w:w="2880"/>
      </w:tblGrid>
      <w:tr w:rsidR="0085422C" w14:paraId="00F430ED" w14:textId="77777777">
        <w:trPr>
          <w:tblHeader/>
          <w:jc w:val="center"/>
        </w:trPr>
        <w:tc>
          <w:tcPr>
            <w:tcW w:w="1800" w:type="dxa"/>
            <w:shd w:val="clear" w:color="auto" w:fill="16324F"/>
            <w:tcMar>
              <w:top w:w="80" w:type="dxa"/>
              <w:left w:w="90" w:type="dxa"/>
              <w:bottom w:w="80" w:type="dxa"/>
              <w:right w:w="90" w:type="dxa"/>
            </w:tcMar>
            <w:vAlign w:val="center"/>
          </w:tcPr>
          <w:p w14:paraId="7D5FE0E0" w14:textId="77777777" w:rsidR="0085422C" w:rsidRDefault="00000000">
            <w:r>
              <w:rPr>
                <w:rFonts w:eastAsia="Noto Sans"/>
                <w:b/>
                <w:color w:val="FFFFFF"/>
                <w:sz w:val="15"/>
              </w:rPr>
              <w:lastRenderedPageBreak/>
              <w:t>Case</w:t>
            </w:r>
          </w:p>
        </w:tc>
        <w:tc>
          <w:tcPr>
            <w:tcW w:w="2016" w:type="dxa"/>
            <w:shd w:val="clear" w:color="auto" w:fill="16324F"/>
            <w:tcMar>
              <w:top w:w="80" w:type="dxa"/>
              <w:left w:w="90" w:type="dxa"/>
              <w:bottom w:w="80" w:type="dxa"/>
              <w:right w:w="90" w:type="dxa"/>
            </w:tcMar>
            <w:vAlign w:val="center"/>
          </w:tcPr>
          <w:p w14:paraId="6242EF41" w14:textId="77777777" w:rsidR="0085422C" w:rsidRDefault="00000000">
            <w:r>
              <w:rPr>
                <w:rFonts w:eastAsia="Noto Sans"/>
                <w:b/>
                <w:color w:val="FFFFFF"/>
                <w:sz w:val="15"/>
              </w:rPr>
              <w:t>Qwen hybrid qualified rate</w:t>
            </w:r>
          </w:p>
        </w:tc>
        <w:tc>
          <w:tcPr>
            <w:tcW w:w="2304" w:type="dxa"/>
            <w:shd w:val="clear" w:color="auto" w:fill="16324F"/>
            <w:tcMar>
              <w:top w:w="80" w:type="dxa"/>
              <w:left w:w="90" w:type="dxa"/>
              <w:bottom w:w="80" w:type="dxa"/>
              <w:right w:w="90" w:type="dxa"/>
            </w:tcMar>
            <w:vAlign w:val="center"/>
          </w:tcPr>
          <w:p w14:paraId="3CE17072" w14:textId="77777777" w:rsidR="0085422C" w:rsidRDefault="00000000">
            <w:r>
              <w:rPr>
                <w:rFonts w:eastAsia="Noto Sans"/>
                <w:b/>
                <w:color w:val="FFFFFF"/>
                <w:sz w:val="15"/>
              </w:rPr>
              <w:t>Large-MoE hybrid qualified rate</w:t>
            </w:r>
          </w:p>
        </w:tc>
        <w:tc>
          <w:tcPr>
            <w:tcW w:w="1440" w:type="dxa"/>
            <w:shd w:val="clear" w:color="auto" w:fill="16324F"/>
            <w:tcMar>
              <w:top w:w="80" w:type="dxa"/>
              <w:left w:w="90" w:type="dxa"/>
              <w:bottom w:w="80" w:type="dxa"/>
              <w:right w:w="90" w:type="dxa"/>
            </w:tcMar>
            <w:vAlign w:val="center"/>
          </w:tcPr>
          <w:p w14:paraId="2FA3AB78" w14:textId="77777777" w:rsidR="0085422C" w:rsidRDefault="00000000">
            <w:r>
              <w:rPr>
                <w:rFonts w:eastAsia="Noto Sans"/>
                <w:b/>
                <w:color w:val="FFFFFF"/>
                <w:sz w:val="15"/>
              </w:rPr>
              <w:t>Hybrid fleet</w:t>
            </w:r>
          </w:p>
        </w:tc>
        <w:tc>
          <w:tcPr>
            <w:tcW w:w="1440" w:type="dxa"/>
            <w:shd w:val="clear" w:color="auto" w:fill="16324F"/>
            <w:tcMar>
              <w:top w:w="80" w:type="dxa"/>
              <w:left w:w="90" w:type="dxa"/>
              <w:bottom w:w="80" w:type="dxa"/>
              <w:right w:w="90" w:type="dxa"/>
            </w:tcMar>
            <w:vAlign w:val="center"/>
          </w:tcPr>
          <w:p w14:paraId="34F5DD35" w14:textId="77777777" w:rsidR="0085422C" w:rsidRDefault="00000000">
            <w:r>
              <w:rPr>
                <w:rFonts w:eastAsia="Noto Sans"/>
                <w:b/>
                <w:color w:val="FFFFFF"/>
                <w:sz w:val="15"/>
              </w:rPr>
              <w:t>Node reduction</w:t>
            </w:r>
          </w:p>
        </w:tc>
        <w:tc>
          <w:tcPr>
            <w:tcW w:w="2880" w:type="dxa"/>
            <w:shd w:val="clear" w:color="auto" w:fill="16324F"/>
            <w:tcMar>
              <w:top w:w="80" w:type="dxa"/>
              <w:left w:w="90" w:type="dxa"/>
              <w:bottom w:w="80" w:type="dxa"/>
              <w:right w:w="90" w:type="dxa"/>
            </w:tcMar>
            <w:vAlign w:val="center"/>
          </w:tcPr>
          <w:p w14:paraId="57340016" w14:textId="77777777" w:rsidR="0085422C" w:rsidRDefault="00000000">
            <w:r>
              <w:rPr>
                <w:rFonts w:eastAsia="Noto Sans"/>
                <w:b/>
                <w:color w:val="FFFFFF"/>
                <w:sz w:val="15"/>
              </w:rPr>
              <w:t>Comparable cost vs GPU-only</w:t>
            </w:r>
          </w:p>
        </w:tc>
      </w:tr>
      <w:tr w:rsidR="0085422C" w14:paraId="6D4B46BD" w14:textId="77777777">
        <w:trPr>
          <w:cantSplit/>
          <w:jc w:val="center"/>
        </w:trPr>
        <w:tc>
          <w:tcPr>
            <w:tcW w:w="1800" w:type="dxa"/>
            <w:tcMar>
              <w:top w:w="70" w:type="dxa"/>
              <w:left w:w="80" w:type="dxa"/>
              <w:bottom w:w="70" w:type="dxa"/>
              <w:right w:w="80" w:type="dxa"/>
            </w:tcMar>
          </w:tcPr>
          <w:p w14:paraId="33059AE9" w14:textId="77777777" w:rsidR="0085422C" w:rsidRDefault="00000000">
            <w:r>
              <w:rPr>
                <w:rFonts w:eastAsia="Noto Sans"/>
                <w:b/>
                <w:color w:val="24313D"/>
                <w:sz w:val="15"/>
              </w:rPr>
              <w:t>Minimum useful</w:t>
            </w:r>
          </w:p>
        </w:tc>
        <w:tc>
          <w:tcPr>
            <w:tcW w:w="2016" w:type="dxa"/>
            <w:tcMar>
              <w:top w:w="70" w:type="dxa"/>
              <w:left w:w="80" w:type="dxa"/>
              <w:bottom w:w="70" w:type="dxa"/>
              <w:right w:w="80" w:type="dxa"/>
            </w:tcMar>
          </w:tcPr>
          <w:p w14:paraId="7914B9EE" w14:textId="77777777" w:rsidR="0085422C" w:rsidRDefault="00000000">
            <w:r>
              <w:rPr>
                <w:rFonts w:eastAsia="Noto Sans"/>
                <w:color w:val="24313D"/>
                <w:sz w:val="15"/>
              </w:rPr>
              <w:t>1.7 RPS/node</w:t>
            </w:r>
          </w:p>
        </w:tc>
        <w:tc>
          <w:tcPr>
            <w:tcW w:w="2304" w:type="dxa"/>
            <w:tcMar>
              <w:top w:w="70" w:type="dxa"/>
              <w:left w:w="80" w:type="dxa"/>
              <w:bottom w:w="70" w:type="dxa"/>
              <w:right w:w="80" w:type="dxa"/>
            </w:tcMar>
          </w:tcPr>
          <w:p w14:paraId="2B2DCA46" w14:textId="77777777" w:rsidR="0085422C" w:rsidRDefault="00000000">
            <w:r>
              <w:rPr>
                <w:rFonts w:eastAsia="Noto Sans"/>
                <w:color w:val="24313D"/>
                <w:sz w:val="15"/>
              </w:rPr>
              <w:t>0.55 RPS/node</w:t>
            </w:r>
          </w:p>
        </w:tc>
        <w:tc>
          <w:tcPr>
            <w:tcW w:w="1440" w:type="dxa"/>
            <w:tcMar>
              <w:top w:w="70" w:type="dxa"/>
              <w:left w:w="80" w:type="dxa"/>
              <w:bottom w:w="70" w:type="dxa"/>
              <w:right w:w="80" w:type="dxa"/>
            </w:tcMar>
          </w:tcPr>
          <w:p w14:paraId="16B5A364" w14:textId="77777777" w:rsidR="0085422C" w:rsidRDefault="00000000">
            <w:r>
              <w:rPr>
                <w:rFonts w:eastAsia="Noto Sans"/>
                <w:color w:val="24313D"/>
                <w:sz w:val="15"/>
              </w:rPr>
              <w:t>24 nodes</w:t>
            </w:r>
          </w:p>
        </w:tc>
        <w:tc>
          <w:tcPr>
            <w:tcW w:w="1440" w:type="dxa"/>
            <w:tcMar>
              <w:top w:w="70" w:type="dxa"/>
              <w:left w:w="80" w:type="dxa"/>
              <w:bottom w:w="70" w:type="dxa"/>
              <w:right w:w="80" w:type="dxa"/>
            </w:tcMar>
          </w:tcPr>
          <w:p w14:paraId="514A0380" w14:textId="77777777" w:rsidR="0085422C" w:rsidRDefault="00000000">
            <w:r>
              <w:rPr>
                <w:rFonts w:eastAsia="Noto Sans"/>
                <w:color w:val="24313D"/>
                <w:sz w:val="15"/>
              </w:rPr>
              <w:t>31%</w:t>
            </w:r>
          </w:p>
        </w:tc>
        <w:tc>
          <w:tcPr>
            <w:tcW w:w="2880" w:type="dxa"/>
            <w:tcMar>
              <w:top w:w="70" w:type="dxa"/>
              <w:left w:w="80" w:type="dxa"/>
              <w:bottom w:w="70" w:type="dxa"/>
              <w:right w:w="80" w:type="dxa"/>
            </w:tcMar>
          </w:tcPr>
          <w:p w14:paraId="1F752CFA" w14:textId="77777777" w:rsidR="0085422C" w:rsidRDefault="00000000">
            <w:r>
              <w:rPr>
                <w:rFonts w:eastAsia="Noto Sans"/>
                <w:color w:val="24313D"/>
                <w:sz w:val="15"/>
              </w:rPr>
              <w:t>2,880 vs 3,500 units → ~18% lower</w:t>
            </w:r>
          </w:p>
        </w:tc>
      </w:tr>
      <w:tr w:rsidR="0085422C" w14:paraId="18765B9F" w14:textId="77777777">
        <w:trPr>
          <w:cantSplit/>
          <w:jc w:val="center"/>
        </w:trPr>
        <w:tc>
          <w:tcPr>
            <w:tcW w:w="1800" w:type="dxa"/>
            <w:shd w:val="clear" w:color="auto" w:fill="F6F8FA"/>
            <w:tcMar>
              <w:top w:w="70" w:type="dxa"/>
              <w:left w:w="80" w:type="dxa"/>
              <w:bottom w:w="70" w:type="dxa"/>
              <w:right w:w="80" w:type="dxa"/>
            </w:tcMar>
          </w:tcPr>
          <w:p w14:paraId="7BE5AB48" w14:textId="77777777" w:rsidR="0085422C" w:rsidRDefault="00000000">
            <w:r>
              <w:rPr>
                <w:rFonts w:eastAsia="Noto Sans"/>
                <w:b/>
                <w:color w:val="24313D"/>
                <w:sz w:val="15"/>
              </w:rPr>
              <w:t>Target planning case</w:t>
            </w:r>
          </w:p>
        </w:tc>
        <w:tc>
          <w:tcPr>
            <w:tcW w:w="2016" w:type="dxa"/>
            <w:shd w:val="clear" w:color="auto" w:fill="F6F8FA"/>
            <w:tcMar>
              <w:top w:w="70" w:type="dxa"/>
              <w:left w:w="80" w:type="dxa"/>
              <w:bottom w:w="70" w:type="dxa"/>
              <w:right w:w="80" w:type="dxa"/>
            </w:tcMar>
          </w:tcPr>
          <w:p w14:paraId="34E8D547" w14:textId="77777777" w:rsidR="0085422C" w:rsidRDefault="00000000">
            <w:r>
              <w:rPr>
                <w:rFonts w:eastAsia="Noto Sans"/>
                <w:color w:val="24313D"/>
                <w:sz w:val="15"/>
              </w:rPr>
              <w:t>2.2 RPS/node</w:t>
            </w:r>
          </w:p>
        </w:tc>
        <w:tc>
          <w:tcPr>
            <w:tcW w:w="2304" w:type="dxa"/>
            <w:shd w:val="clear" w:color="auto" w:fill="F6F8FA"/>
            <w:tcMar>
              <w:top w:w="70" w:type="dxa"/>
              <w:left w:w="80" w:type="dxa"/>
              <w:bottom w:w="70" w:type="dxa"/>
              <w:right w:w="80" w:type="dxa"/>
            </w:tcMar>
          </w:tcPr>
          <w:p w14:paraId="634AE2D3" w14:textId="77777777" w:rsidR="0085422C" w:rsidRDefault="00000000">
            <w:r>
              <w:rPr>
                <w:rFonts w:eastAsia="Noto Sans"/>
                <w:color w:val="24313D"/>
                <w:sz w:val="15"/>
              </w:rPr>
              <w:t>0.70 RPS/node</w:t>
            </w:r>
          </w:p>
        </w:tc>
        <w:tc>
          <w:tcPr>
            <w:tcW w:w="1440" w:type="dxa"/>
            <w:shd w:val="clear" w:color="auto" w:fill="F6F8FA"/>
            <w:tcMar>
              <w:top w:w="70" w:type="dxa"/>
              <w:left w:w="80" w:type="dxa"/>
              <w:bottom w:w="70" w:type="dxa"/>
              <w:right w:w="80" w:type="dxa"/>
            </w:tcMar>
          </w:tcPr>
          <w:p w14:paraId="4AECB748" w14:textId="77777777" w:rsidR="0085422C" w:rsidRDefault="00000000">
            <w:r>
              <w:rPr>
                <w:rFonts w:eastAsia="Noto Sans"/>
                <w:color w:val="24313D"/>
                <w:sz w:val="15"/>
              </w:rPr>
              <w:t>20 nodes</w:t>
            </w:r>
          </w:p>
        </w:tc>
        <w:tc>
          <w:tcPr>
            <w:tcW w:w="1440" w:type="dxa"/>
            <w:shd w:val="clear" w:color="auto" w:fill="F6F8FA"/>
            <w:tcMar>
              <w:top w:w="70" w:type="dxa"/>
              <w:left w:w="80" w:type="dxa"/>
              <w:bottom w:w="70" w:type="dxa"/>
              <w:right w:w="80" w:type="dxa"/>
            </w:tcMar>
          </w:tcPr>
          <w:p w14:paraId="76401DF1" w14:textId="77777777" w:rsidR="0085422C" w:rsidRDefault="00000000">
            <w:r>
              <w:rPr>
                <w:rFonts w:eastAsia="Noto Sans"/>
                <w:color w:val="24313D"/>
                <w:sz w:val="15"/>
              </w:rPr>
              <w:t>43%</w:t>
            </w:r>
          </w:p>
        </w:tc>
        <w:tc>
          <w:tcPr>
            <w:tcW w:w="2880" w:type="dxa"/>
            <w:shd w:val="clear" w:color="auto" w:fill="F6F8FA"/>
            <w:tcMar>
              <w:top w:w="70" w:type="dxa"/>
              <w:left w:w="80" w:type="dxa"/>
              <w:bottom w:w="70" w:type="dxa"/>
              <w:right w:w="80" w:type="dxa"/>
            </w:tcMar>
          </w:tcPr>
          <w:p w14:paraId="14C9B01F" w14:textId="77777777" w:rsidR="0085422C" w:rsidRDefault="00000000">
            <w:r>
              <w:rPr>
                <w:rFonts w:eastAsia="Noto Sans"/>
                <w:color w:val="24313D"/>
                <w:sz w:val="15"/>
              </w:rPr>
              <w:t>Illustrative only: 2,400 vs 3,500 units; qualification required</w:t>
            </w:r>
          </w:p>
        </w:tc>
      </w:tr>
      <w:tr w:rsidR="0085422C" w14:paraId="6304B088" w14:textId="77777777">
        <w:trPr>
          <w:cantSplit/>
          <w:jc w:val="center"/>
        </w:trPr>
        <w:tc>
          <w:tcPr>
            <w:tcW w:w="1800" w:type="dxa"/>
            <w:tcMar>
              <w:top w:w="70" w:type="dxa"/>
              <w:left w:w="80" w:type="dxa"/>
              <w:bottom w:w="70" w:type="dxa"/>
              <w:right w:w="80" w:type="dxa"/>
            </w:tcMar>
          </w:tcPr>
          <w:p w14:paraId="0FA5ABBF" w14:textId="77777777" w:rsidR="0085422C" w:rsidRDefault="00000000">
            <w:r>
              <w:rPr>
                <w:rFonts w:eastAsia="Noto Sans"/>
                <w:b/>
                <w:color w:val="24313D"/>
                <w:sz w:val="15"/>
              </w:rPr>
              <w:t>Stretch</w:t>
            </w:r>
          </w:p>
        </w:tc>
        <w:tc>
          <w:tcPr>
            <w:tcW w:w="2016" w:type="dxa"/>
            <w:tcMar>
              <w:top w:w="70" w:type="dxa"/>
              <w:left w:w="80" w:type="dxa"/>
              <w:bottom w:w="70" w:type="dxa"/>
              <w:right w:w="80" w:type="dxa"/>
            </w:tcMar>
          </w:tcPr>
          <w:p w14:paraId="61BA6EB7" w14:textId="77777777" w:rsidR="0085422C" w:rsidRDefault="00000000">
            <w:r>
              <w:rPr>
                <w:rFonts w:eastAsia="Noto Sans"/>
                <w:color w:val="24313D"/>
                <w:sz w:val="15"/>
              </w:rPr>
              <w:t>2.6 RPS/node</w:t>
            </w:r>
          </w:p>
        </w:tc>
        <w:tc>
          <w:tcPr>
            <w:tcW w:w="2304" w:type="dxa"/>
            <w:tcMar>
              <w:top w:w="70" w:type="dxa"/>
              <w:left w:w="80" w:type="dxa"/>
              <w:bottom w:w="70" w:type="dxa"/>
              <w:right w:w="80" w:type="dxa"/>
            </w:tcMar>
          </w:tcPr>
          <w:p w14:paraId="48364263" w14:textId="77777777" w:rsidR="0085422C" w:rsidRDefault="00000000">
            <w:r>
              <w:rPr>
                <w:rFonts w:eastAsia="Noto Sans"/>
                <w:color w:val="24313D"/>
                <w:sz w:val="15"/>
              </w:rPr>
              <w:t>0.90 RPS/node</w:t>
            </w:r>
          </w:p>
        </w:tc>
        <w:tc>
          <w:tcPr>
            <w:tcW w:w="1440" w:type="dxa"/>
            <w:tcMar>
              <w:top w:w="70" w:type="dxa"/>
              <w:left w:w="80" w:type="dxa"/>
              <w:bottom w:w="70" w:type="dxa"/>
              <w:right w:w="80" w:type="dxa"/>
            </w:tcMar>
          </w:tcPr>
          <w:p w14:paraId="649DBCFC" w14:textId="77777777" w:rsidR="0085422C" w:rsidRDefault="00000000">
            <w:r>
              <w:rPr>
                <w:rFonts w:eastAsia="Noto Sans"/>
                <w:color w:val="24313D"/>
                <w:sz w:val="15"/>
              </w:rPr>
              <w:t>16 nodes</w:t>
            </w:r>
          </w:p>
        </w:tc>
        <w:tc>
          <w:tcPr>
            <w:tcW w:w="1440" w:type="dxa"/>
            <w:tcMar>
              <w:top w:w="70" w:type="dxa"/>
              <w:left w:w="80" w:type="dxa"/>
              <w:bottom w:w="70" w:type="dxa"/>
              <w:right w:w="80" w:type="dxa"/>
            </w:tcMar>
          </w:tcPr>
          <w:p w14:paraId="1267F467" w14:textId="77777777" w:rsidR="0085422C" w:rsidRDefault="00000000">
            <w:r>
              <w:rPr>
                <w:rFonts w:eastAsia="Noto Sans"/>
                <w:color w:val="24313D"/>
                <w:sz w:val="15"/>
              </w:rPr>
              <w:t>54%</w:t>
            </w:r>
          </w:p>
        </w:tc>
        <w:tc>
          <w:tcPr>
            <w:tcW w:w="2880" w:type="dxa"/>
            <w:tcMar>
              <w:top w:w="70" w:type="dxa"/>
              <w:left w:w="80" w:type="dxa"/>
              <w:bottom w:w="70" w:type="dxa"/>
              <w:right w:w="80" w:type="dxa"/>
            </w:tcMar>
          </w:tcPr>
          <w:p w14:paraId="3917D9A0" w14:textId="77777777" w:rsidR="0085422C" w:rsidRDefault="00000000">
            <w:r>
              <w:rPr>
                <w:rFonts w:eastAsia="Noto Sans"/>
                <w:color w:val="24313D"/>
                <w:sz w:val="15"/>
              </w:rPr>
              <w:t>1,920 vs 3,500 units → ~45% lower</w:t>
            </w:r>
          </w:p>
        </w:tc>
      </w:tr>
    </w:tbl>
    <w:p w14:paraId="45F53057" w14:textId="77777777" w:rsidR="0085422C" w:rsidRDefault="0085422C">
      <w:pPr>
        <w:spacing w:after="20"/>
      </w:pPr>
    </w:p>
    <w:p w14:paraId="6A4C58C3" w14:textId="77777777" w:rsidR="0085422C" w:rsidRDefault="00000000">
      <w:pPr>
        <w:spacing w:before="20" w:after="80"/>
      </w:pPr>
      <w:r>
        <w:rPr>
          <w:i/>
          <w:color w:val="66727D"/>
          <w:sz w:val="16"/>
        </w:rPr>
        <w:t>Source / note: These rates and the 20% hybrid-node premium are scenario inputs, not forecasts. The illustrative dollar translation is an RTX-development calibration only and must not be presented as NVL or Helios TCO. Rack-scale economics use actual GPU-rack quotes, power, networking, availability reserve and measured accepted service rate.</w:t>
      </w:r>
    </w:p>
    <w:p w14:paraId="0DF624E8" w14:textId="77777777" w:rsidR="0085422C" w:rsidRDefault="00000000">
      <w:pPr>
        <w:keepNext/>
        <w:spacing w:before="60" w:after="60"/>
      </w:pPr>
      <w:r>
        <w:rPr>
          <w:rFonts w:eastAsia="Noto Sans"/>
          <w:b/>
          <w:color w:val="16324F"/>
          <w:sz w:val="25"/>
        </w:rPr>
        <w:t>Operational effect beyond server count</w:t>
      </w:r>
    </w:p>
    <w:p w14:paraId="36F2999F" w14:textId="77777777" w:rsidR="0085422C" w:rsidRDefault="00000000">
      <w:pPr>
        <w:pStyle w:val="ListBullet"/>
        <w:spacing w:after="40" w:line="252" w:lineRule="auto"/>
        <w:ind w:left="259" w:hanging="173"/>
      </w:pPr>
      <w:r>
        <w:rPr>
          <w:rFonts w:eastAsia="Noto Sans"/>
          <w:color w:val="24313D"/>
        </w:rPr>
        <w:t>Fewer RTX nodes means fewer GPU/NIC/server firmware combinations to patch, monitor, spare and recover, but each hybrid node adds ATMOS firmware/driver and switch lifecycle that must be supported as one release.</w:t>
      </w:r>
    </w:p>
    <w:p w14:paraId="13FC2B3A" w14:textId="77777777" w:rsidR="0085422C" w:rsidRDefault="00000000">
      <w:pPr>
        <w:pStyle w:val="ListBullet"/>
        <w:spacing w:after="40" w:line="252" w:lineRule="auto"/>
        <w:ind w:left="259" w:hanging="173"/>
      </w:pPr>
      <w:r>
        <w:rPr>
          <w:rFonts w:eastAsia="Noto Sans"/>
          <w:color w:val="24313D"/>
        </w:rPr>
        <w:t>A complete local expert bank can reduce inter-node EP traffic for the supported group. That may simplify network sizing and tail behavior, but the saving is counted only when ports/bandwidth or service capacity can actually be removed or avoided.</w:t>
      </w:r>
    </w:p>
    <w:p w14:paraId="4C1307F7" w14:textId="77777777" w:rsidR="0085422C" w:rsidRDefault="00000000">
      <w:pPr>
        <w:pStyle w:val="ListBullet"/>
        <w:spacing w:after="40" w:line="252" w:lineRule="auto"/>
        <w:ind w:left="259" w:hanging="173"/>
      </w:pPr>
      <w:r>
        <w:rPr>
          <w:rFonts w:eastAsia="Noto Sans"/>
          <w:color w:val="24313D"/>
        </w:rPr>
        <w:t>More free RTX GDDR can be spent on live KV and active sequences. This can reduce admission pressure and queueing; any TTFT/TPOT improvement must be measured at identical offered load and is not included in the node-count arithmetic above.</w:t>
      </w:r>
    </w:p>
    <w:p w14:paraId="11257BE7" w14:textId="77777777" w:rsidR="0085422C" w:rsidRDefault="00000000">
      <w:pPr>
        <w:pStyle w:val="ListBullet"/>
        <w:spacing w:after="40" w:line="252" w:lineRule="auto"/>
        <w:ind w:left="259" w:hanging="173"/>
      </w:pPr>
      <w:r>
        <w:rPr>
          <w:rFonts w:eastAsia="Noto Sans"/>
          <w:color w:val="24313D"/>
        </w:rPr>
        <w:t>The 16-bit ~671B case is a deliberate limit case: the routed expert bank alone is ~1.31 TB raw, so eight ATMOS devices under the 800-GB study budget do not make it a one-node service. Precision and actual pack size determine the valid topology.</w:t>
      </w:r>
    </w:p>
    <w:tbl>
      <w:tblPr>
        <w:tblStyle w:val="TableGrid"/>
        <w:tblW w:w="0" w:type="auto"/>
        <w:jc w:val="center"/>
        <w:tblLayout w:type="fixed"/>
        <w:tblLook w:val="04A0" w:firstRow="1" w:lastRow="0" w:firstColumn="1" w:lastColumn="0" w:noHBand="0" w:noVBand="1"/>
      </w:tblPr>
      <w:tblGrid>
        <w:gridCol w:w="10224"/>
      </w:tblGrid>
      <w:tr w:rsidR="00846FAB" w14:paraId="6C4C294C" w14:textId="77777777">
        <w:trPr>
          <w:tblHeader/>
          <w:jc w:val="center"/>
        </w:trPr>
        <w:tc>
          <w:tcPr>
            <w:tcW w:w="10224" w:type="dxa"/>
            <w:shd w:val="clear" w:color="auto" w:fill="F9ECEF"/>
            <w:vAlign w:val="center"/>
          </w:tcPr>
          <w:p w14:paraId="660F1958" w14:textId="77777777" w:rsidR="00846FAB" w:rsidRDefault="00000000">
            <w:r>
              <w:rPr>
                <w:b/>
                <w:color w:val="A73545"/>
                <w:sz w:val="16"/>
              </w:rPr>
              <w:t>RACK-SCALE TRANSLATION RULE  Hold the model, request mix, quality, TTFT/TPOT and failure reserve constant. Compare GPU-only NVL with NVL+ATMOS and GPU-only Helios with Helios+ATMOS. Credit only measured gains such as more accepted tokens/requests per rack, more usable KV/concurrency, fewer active GPU trays/racks, or avoidable scale-out traffic. Do not transfer the 43% RTX-development node reduction.</w:t>
            </w:r>
          </w:p>
        </w:tc>
      </w:tr>
    </w:tbl>
    <w:p w14:paraId="40D92AC4" w14:textId="77777777" w:rsidR="0085422C" w:rsidRDefault="00000000">
      <w:r>
        <w:br w:type="page"/>
      </w:r>
    </w:p>
    <w:p w14:paraId="664A7918" w14:textId="77777777" w:rsidR="0085422C" w:rsidRDefault="0085422C"/>
    <w:p>
      <w:r>
        <w:br w:type="page"/>
      </w:r>
    </w:p>
    <w:p>
      <w:pPr>
        <w:pStyle w:val="Heading1"/>
        <w:keepNext/>
      </w:pPr>
      <w:r>
        <w:rPr>
          <w:color w:val="1F4E78"/>
        </w:rPr>
        <w:t>Part IV — V2 assessment disposition</w:t>
      </w:r>
    </w:p>
    <w:p>
      <w:pPr>
        <w:spacing w:after="120"/>
      </w:pPr>
      <w:r>
        <w:t>V3 treats every assessment item as a decision obligation. An item is closed only by a versioned artifact and an approved result; prose, capacity arithmetic, or a vendor roadmap does not close a gate.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17365D"/>
          </w:tcPr>
          <w:p>
            <w:pPr>
              <w:spacing w:after="0"/>
            </w:pPr>
            <w:r/>
            <w:r>
              <w:rPr>
                <w:b/>
                <w:color w:val="FFFFFF"/>
                <w:sz w:val="16"/>
              </w:rPr>
              <w:t>ID</w:t>
            </w:r>
          </w:p>
        </w:tc>
        <w:tc>
          <w:tcPr>
            <w:tcW w:type="dxa" w:w="2592"/>
            <w:vAlign w:val="center"/>
            <w:shd w:fill="17365D"/>
          </w:tcPr>
          <w:p>
            <w:pPr>
              <w:spacing w:after="0"/>
            </w:pPr>
            <w:r/>
            <w:r>
              <w:rPr>
                <w:b/>
                <w:color w:val="FFFFFF"/>
                <w:sz w:val="16"/>
              </w:rPr>
              <w:t>V2 assessment item</w:t>
            </w:r>
          </w:p>
        </w:tc>
        <w:tc>
          <w:tcPr>
            <w:tcW w:type="dxa" w:w="2592"/>
            <w:vAlign w:val="center"/>
            <w:shd w:fill="17365D"/>
          </w:tcPr>
          <w:p>
            <w:pPr>
              <w:spacing w:after="0"/>
            </w:pPr>
            <w:r/>
            <w:r>
              <w:rPr>
                <w:b/>
                <w:color w:val="FFFFFF"/>
                <w:sz w:val="16"/>
              </w:rPr>
              <w:t>Closure gate(s)</w:t>
            </w:r>
          </w:p>
        </w:tc>
        <w:tc>
          <w:tcPr>
            <w:tcW w:type="dxa" w:w="2592"/>
            <w:vAlign w:val="center"/>
            <w:shd w:fill="17365D"/>
          </w:tcPr>
          <w:p>
            <w:pPr>
              <w:spacing w:after="0"/>
            </w:pPr>
            <w:r/>
            <w:r>
              <w:rPr>
                <w:b/>
                <w:color w:val="FFFFFF"/>
                <w:sz w:val="16"/>
              </w:rPr>
              <w:t>Required evidence</w:t>
            </w:r>
          </w:p>
        </w:tc>
      </w:tr>
      <w:tr>
        <w:tc>
          <w:tcPr>
            <w:tcW w:type="dxa" w:w="2592"/>
            <w:vAlign w:val="center"/>
          </w:tcPr>
          <w:p>
            <w:pPr>
              <w:spacing w:after="0"/>
            </w:pPr>
            <w:r/>
            <w:r>
              <w:rPr>
                <w:b w:val="0"/>
                <w:sz w:val="16"/>
              </w:rPr>
              <w:t>R1</w:t>
            </w:r>
          </w:p>
        </w:tc>
        <w:tc>
          <w:tcPr>
            <w:tcW w:type="dxa" w:w="2592"/>
            <w:vAlign w:val="center"/>
          </w:tcPr>
          <w:p>
            <w:pPr>
              <w:spacing w:after="0"/>
            </w:pPr>
            <w:r/>
            <w:r>
              <w:rPr>
                <w:b w:val="0"/>
                <w:sz w:val="16"/>
              </w:rPr>
              <w:t>Per-MoE-layer serial round-trip latency</w:t>
            </w:r>
          </w:p>
        </w:tc>
        <w:tc>
          <w:tcPr>
            <w:tcW w:type="dxa" w:w="2592"/>
            <w:vAlign w:val="center"/>
          </w:tcPr>
          <w:p>
            <w:pPr>
              <w:spacing w:after="0"/>
            </w:pPr>
            <w:r/>
            <w:r>
              <w:rPr>
                <w:b w:val="0"/>
                <w:sz w:val="16"/>
              </w:rPr>
              <w:t>G1, G3, G5</w:t>
            </w:r>
          </w:p>
        </w:tc>
        <w:tc>
          <w:tcPr>
            <w:tcW w:type="dxa" w:w="2592"/>
            <w:vAlign w:val="center"/>
          </w:tcPr>
          <w:p>
            <w:pPr>
              <w:spacing w:after="0"/>
            </w:pPr>
            <w:r/>
            <w:r>
              <w:rPr>
                <w:b w:val="0"/>
                <w:sz w:val="16"/>
              </w:rPr>
              <w:t>Latency decomposition; p50/p95/p99; TPOT budget replay</w:t>
            </w:r>
          </w:p>
        </w:tc>
      </w:tr>
      <w:tr>
        <w:tc>
          <w:tcPr>
            <w:tcW w:type="dxa" w:w="2592"/>
            <w:vAlign w:val="center"/>
            <w:shd w:fill="F2F2F2"/>
          </w:tcPr>
          <w:p>
            <w:pPr>
              <w:spacing w:after="0"/>
            </w:pPr>
            <w:r/>
            <w:r>
              <w:rPr>
                <w:b w:val="0"/>
                <w:sz w:val="16"/>
              </w:rPr>
              <w:t>R2</w:t>
            </w:r>
          </w:p>
        </w:tc>
        <w:tc>
          <w:tcPr>
            <w:tcW w:type="dxa" w:w="2592"/>
            <w:vAlign w:val="center"/>
            <w:shd w:fill="F2F2F2"/>
          </w:tcPr>
          <w:p>
            <w:pPr>
              <w:spacing w:after="0"/>
            </w:pPr>
            <w:r/>
            <w:r>
              <w:rPr>
                <w:b w:val="0"/>
                <w:sz w:val="16"/>
              </w:rPr>
              <w:t>200 GB/s HBF and small-batch expert efficiency</w:t>
            </w:r>
          </w:p>
        </w:tc>
        <w:tc>
          <w:tcPr>
            <w:tcW w:type="dxa" w:w="2592"/>
            <w:vAlign w:val="center"/>
            <w:shd w:fill="F2F2F2"/>
          </w:tcPr>
          <w:p>
            <w:pPr>
              <w:spacing w:after="0"/>
            </w:pPr>
            <w:r/>
            <w:r>
              <w:rPr>
                <w:b w:val="0"/>
                <w:sz w:val="16"/>
              </w:rPr>
              <w:t>G1</w:t>
            </w:r>
          </w:p>
        </w:tc>
        <w:tc>
          <w:tcPr>
            <w:tcW w:type="dxa" w:w="2592"/>
            <w:vAlign w:val="center"/>
            <w:shd w:fill="F2F2F2"/>
          </w:tcPr>
          <w:p>
            <w:pPr>
              <w:spacing w:after="0"/>
            </w:pPr>
            <w:r/>
            <w:r>
              <w:rPr>
                <w:b w:val="0"/>
                <w:sz w:val="16"/>
              </w:rPr>
              <w:t>Measured expert service curves by shape, precision, and tokens/expert</w:t>
            </w:r>
          </w:p>
        </w:tc>
      </w:tr>
      <w:tr>
        <w:tc>
          <w:tcPr>
            <w:tcW w:type="dxa" w:w="2592"/>
            <w:vAlign w:val="center"/>
          </w:tcPr>
          <w:p>
            <w:pPr>
              <w:spacing w:after="0"/>
            </w:pPr>
            <w:r/>
            <w:r>
              <w:rPr>
                <w:b w:val="0"/>
                <w:sz w:val="16"/>
              </w:rPr>
              <w:t>R3</w:t>
            </w:r>
          </w:p>
        </w:tc>
        <w:tc>
          <w:tcPr>
            <w:tcW w:type="dxa" w:w="2592"/>
            <w:vAlign w:val="center"/>
          </w:tcPr>
          <w:p>
            <w:pPr>
              <w:spacing w:after="0"/>
            </w:pPr>
            <w:r/>
            <w:r>
              <w:rPr>
                <w:b w:val="0"/>
                <w:sz w:val="16"/>
              </w:rPr>
              <w:t>No exact rack attachment or lifecycle path</w:t>
            </w:r>
          </w:p>
        </w:tc>
        <w:tc>
          <w:tcPr>
            <w:tcW w:type="dxa" w:w="2592"/>
            <w:vAlign w:val="center"/>
          </w:tcPr>
          <w:p>
            <w:pPr>
              <w:spacing w:after="0"/>
            </w:pPr>
            <w:r/>
            <w:r>
              <w:rPr>
                <w:b w:val="0"/>
                <w:sz w:val="16"/>
              </w:rPr>
              <w:t>G4</w:t>
            </w:r>
          </w:p>
        </w:tc>
        <w:tc>
          <w:tcPr>
            <w:tcW w:type="dxa" w:w="2592"/>
            <w:vAlign w:val="center"/>
          </w:tcPr>
          <w:p>
            <w:pPr>
              <w:spacing w:after="0"/>
            </w:pPr>
            <w:r/>
            <w:r>
              <w:rPr>
                <w:b w:val="0"/>
                <w:sz w:val="16"/>
              </w:rPr>
              <w:t>Named OEM design record: lanes, mechanics, power, cooling, BIOS/BMC, service</w:t>
            </w:r>
          </w:p>
        </w:tc>
      </w:tr>
      <w:tr>
        <w:tc>
          <w:tcPr>
            <w:tcW w:type="dxa" w:w="2592"/>
            <w:vAlign w:val="center"/>
            <w:shd w:fill="F2F2F2"/>
          </w:tcPr>
          <w:p>
            <w:pPr>
              <w:spacing w:after="0"/>
            </w:pPr>
            <w:r/>
            <w:r>
              <w:rPr>
                <w:b w:val="0"/>
                <w:sz w:val="16"/>
              </w:rPr>
              <w:t>R4</w:t>
            </w:r>
          </w:p>
        </w:tc>
        <w:tc>
          <w:tcPr>
            <w:tcW w:type="dxa" w:w="2592"/>
            <w:vAlign w:val="center"/>
            <w:shd w:fill="F2F2F2"/>
          </w:tcPr>
          <w:p>
            <w:pPr>
              <w:spacing w:after="0"/>
            </w:pPr>
            <w:r/>
            <w:r>
              <w:rPr>
                <w:b w:val="0"/>
                <w:sz w:val="16"/>
              </w:rPr>
              <w:t>RTX results do not transfer to rack scale</w:t>
            </w:r>
          </w:p>
        </w:tc>
        <w:tc>
          <w:tcPr>
            <w:tcW w:type="dxa" w:w="2592"/>
            <w:vAlign w:val="center"/>
            <w:shd w:fill="F2F2F2"/>
          </w:tcPr>
          <w:p>
            <w:pPr>
              <w:spacing w:after="0"/>
            </w:pPr>
            <w:r/>
            <w:r>
              <w:rPr>
                <w:b w:val="0"/>
                <w:sz w:val="16"/>
              </w:rPr>
              <w:t>G4, G5</w:t>
            </w:r>
          </w:p>
        </w:tc>
        <w:tc>
          <w:tcPr>
            <w:tcW w:type="dxa" w:w="2592"/>
            <w:vAlign w:val="center"/>
            <w:shd w:fill="F2F2F2"/>
          </w:tcPr>
          <w:p>
            <w:pPr>
              <w:spacing w:after="0"/>
            </w:pPr>
            <w:r/>
            <w:r>
              <w:rPr>
                <w:b w:val="0"/>
                <w:sz w:val="16"/>
              </w:rPr>
              <w:t>RTX called a development vehicle; each target is requalified independently</w:t>
            </w:r>
          </w:p>
        </w:tc>
      </w:tr>
      <w:tr>
        <w:tc>
          <w:tcPr>
            <w:tcW w:type="dxa" w:w="2592"/>
            <w:vAlign w:val="center"/>
          </w:tcPr>
          <w:p>
            <w:pPr>
              <w:spacing w:after="0"/>
            </w:pPr>
            <w:r/>
            <w:r>
              <w:rPr>
                <w:b w:val="0"/>
                <w:sz w:val="16"/>
              </w:rPr>
              <w:t>R5</w:t>
            </w:r>
          </w:p>
        </w:tc>
        <w:tc>
          <w:tcPr>
            <w:tcW w:type="dxa" w:w="2592"/>
            <w:vAlign w:val="center"/>
          </w:tcPr>
          <w:p>
            <w:pPr>
              <w:spacing w:after="0"/>
            </w:pPr>
            <w:r/>
            <w:r>
              <w:rPr>
                <w:b w:val="0"/>
                <w:sz w:val="16"/>
              </w:rPr>
              <w:t>Insufficient failure reserve / incomplete model on loss</w:t>
            </w:r>
          </w:p>
        </w:tc>
        <w:tc>
          <w:tcPr>
            <w:tcW w:type="dxa" w:w="2592"/>
            <w:vAlign w:val="center"/>
          </w:tcPr>
          <w:p>
            <w:pPr>
              <w:spacing w:after="0"/>
            </w:pPr>
            <w:r/>
            <w:r>
              <w:rPr>
                <w:b w:val="0"/>
                <w:sz w:val="16"/>
              </w:rPr>
              <w:t>G2, G3, G5</w:t>
            </w:r>
          </w:p>
        </w:tc>
        <w:tc>
          <w:tcPr>
            <w:tcW w:type="dxa" w:w="2592"/>
            <w:vAlign w:val="center"/>
          </w:tcPr>
          <w:p>
            <w:pPr>
              <w:spacing w:after="0"/>
            </w:pPr>
            <w:r/>
            <w:r>
              <w:rPr>
                <w:b w:val="0"/>
                <w:sz w:val="16"/>
              </w:rPr>
              <w:t>Chosen availability policy; fault injection; capacity and TCO include reserve</w:t>
            </w:r>
          </w:p>
        </w:tc>
      </w:tr>
      <w:tr>
        <w:tc>
          <w:tcPr>
            <w:tcW w:type="dxa" w:w="2592"/>
            <w:vAlign w:val="center"/>
            <w:shd w:fill="F2F2F2"/>
          </w:tcPr>
          <w:p>
            <w:pPr>
              <w:spacing w:after="0"/>
            </w:pPr>
            <w:r/>
            <w:r>
              <w:rPr>
                <w:b w:val="0"/>
                <w:sz w:val="16"/>
              </w:rPr>
              <w:t>R6</w:t>
            </w:r>
          </w:p>
        </w:tc>
        <w:tc>
          <w:tcPr>
            <w:tcW w:type="dxa" w:w="2592"/>
            <w:vAlign w:val="center"/>
            <w:shd w:fill="F2F2F2"/>
          </w:tcPr>
          <w:p>
            <w:pPr>
              <w:spacing w:after="0"/>
            </w:pPr>
            <w:r/>
            <w:r>
              <w:rPr>
                <w:b w:val="0"/>
                <w:sz w:val="16"/>
              </w:rPr>
              <w:t>Assumption-driven 43% / 31% economics</w:t>
            </w:r>
          </w:p>
        </w:tc>
        <w:tc>
          <w:tcPr>
            <w:tcW w:type="dxa" w:w="2592"/>
            <w:vAlign w:val="center"/>
            <w:shd w:fill="F2F2F2"/>
          </w:tcPr>
          <w:p>
            <w:pPr>
              <w:spacing w:after="0"/>
            </w:pPr>
            <w:r/>
            <w:r>
              <w:rPr>
                <w:b w:val="0"/>
                <w:sz w:val="16"/>
              </w:rPr>
              <w:t>G0, G3, G5</w:t>
            </w:r>
          </w:p>
        </w:tc>
        <w:tc>
          <w:tcPr>
            <w:tcW w:type="dxa" w:w="2592"/>
            <w:vAlign w:val="center"/>
            <w:shd w:fill="F2F2F2"/>
          </w:tcPr>
          <w:p>
            <w:pPr>
              <w:spacing w:after="0"/>
            </w:pPr>
            <w:r/>
            <w:r>
              <w:rPr>
                <w:b w:val="0"/>
                <w:sz w:val="16"/>
              </w:rPr>
              <w:t>Break-even model populated only with accepted-throughput and quoted TCO evidence</w:t>
            </w:r>
          </w:p>
        </w:tc>
      </w:tr>
      <w:tr>
        <w:tc>
          <w:tcPr>
            <w:tcW w:type="dxa" w:w="2592"/>
            <w:vAlign w:val="center"/>
          </w:tcPr>
          <w:p>
            <w:pPr>
              <w:spacing w:after="0"/>
            </w:pPr>
            <w:r/>
            <w:r>
              <w:rPr>
                <w:b w:val="0"/>
                <w:sz w:val="16"/>
              </w:rPr>
              <w:t>R7</w:t>
            </w:r>
          </w:p>
        </w:tc>
        <w:tc>
          <w:tcPr>
            <w:tcW w:type="dxa" w:w="2592"/>
            <w:vAlign w:val="center"/>
          </w:tcPr>
          <w:p>
            <w:pPr>
              <w:spacing w:after="0"/>
            </w:pPr>
            <w:r/>
            <w:r>
              <w:rPr>
                <w:b w:val="0"/>
                <w:sz w:val="16"/>
              </w:rPr>
              <w:t>Top-8 fan-out, skew, and slowest-device tail</w:t>
            </w:r>
          </w:p>
        </w:tc>
        <w:tc>
          <w:tcPr>
            <w:tcW w:type="dxa" w:w="2592"/>
            <w:vAlign w:val="center"/>
          </w:tcPr>
          <w:p>
            <w:pPr>
              <w:spacing w:after="0"/>
            </w:pPr>
            <w:r/>
            <w:r>
              <w:rPr>
                <w:b w:val="0"/>
                <w:sz w:val="16"/>
              </w:rPr>
              <w:t>G1, G2, G3</w:t>
            </w:r>
          </w:p>
        </w:tc>
        <w:tc>
          <w:tcPr>
            <w:tcW w:type="dxa" w:w="2592"/>
            <w:vAlign w:val="center"/>
          </w:tcPr>
          <w:p>
            <w:pPr>
              <w:spacing w:after="0"/>
            </w:pPr>
            <w:r/>
            <w:r>
              <w:rPr>
                <w:b w:val="0"/>
                <w:sz w:val="16"/>
              </w:rPr>
              <w:t>Destination count, co-activation, imbalance, fan-in, and slowest contribution</w:t>
            </w:r>
          </w:p>
        </w:tc>
      </w:tr>
      <w:tr>
        <w:tc>
          <w:tcPr>
            <w:tcW w:type="dxa" w:w="2592"/>
            <w:vAlign w:val="center"/>
            <w:shd w:fill="F2F2F2"/>
          </w:tcPr>
          <w:p>
            <w:pPr>
              <w:spacing w:after="0"/>
            </w:pPr>
            <w:r/>
            <w:r>
              <w:rPr>
                <w:b w:val="0"/>
                <w:sz w:val="16"/>
              </w:rPr>
              <w:t>R8</w:t>
            </w:r>
          </w:p>
        </w:tc>
        <w:tc>
          <w:tcPr>
            <w:tcW w:type="dxa" w:w="2592"/>
            <w:vAlign w:val="center"/>
            <w:shd w:fill="F2F2F2"/>
          </w:tcPr>
          <w:p>
            <w:pPr>
              <w:spacing w:after="0"/>
            </w:pPr>
            <w:r/>
            <w:r>
              <w:rPr>
                <w:b w:val="0"/>
                <w:sz w:val="16"/>
              </w:rPr>
              <w:t>One switch is a shared failure domain</w:t>
            </w:r>
          </w:p>
        </w:tc>
        <w:tc>
          <w:tcPr>
            <w:tcW w:type="dxa" w:w="2592"/>
            <w:vAlign w:val="center"/>
            <w:shd w:fill="F2F2F2"/>
          </w:tcPr>
          <w:p>
            <w:pPr>
              <w:spacing w:after="0"/>
            </w:pPr>
            <w:r/>
            <w:r>
              <w:rPr>
                <w:b w:val="0"/>
                <w:sz w:val="16"/>
              </w:rPr>
              <w:t>G2, G4</w:t>
            </w:r>
          </w:p>
        </w:tc>
        <w:tc>
          <w:tcPr>
            <w:tcW w:type="dxa" w:w="2592"/>
            <w:vAlign w:val="center"/>
            <w:shd w:fill="F2F2F2"/>
          </w:tcPr>
          <w:p>
            <w:pPr>
              <w:spacing w:after="0"/>
            </w:pPr>
            <w:r/>
            <w:r>
              <w:rPr>
                <w:b w:val="0"/>
                <w:sz w:val="16"/>
              </w:rPr>
              <w:t>Single-domain versus dual-domain comparison; DPC/reset containment</w:t>
            </w:r>
          </w:p>
        </w:tc>
      </w:tr>
      <w:tr>
        <w:tc>
          <w:tcPr>
            <w:tcW w:type="dxa" w:w="2592"/>
            <w:vAlign w:val="center"/>
          </w:tcPr>
          <w:p>
            <w:pPr>
              <w:spacing w:after="0"/>
            </w:pPr>
            <w:r/>
            <w:r>
              <w:rPr>
                <w:b w:val="0"/>
                <w:sz w:val="16"/>
              </w:rPr>
              <w:t>R9</w:t>
            </w:r>
          </w:p>
        </w:tc>
        <w:tc>
          <w:tcPr>
            <w:tcW w:type="dxa" w:w="2592"/>
            <w:vAlign w:val="center"/>
          </w:tcPr>
          <w:p>
            <w:pPr>
              <w:spacing w:after="0"/>
            </w:pPr>
            <w:r/>
            <w:r>
              <w:rPr>
                <w:b w:val="0"/>
                <w:sz w:val="16"/>
              </w:rPr>
              <w:t>vLLM scope and long-term ownership understated</w:t>
            </w:r>
          </w:p>
        </w:tc>
        <w:tc>
          <w:tcPr>
            <w:tcW w:type="dxa" w:w="2592"/>
            <w:vAlign w:val="center"/>
          </w:tcPr>
          <w:p>
            <w:pPr>
              <w:spacing w:after="0"/>
            </w:pPr>
            <w:r/>
            <w:r>
              <w:rPr>
                <w:b w:val="0"/>
                <w:sz w:val="16"/>
              </w:rPr>
              <w:t>G0, G3</w:t>
            </w:r>
          </w:p>
        </w:tc>
        <w:tc>
          <w:tcPr>
            <w:tcW w:type="dxa" w:w="2592"/>
            <w:vAlign w:val="center"/>
          </w:tcPr>
          <w:p>
            <w:pPr>
              <w:spacing w:after="0"/>
            </w:pPr>
            <w:r/>
            <w:r>
              <w:rPr>
                <w:b w:val="0"/>
                <w:sz w:val="16"/>
              </w:rPr>
              <w:t>Three owned software boundaries, conformance tests, release/upstream plan</w:t>
            </w:r>
          </w:p>
        </w:tc>
      </w:tr>
      <w:tr>
        <w:tc>
          <w:tcPr>
            <w:tcW w:type="dxa" w:w="2592"/>
            <w:vAlign w:val="center"/>
            <w:shd w:fill="F2F2F2"/>
          </w:tcPr>
          <w:p>
            <w:pPr>
              <w:spacing w:after="0"/>
            </w:pPr>
            <w:r/>
            <w:r>
              <w:rPr>
                <w:b w:val="0"/>
                <w:sz w:val="16"/>
              </w:rPr>
              <w:t>R10</w:t>
            </w:r>
          </w:p>
        </w:tc>
        <w:tc>
          <w:tcPr>
            <w:tcW w:type="dxa" w:w="2592"/>
            <w:vAlign w:val="center"/>
            <w:shd w:fill="F2F2F2"/>
          </w:tcPr>
          <w:p>
            <w:pPr>
              <w:spacing w:after="0"/>
            </w:pPr>
            <w:r/>
            <w:r>
              <w:rPr>
                <w:b w:val="0"/>
                <w:sz w:val="16"/>
              </w:rPr>
              <w:t>Initial model/platform/transport matrix is too broad</w:t>
            </w:r>
          </w:p>
        </w:tc>
        <w:tc>
          <w:tcPr>
            <w:tcW w:type="dxa" w:w="2592"/>
            <w:vAlign w:val="center"/>
            <w:shd w:fill="F2F2F2"/>
          </w:tcPr>
          <w:p>
            <w:pPr>
              <w:spacing w:after="0"/>
            </w:pPr>
            <w:r/>
            <w:r>
              <w:rPr>
                <w:b w:val="0"/>
                <w:sz w:val="16"/>
              </w:rPr>
              <w:t>G0</w:t>
            </w:r>
          </w:p>
        </w:tc>
        <w:tc>
          <w:tcPr>
            <w:tcW w:type="dxa" w:w="2592"/>
            <w:vAlign w:val="center"/>
            <w:shd w:fill="F2F2F2"/>
          </w:tcPr>
          <w:p>
            <w:pPr>
              <w:spacing w:after="0"/>
            </w:pPr>
            <w:r/>
            <w:r>
              <w:rPr>
                <w:b w:val="0"/>
                <w:sz w:val="16"/>
              </w:rPr>
              <w:t>One checkpoint, precision, Gen5 switch, host-staged path, and pinned CUDA stack</w:t>
            </w:r>
          </w:p>
        </w:tc>
      </w:tr>
    </w:tbl>
    <w:p/>
    <w:tbl>
      <w:tblPr>
        <w:tblStyle w:val="TableGrid"/>
        <w:tblW w:type="auto" w:w="0"/>
        <w:tblLook w:firstColumn="1" w:firstRow="1" w:lastColumn="0" w:lastRow="0" w:noHBand="0" w:noVBand="1" w:val="04A0"/>
      </w:tblPr>
      <w:tblGrid>
        <w:gridCol w:w="10368"/>
      </w:tblGrid>
      <w:tr>
        <w:tc>
          <w:tcPr>
            <w:tcW w:type="dxa" w:w="10368"/>
            <w:shd w:fill="DCE6F1"/>
          </w:tcPr>
          <w:p>
            <w:pPr>
              <w:spacing w:after="0"/>
            </w:pPr>
            <w:r/>
            <w:r>
              <w:rPr>
                <w:b/>
                <w:color w:val="17365D"/>
              </w:rPr>
              <w:t xml:space="preserve">CLAIM CONTROL  </w:t>
            </w:r>
            <w:r>
              <w:t>No gate may be marked Pass with simulated timing when real endpoint timing is available. No RTX rate, vendor marketing claim, or capacity-fit result is transferable to a rack product claim.</w:t>
            </w:r>
          </w:p>
        </w:tc>
      </w:tr>
    </w:tbl>
    <w:p/>
    <w:p>
      <w:pPr>
        <w:pStyle w:val="Heading1"/>
        <w:keepNext/>
      </w:pPr>
      <w:r>
        <w:rPr>
          <w:color w:val="1F4E78"/>
        </w:rPr>
        <w:t>Part V — Turnkey AI vendor landscape</w:t>
      </w:r>
    </w:p>
    <w:p>
      <w:pPr>
        <w:spacing w:after="120"/>
      </w:pPr>
      <w:r>
        <w:t>The ranking is a September 2026 screening hypothesis for ATMOS partnership priority, not a vendor performance benchmark. Public evidence establishes turnkey capability; only a returned RFI, quote, lab route, and POC can establish ATMOS compatibility or ROI.</w:t>
      </w:r>
    </w:p>
    <w:p>
      <w:pPr>
        <w:spacing w:after="120"/>
      </w:pPr>
      <w:r>
        <w:t>NVIDIA NVL and AMD Helios are reference accelerator/platform ecosystems and are not ranked here. The table ranks solution providers that could own the physical integration, validation, deployment, and lifecycle boundary around those or other accelerators.</w:t>
      </w:r>
    </w:p>
    <w:p>
      <w:pPr>
        <w:pStyle w:val="Heading2"/>
        <w:keepNext/>
      </w:pPr>
      <w:r>
        <w:rPr>
          <w:color w:val="1F4E78"/>
        </w:rPr>
        <w:t>Scoring method</w:t>
      </w:r>
    </w:p>
    <w:p>
      <w:pPr>
        <w:pStyle w:val="ListBullet"/>
        <w:spacing w:after="60"/>
      </w:pPr>
      <w:r>
        <w:t>ROI potential (35%): plausible reduction in accelerator, rack, energy, network, or service cost for the fixed workload.</w:t>
      </w:r>
    </w:p>
    <w:p>
      <w:pPr>
        <w:pStyle w:val="ListBullet"/>
        <w:spacing w:after="60"/>
      </w:pPr>
      <w:r>
        <w:t>Integration ease (30%): supported host PCIe route, mechanical/power/cooling access, firmware ownership, and lab availability.</w:t>
      </w:r>
    </w:p>
    <w:p>
      <w:pPr>
        <w:pStyle w:val="ListBullet"/>
        <w:spacing w:after="60"/>
      </w:pPr>
      <w:r>
        <w:t>Flexibility (25%): form-factor, CPU/GPU, network, cooling, and OEM/ODM co-design choices without a proprietary GPU-stack modification.</w:t>
      </w:r>
    </w:p>
    <w:p>
      <w:pPr>
        <w:pStyle w:val="ListBullet"/>
        <w:spacing w:after="60"/>
      </w:pPr>
      <w:r>
        <w:t>Lifecycle readiness (10%): turnkey rack validation, global deployment/support, spares, firmware, and one accountable escalation path.</w:t>
      </w:r>
    </w:p>
    <w:p>
      <w:pPr>
        <w:spacing w:after="120"/>
      </w:pPr>
      <w:r>
        <w:t>Each factor is scored 1–5. Weighted score = (35×ROI + 30×Ease + 25×Flexibility + 10×Lifecycle) / 5. A score is invalidated if the vendor cannot return the mandatory G4 attachment artifacts.</w:t>
      </w:r>
    </w:p>
    <w:p>
      <w:pPr>
        <w:sectPr>
          <w:headerReference w:type="default" r:id="rId40"/>
          <w:footerReference w:type="default" r:id="rId41"/>
          <w:pgSz w:w="12240" w:h="15840"/>
          <w:pgMar w:top="792" w:right="936" w:bottom="792" w:left="936" w:header="360" w:footer="360" w:gutter="0"/>
          <w:cols w:space="720"/>
          <w:docGrid w:linePitch="360"/>
        </w:sectPr>
      </w:pPr>
    </w:p>
    <w:p>
      <w:pPr>
        <w:pStyle w:val="Heading2"/>
        <w:keepNext/>
      </w:pPr>
      <w:r>
        <w:rPr>
          <w:color w:val="1F4E78"/>
        </w:rPr>
        <w:t>Preliminary ATMOS partner priority</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center"/>
            <w:shd w:fill="17365D"/>
          </w:tcPr>
          <w:p>
            <w:pPr>
              <w:spacing w:after="0"/>
            </w:pPr>
            <w:r/>
            <w:r>
              <w:rPr>
                <w:b/>
                <w:color w:val="FFFFFF"/>
                <w:sz w:val="13"/>
              </w:rPr>
              <w:t>Rank</w:t>
            </w:r>
          </w:p>
        </w:tc>
        <w:tc>
          <w:tcPr>
            <w:tcW w:type="dxa" w:w="1584"/>
            <w:vAlign w:val="center"/>
            <w:shd w:fill="17365D"/>
          </w:tcPr>
          <w:p>
            <w:pPr>
              <w:spacing w:after="0"/>
            </w:pPr>
            <w:r/>
            <w:r>
              <w:rPr>
                <w:b/>
                <w:color w:val="FFFFFF"/>
                <w:sz w:val="13"/>
              </w:rPr>
              <w:t>Vendor / offer</w:t>
            </w:r>
          </w:p>
        </w:tc>
        <w:tc>
          <w:tcPr>
            <w:tcW w:type="dxa" w:w="1584"/>
            <w:vAlign w:val="center"/>
            <w:shd w:fill="17365D"/>
          </w:tcPr>
          <w:p>
            <w:pPr>
              <w:spacing w:after="0"/>
            </w:pPr>
            <w:r/>
            <w:r>
              <w:rPr>
                <w:b/>
                <w:color w:val="FFFFFF"/>
                <w:sz w:val="13"/>
              </w:rPr>
              <w:t>ROI</w:t>
            </w:r>
          </w:p>
        </w:tc>
        <w:tc>
          <w:tcPr>
            <w:tcW w:type="dxa" w:w="1584"/>
            <w:vAlign w:val="center"/>
            <w:shd w:fill="17365D"/>
          </w:tcPr>
          <w:p>
            <w:pPr>
              <w:spacing w:after="0"/>
            </w:pPr>
            <w:r/>
            <w:r>
              <w:rPr>
                <w:b/>
                <w:color w:val="FFFFFF"/>
                <w:sz w:val="13"/>
              </w:rPr>
              <w:t>Ease</w:t>
            </w:r>
          </w:p>
        </w:tc>
        <w:tc>
          <w:tcPr>
            <w:tcW w:type="dxa" w:w="1584"/>
            <w:vAlign w:val="center"/>
            <w:shd w:fill="17365D"/>
          </w:tcPr>
          <w:p>
            <w:pPr>
              <w:spacing w:after="0"/>
            </w:pPr>
            <w:r/>
            <w:r>
              <w:rPr>
                <w:b/>
                <w:color w:val="FFFFFF"/>
                <w:sz w:val="13"/>
              </w:rPr>
              <w:t>Flex</w:t>
            </w:r>
          </w:p>
        </w:tc>
        <w:tc>
          <w:tcPr>
            <w:tcW w:type="dxa" w:w="1584"/>
            <w:vAlign w:val="center"/>
            <w:shd w:fill="17365D"/>
          </w:tcPr>
          <w:p>
            <w:pPr>
              <w:spacing w:after="0"/>
            </w:pPr>
            <w:r/>
            <w:r>
              <w:rPr>
                <w:b/>
                <w:color w:val="FFFFFF"/>
                <w:sz w:val="13"/>
              </w:rPr>
              <w:t>Life</w:t>
            </w:r>
          </w:p>
        </w:tc>
        <w:tc>
          <w:tcPr>
            <w:tcW w:type="dxa" w:w="1584"/>
            <w:vAlign w:val="center"/>
            <w:shd w:fill="17365D"/>
          </w:tcPr>
          <w:p>
            <w:pPr>
              <w:spacing w:after="0"/>
            </w:pPr>
            <w:r/>
            <w:r>
              <w:rPr>
                <w:b/>
                <w:color w:val="FFFFFF"/>
                <w:sz w:val="13"/>
              </w:rPr>
              <w:t>/100</w:t>
            </w:r>
          </w:p>
        </w:tc>
        <w:tc>
          <w:tcPr>
            <w:tcW w:type="dxa" w:w="1584"/>
            <w:vAlign w:val="center"/>
            <w:shd w:fill="17365D"/>
          </w:tcPr>
          <w:p>
            <w:pPr>
              <w:spacing w:after="0"/>
            </w:pPr>
            <w:r/>
            <w:r>
              <w:rPr>
                <w:b/>
                <w:color w:val="FFFFFF"/>
                <w:sz w:val="13"/>
              </w:rPr>
              <w:t>Conf.</w:t>
            </w:r>
          </w:p>
        </w:tc>
        <w:tc>
          <w:tcPr>
            <w:tcW w:type="dxa" w:w="1584"/>
            <w:vAlign w:val="center"/>
            <w:shd w:fill="17365D"/>
          </w:tcPr>
          <w:p>
            <w:pPr>
              <w:spacing w:after="0"/>
            </w:pPr>
            <w:r/>
            <w:r>
              <w:rPr>
                <w:b/>
                <w:color w:val="FFFFFF"/>
                <w:sz w:val="13"/>
              </w:rPr>
              <w:t>Recommended action</w:t>
            </w:r>
          </w:p>
        </w:tc>
      </w:tr>
      <w:tr>
        <w:tc>
          <w:tcPr>
            <w:tcW w:type="dxa" w:w="1584"/>
            <w:vAlign w:val="center"/>
          </w:tcPr>
          <w:p>
            <w:pPr>
              <w:spacing w:after="0"/>
            </w:pPr>
            <w:r/>
            <w:r>
              <w:rPr>
                <w:b w:val="0"/>
                <w:sz w:val="13"/>
              </w:rPr>
              <w:t>1</w:t>
            </w:r>
          </w:p>
        </w:tc>
        <w:tc>
          <w:tcPr>
            <w:tcW w:type="dxa" w:w="1584"/>
            <w:vAlign w:val="center"/>
          </w:tcPr>
          <w:p>
            <w:pPr>
              <w:spacing w:after="0"/>
            </w:pPr>
            <w:r/>
            <w:r>
              <w:rPr>
                <w:b w:val="0"/>
                <w:sz w:val="13"/>
              </w:rPr>
              <w:t>Giga Computing GIGAPOD</w:t>
            </w:r>
          </w:p>
        </w:tc>
        <w:tc>
          <w:tcPr>
            <w:tcW w:type="dxa" w:w="1584"/>
            <w:vAlign w:val="center"/>
          </w:tcPr>
          <w:p>
            <w:pPr>
              <w:spacing w:after="0"/>
            </w:pPr>
            <w:r/>
            <w:r>
              <w:rPr>
                <w:b w:val="0"/>
                <w:sz w:val="13"/>
              </w:rPr>
              <w:t>4.5</w:t>
            </w:r>
          </w:p>
        </w:tc>
        <w:tc>
          <w:tcPr>
            <w:tcW w:type="dxa" w:w="1584"/>
            <w:vAlign w:val="center"/>
          </w:tcPr>
          <w:p>
            <w:pPr>
              <w:spacing w:after="0"/>
            </w:pPr>
            <w:r/>
            <w:r>
              <w:rPr>
                <w:b w:val="0"/>
                <w:sz w:val="13"/>
              </w:rPr>
              <w:t>4.5</w:t>
            </w:r>
          </w:p>
        </w:tc>
        <w:tc>
          <w:tcPr>
            <w:tcW w:type="dxa" w:w="1584"/>
            <w:vAlign w:val="center"/>
          </w:tcPr>
          <w:p>
            <w:pPr>
              <w:spacing w:after="0"/>
            </w:pPr>
            <w:r/>
            <w:r>
              <w:rPr>
                <w:b w:val="0"/>
                <w:sz w:val="13"/>
              </w:rPr>
              <w:t>5.0</w:t>
            </w:r>
          </w:p>
        </w:tc>
        <w:tc>
          <w:tcPr>
            <w:tcW w:type="dxa" w:w="1584"/>
            <w:vAlign w:val="center"/>
          </w:tcPr>
          <w:p>
            <w:pPr>
              <w:spacing w:after="0"/>
            </w:pPr>
            <w:r/>
            <w:r>
              <w:rPr>
                <w:b w:val="0"/>
                <w:sz w:val="13"/>
              </w:rPr>
              <w:t>4.0</w:t>
            </w:r>
          </w:p>
        </w:tc>
        <w:tc>
          <w:tcPr>
            <w:tcW w:type="dxa" w:w="1584"/>
            <w:vAlign w:val="center"/>
          </w:tcPr>
          <w:p>
            <w:pPr>
              <w:spacing w:after="0"/>
            </w:pPr>
            <w:r/>
            <w:r>
              <w:rPr>
                <w:b w:val="0"/>
                <w:sz w:val="13"/>
              </w:rPr>
              <w:t>91.5</w:t>
            </w:r>
          </w:p>
        </w:tc>
        <w:tc>
          <w:tcPr>
            <w:tcW w:type="dxa" w:w="1584"/>
            <w:vAlign w:val="center"/>
          </w:tcPr>
          <w:p>
            <w:pPr>
              <w:spacing w:after="0"/>
            </w:pPr>
            <w:r/>
            <w:r>
              <w:rPr>
                <w:b w:val="0"/>
                <w:sz w:val="13"/>
              </w:rPr>
              <w:t>Med</w:t>
            </w:r>
          </w:p>
        </w:tc>
        <w:tc>
          <w:tcPr>
            <w:tcW w:type="dxa" w:w="1584"/>
            <w:vAlign w:val="center"/>
          </w:tcPr>
          <w:p>
            <w:pPr>
              <w:spacing w:after="0"/>
            </w:pPr>
            <w:r/>
            <w:r>
              <w:rPr>
                <w:b w:val="0"/>
                <w:sz w:val="13"/>
              </w:rPr>
              <w:t>Lead: explicit turnkey, NVIDIA/AMD/Intel, ORV3, air/DLC and bespoke facility integration</w:t>
            </w:r>
          </w:p>
        </w:tc>
      </w:tr>
      <w:tr>
        <w:tc>
          <w:tcPr>
            <w:tcW w:type="dxa" w:w="1584"/>
            <w:vAlign w:val="center"/>
            <w:shd w:fill="F2F2F2"/>
          </w:tcPr>
          <w:p>
            <w:pPr>
              <w:spacing w:after="0"/>
            </w:pPr>
            <w:r/>
            <w:r>
              <w:rPr>
                <w:b w:val="0"/>
                <w:sz w:val="13"/>
              </w:rPr>
              <w:t>2</w:t>
            </w:r>
          </w:p>
        </w:tc>
        <w:tc>
          <w:tcPr>
            <w:tcW w:type="dxa" w:w="1584"/>
            <w:vAlign w:val="center"/>
            <w:shd w:fill="F2F2F2"/>
          </w:tcPr>
          <w:p>
            <w:pPr>
              <w:spacing w:after="0"/>
            </w:pPr>
            <w:r/>
            <w:r>
              <w:rPr>
                <w:b w:val="0"/>
                <w:sz w:val="13"/>
              </w:rPr>
              <w:t>Supermicro DCBBS / SuperCluster</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90.0</w:t>
            </w:r>
          </w:p>
        </w:tc>
        <w:tc>
          <w:tcPr>
            <w:tcW w:type="dxa" w:w="1584"/>
            <w:vAlign w:val="center"/>
            <w:shd w:fill="F2F2F2"/>
          </w:tcPr>
          <w:p>
            <w:pPr>
              <w:spacing w:after="0"/>
            </w:pPr>
            <w:r/>
            <w:r>
              <w:rPr>
                <w:b w:val="0"/>
                <w:sz w:val="13"/>
              </w:rPr>
              <w:t>Med</w:t>
            </w:r>
          </w:p>
        </w:tc>
        <w:tc>
          <w:tcPr>
            <w:tcW w:type="dxa" w:w="1584"/>
            <w:vAlign w:val="center"/>
            <w:shd w:fill="F2F2F2"/>
          </w:tcPr>
          <w:p>
            <w:pPr>
              <w:spacing w:after="0"/>
            </w:pPr>
            <w:r/>
            <w:r>
              <w:rPr>
                <w:b w:val="0"/>
                <w:sz w:val="13"/>
              </w:rPr>
              <w:t>Lead: broad rack/form-factor portfolio, cooling, rack integration and L11/L12 validation</w:t>
            </w:r>
          </w:p>
        </w:tc>
      </w:tr>
      <w:tr>
        <w:tc>
          <w:tcPr>
            <w:tcW w:type="dxa" w:w="1584"/>
            <w:vAlign w:val="center"/>
          </w:tcPr>
          <w:p>
            <w:pPr>
              <w:spacing w:after="0"/>
            </w:pPr>
            <w:r/>
            <w:r>
              <w:rPr>
                <w:b w:val="0"/>
                <w:sz w:val="13"/>
              </w:rPr>
              <w:t>3</w:t>
            </w:r>
          </w:p>
        </w:tc>
        <w:tc>
          <w:tcPr>
            <w:tcW w:type="dxa" w:w="1584"/>
            <w:vAlign w:val="center"/>
          </w:tcPr>
          <w:p>
            <w:pPr>
              <w:spacing w:after="0"/>
            </w:pPr>
            <w:r/>
            <w:r>
              <w:rPr>
                <w:b w:val="0"/>
                <w:sz w:val="13"/>
              </w:rPr>
              <w:t>Penguin Solutions OriginAI</w:t>
            </w:r>
          </w:p>
        </w:tc>
        <w:tc>
          <w:tcPr>
            <w:tcW w:type="dxa" w:w="1584"/>
            <w:vAlign w:val="center"/>
          </w:tcPr>
          <w:p>
            <w:pPr>
              <w:spacing w:after="0"/>
            </w:pPr>
            <w:r/>
            <w:r>
              <w:rPr>
                <w:b w:val="0"/>
                <w:sz w:val="13"/>
              </w:rPr>
              <w:t>4.5</w:t>
            </w:r>
          </w:p>
        </w:tc>
        <w:tc>
          <w:tcPr>
            <w:tcW w:type="dxa" w:w="1584"/>
            <w:vAlign w:val="center"/>
          </w:tcPr>
          <w:p>
            <w:pPr>
              <w:spacing w:after="0"/>
            </w:pPr>
            <w:r/>
            <w:r>
              <w:rPr>
                <w:b w:val="0"/>
                <w:sz w:val="13"/>
              </w:rPr>
              <w:t>4.0</w:t>
            </w:r>
          </w:p>
        </w:tc>
        <w:tc>
          <w:tcPr>
            <w:tcW w:type="dxa" w:w="1584"/>
            <w:vAlign w:val="center"/>
          </w:tcPr>
          <w:p>
            <w:pPr>
              <w:spacing w:after="0"/>
            </w:pPr>
            <w:r/>
            <w:r>
              <w:rPr>
                <w:b w:val="0"/>
                <w:sz w:val="13"/>
              </w:rPr>
              <w:t>4.5</w:t>
            </w:r>
          </w:p>
        </w:tc>
        <w:tc>
          <w:tcPr>
            <w:tcW w:type="dxa" w:w="1584"/>
            <w:vAlign w:val="center"/>
          </w:tcPr>
          <w:p>
            <w:pPr>
              <w:spacing w:after="0"/>
            </w:pPr>
            <w:r/>
            <w:r>
              <w:rPr>
                <w:b w:val="0"/>
                <w:sz w:val="13"/>
              </w:rPr>
              <w:t>5.0</w:t>
            </w:r>
          </w:p>
        </w:tc>
        <w:tc>
          <w:tcPr>
            <w:tcW w:type="dxa" w:w="1584"/>
            <w:vAlign w:val="center"/>
          </w:tcPr>
          <w:p>
            <w:pPr>
              <w:spacing w:after="0"/>
            </w:pPr>
            <w:r/>
            <w:r>
              <w:rPr>
                <w:b w:val="0"/>
                <w:sz w:val="13"/>
              </w:rPr>
              <w:t>88.0</w:t>
            </w:r>
          </w:p>
        </w:tc>
        <w:tc>
          <w:tcPr>
            <w:tcW w:type="dxa" w:w="1584"/>
            <w:vAlign w:val="center"/>
          </w:tcPr>
          <w:p>
            <w:pPr>
              <w:spacing w:after="0"/>
            </w:pPr>
            <w:r/>
            <w:r>
              <w:rPr>
                <w:b w:val="0"/>
                <w:sz w:val="13"/>
              </w:rPr>
              <w:t>Med</w:t>
            </w:r>
          </w:p>
        </w:tc>
        <w:tc>
          <w:tcPr>
            <w:tcW w:type="dxa" w:w="1584"/>
            <w:vAlign w:val="center"/>
          </w:tcPr>
          <w:p>
            <w:pPr>
              <w:spacing w:after="0"/>
            </w:pPr>
            <w:r/>
            <w:r>
              <w:rPr>
                <w:b w:val="0"/>
                <w:sz w:val="13"/>
              </w:rPr>
              <w:t>Lead: AMD/NVIDIA and broad component choice; tailored design-build-deploy-manage lifecycle</w:t>
            </w:r>
          </w:p>
        </w:tc>
      </w:tr>
      <w:tr>
        <w:tc>
          <w:tcPr>
            <w:tcW w:type="dxa" w:w="1584"/>
            <w:vAlign w:val="center"/>
            <w:shd w:fill="F2F2F2"/>
          </w:tcPr>
          <w:p>
            <w:pPr>
              <w:spacing w:after="0"/>
            </w:pPr>
            <w:r/>
            <w:r>
              <w:rPr>
                <w:b w:val="0"/>
                <w:sz w:val="13"/>
              </w:rPr>
              <w:t>4</w:t>
            </w:r>
          </w:p>
        </w:tc>
        <w:tc>
          <w:tcPr>
            <w:tcW w:type="dxa" w:w="1584"/>
            <w:vAlign w:val="center"/>
            <w:shd w:fill="F2F2F2"/>
          </w:tcPr>
          <w:p>
            <w:pPr>
              <w:spacing w:after="0"/>
            </w:pPr>
            <w:r/>
            <w:r>
              <w:rPr>
                <w:b w:val="0"/>
                <w:sz w:val="13"/>
              </w:rPr>
              <w:t>Lenovo Hybrid AI Factory / Neptune</w:t>
            </w:r>
          </w:p>
        </w:tc>
        <w:tc>
          <w:tcPr>
            <w:tcW w:type="dxa" w:w="1584"/>
            <w:vAlign w:val="center"/>
            <w:shd w:fill="F2F2F2"/>
          </w:tcPr>
          <w:p>
            <w:pPr>
              <w:spacing w:after="0"/>
            </w:pPr>
            <w:r/>
            <w:r>
              <w:rPr>
                <w:b w:val="0"/>
                <w:sz w:val="13"/>
              </w:rPr>
              <w:t>4.0</w:t>
            </w:r>
          </w:p>
        </w:tc>
        <w:tc>
          <w:tcPr>
            <w:tcW w:type="dxa" w:w="1584"/>
            <w:vAlign w:val="center"/>
            <w:shd w:fill="F2F2F2"/>
          </w:tcPr>
          <w:p>
            <w:pPr>
              <w:spacing w:after="0"/>
            </w:pPr>
            <w:r/>
            <w:r>
              <w:rPr>
                <w:b w:val="0"/>
                <w:sz w:val="13"/>
              </w:rPr>
              <w:t>3.5</w:t>
            </w:r>
          </w:p>
        </w:tc>
        <w:tc>
          <w:tcPr>
            <w:tcW w:type="dxa" w:w="1584"/>
            <w:vAlign w:val="center"/>
            <w:shd w:fill="F2F2F2"/>
          </w:tcPr>
          <w:p>
            <w:pPr>
              <w:spacing w:after="0"/>
            </w:pPr>
            <w:r/>
            <w:r>
              <w:rPr>
                <w:b w:val="0"/>
                <w:sz w:val="13"/>
              </w:rPr>
              <w:t>4.0</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78.0</w:t>
            </w:r>
          </w:p>
        </w:tc>
        <w:tc>
          <w:tcPr>
            <w:tcW w:type="dxa" w:w="1584"/>
            <w:vAlign w:val="center"/>
            <w:shd w:fill="F2F2F2"/>
          </w:tcPr>
          <w:p>
            <w:pPr>
              <w:spacing w:after="0"/>
            </w:pPr>
            <w:r/>
            <w:r>
              <w:rPr>
                <w:b w:val="0"/>
                <w:sz w:val="13"/>
              </w:rPr>
              <w:t>Med</w:t>
            </w:r>
          </w:p>
        </w:tc>
        <w:tc>
          <w:tcPr>
            <w:tcW w:type="dxa" w:w="1584"/>
            <w:vAlign w:val="center"/>
            <w:shd w:fill="F2F2F2"/>
          </w:tcPr>
          <w:p>
            <w:pPr>
              <w:spacing w:after="0"/>
            </w:pPr>
            <w:r/>
            <w:r>
              <w:rPr>
                <w:b w:val="0"/>
                <w:sz w:val="13"/>
              </w:rPr>
              <w:t>Control: validated platforms, services and liquid cooling; internal PCIe/E3.S route unproven</w:t>
            </w:r>
          </w:p>
        </w:tc>
      </w:tr>
      <w:tr>
        <w:tc>
          <w:tcPr>
            <w:tcW w:type="dxa" w:w="1584"/>
            <w:vAlign w:val="center"/>
          </w:tcPr>
          <w:p>
            <w:pPr>
              <w:spacing w:after="0"/>
            </w:pPr>
            <w:r/>
            <w:r>
              <w:rPr>
                <w:b w:val="0"/>
                <w:sz w:val="13"/>
              </w:rPr>
              <w:t>5</w:t>
            </w:r>
          </w:p>
        </w:tc>
        <w:tc>
          <w:tcPr>
            <w:tcW w:type="dxa" w:w="1584"/>
            <w:vAlign w:val="center"/>
          </w:tcPr>
          <w:p>
            <w:pPr>
              <w:spacing w:after="0"/>
            </w:pPr>
            <w:r/>
            <w:r>
              <w:rPr>
                <w:b w:val="0"/>
                <w:sz w:val="13"/>
              </w:rPr>
              <w:t>Dell AI Factory</w:t>
            </w:r>
          </w:p>
        </w:tc>
        <w:tc>
          <w:tcPr>
            <w:tcW w:type="dxa" w:w="1584"/>
            <w:vAlign w:val="center"/>
          </w:tcPr>
          <w:p>
            <w:pPr>
              <w:spacing w:after="0"/>
            </w:pPr>
            <w:r/>
            <w:r>
              <w:rPr>
                <w:b w:val="0"/>
                <w:sz w:val="13"/>
              </w:rPr>
              <w:t>4.0</w:t>
            </w:r>
          </w:p>
        </w:tc>
        <w:tc>
          <w:tcPr>
            <w:tcW w:type="dxa" w:w="1584"/>
            <w:vAlign w:val="center"/>
          </w:tcPr>
          <w:p>
            <w:pPr>
              <w:spacing w:after="0"/>
            </w:pPr>
            <w:r/>
            <w:r>
              <w:rPr>
                <w:b w:val="0"/>
                <w:sz w:val="13"/>
              </w:rPr>
              <w:t>3.5</w:t>
            </w:r>
          </w:p>
        </w:tc>
        <w:tc>
          <w:tcPr>
            <w:tcW w:type="dxa" w:w="1584"/>
            <w:vAlign w:val="center"/>
          </w:tcPr>
          <w:p>
            <w:pPr>
              <w:spacing w:after="0"/>
            </w:pPr>
            <w:r/>
            <w:r>
              <w:rPr>
                <w:b w:val="0"/>
                <w:sz w:val="13"/>
              </w:rPr>
              <w:t>3.5</w:t>
            </w:r>
          </w:p>
        </w:tc>
        <w:tc>
          <w:tcPr>
            <w:tcW w:type="dxa" w:w="1584"/>
            <w:vAlign w:val="center"/>
          </w:tcPr>
          <w:p>
            <w:pPr>
              <w:spacing w:after="0"/>
            </w:pPr>
            <w:r/>
            <w:r>
              <w:rPr>
                <w:b w:val="0"/>
                <w:sz w:val="13"/>
              </w:rPr>
              <w:t>5.0</w:t>
            </w:r>
          </w:p>
        </w:tc>
        <w:tc>
          <w:tcPr>
            <w:tcW w:type="dxa" w:w="1584"/>
            <w:vAlign w:val="center"/>
          </w:tcPr>
          <w:p>
            <w:pPr>
              <w:spacing w:after="0"/>
            </w:pPr>
            <w:r/>
            <w:r>
              <w:rPr>
                <w:b w:val="0"/>
                <w:sz w:val="13"/>
              </w:rPr>
              <w:t>76.5</w:t>
            </w:r>
          </w:p>
        </w:tc>
        <w:tc>
          <w:tcPr>
            <w:tcW w:type="dxa" w:w="1584"/>
            <w:vAlign w:val="center"/>
          </w:tcPr>
          <w:p>
            <w:pPr>
              <w:spacing w:after="0"/>
            </w:pPr>
            <w:r/>
            <w:r>
              <w:rPr>
                <w:b w:val="0"/>
                <w:sz w:val="13"/>
              </w:rPr>
              <w:t>Med</w:t>
            </w:r>
          </w:p>
        </w:tc>
        <w:tc>
          <w:tcPr>
            <w:tcW w:type="dxa" w:w="1584"/>
            <w:vAlign w:val="center"/>
          </w:tcPr>
          <w:p>
            <w:pPr>
              <w:spacing w:after="0"/>
            </w:pPr>
            <w:r/>
            <w:r>
              <w:rPr>
                <w:b w:val="0"/>
                <w:sz w:val="13"/>
              </w:rPr>
              <w:t>Control: NVIDIA turnkey plus AMD open architecture; validated-rack change control may constrain</w:t>
            </w:r>
          </w:p>
        </w:tc>
      </w:tr>
      <w:tr>
        <w:tc>
          <w:tcPr>
            <w:tcW w:type="dxa" w:w="1584"/>
            <w:vAlign w:val="center"/>
            <w:shd w:fill="F2F2F2"/>
          </w:tcPr>
          <w:p>
            <w:pPr>
              <w:spacing w:after="0"/>
            </w:pPr>
            <w:r/>
            <w:r>
              <w:rPr>
                <w:b w:val="0"/>
                <w:sz w:val="13"/>
              </w:rPr>
              <w:t>6</w:t>
            </w:r>
          </w:p>
        </w:tc>
        <w:tc>
          <w:tcPr>
            <w:tcW w:type="dxa" w:w="1584"/>
            <w:vAlign w:val="center"/>
            <w:shd w:fill="F2F2F2"/>
          </w:tcPr>
          <w:p>
            <w:pPr>
              <w:spacing w:after="0"/>
            </w:pPr>
            <w:r/>
            <w:r>
              <w:rPr>
                <w:b w:val="0"/>
                <w:sz w:val="13"/>
              </w:rPr>
              <w:t>Cisco Secure AI Factory</w:t>
            </w:r>
          </w:p>
        </w:tc>
        <w:tc>
          <w:tcPr>
            <w:tcW w:type="dxa" w:w="1584"/>
            <w:vAlign w:val="center"/>
            <w:shd w:fill="F2F2F2"/>
          </w:tcPr>
          <w:p>
            <w:pPr>
              <w:spacing w:after="0"/>
            </w:pPr>
            <w:r/>
            <w:r>
              <w:rPr>
                <w:b w:val="0"/>
                <w:sz w:val="13"/>
              </w:rPr>
              <w:t>3.5</w:t>
            </w:r>
          </w:p>
        </w:tc>
        <w:tc>
          <w:tcPr>
            <w:tcW w:type="dxa" w:w="1584"/>
            <w:vAlign w:val="center"/>
            <w:shd w:fill="F2F2F2"/>
          </w:tcPr>
          <w:p>
            <w:pPr>
              <w:spacing w:after="0"/>
            </w:pPr>
            <w:r/>
            <w:r>
              <w:rPr>
                <w:b w:val="0"/>
                <w:sz w:val="13"/>
              </w:rPr>
              <w:t>3.5</w:t>
            </w:r>
          </w:p>
        </w:tc>
        <w:tc>
          <w:tcPr>
            <w:tcW w:type="dxa" w:w="1584"/>
            <w:vAlign w:val="center"/>
            <w:shd w:fill="F2F2F2"/>
          </w:tcPr>
          <w:p>
            <w:pPr>
              <w:spacing w:after="0"/>
            </w:pPr>
            <w:r/>
            <w:r>
              <w:rPr>
                <w:b w:val="0"/>
                <w:sz w:val="13"/>
              </w:rPr>
              <w:t>4.0</w:t>
            </w:r>
          </w:p>
        </w:tc>
        <w:tc>
          <w:tcPr>
            <w:tcW w:type="dxa" w:w="1584"/>
            <w:vAlign w:val="center"/>
            <w:shd w:fill="F2F2F2"/>
          </w:tcPr>
          <w:p>
            <w:pPr>
              <w:spacing w:after="0"/>
            </w:pPr>
            <w:r/>
            <w:r>
              <w:rPr>
                <w:b w:val="0"/>
                <w:sz w:val="13"/>
              </w:rPr>
              <w:t>4.5</w:t>
            </w:r>
          </w:p>
        </w:tc>
        <w:tc>
          <w:tcPr>
            <w:tcW w:type="dxa" w:w="1584"/>
            <w:vAlign w:val="center"/>
            <w:shd w:fill="F2F2F2"/>
          </w:tcPr>
          <w:p>
            <w:pPr>
              <w:spacing w:after="0"/>
            </w:pPr>
            <w:r/>
            <w:r>
              <w:rPr>
                <w:b w:val="0"/>
                <w:sz w:val="13"/>
              </w:rPr>
              <w:t>74.5</w:t>
            </w:r>
          </w:p>
        </w:tc>
        <w:tc>
          <w:tcPr>
            <w:tcW w:type="dxa" w:w="1584"/>
            <w:vAlign w:val="center"/>
            <w:shd w:fill="F2F2F2"/>
          </w:tcPr>
          <w:p>
            <w:pPr>
              <w:spacing w:after="0"/>
            </w:pPr>
            <w:r/>
            <w:r>
              <w:rPr>
                <w:b w:val="0"/>
                <w:sz w:val="13"/>
              </w:rPr>
              <w:t>Med</w:t>
            </w:r>
          </w:p>
        </w:tc>
        <w:tc>
          <w:tcPr>
            <w:tcW w:type="dxa" w:w="1584"/>
            <w:vAlign w:val="center"/>
            <w:shd w:fill="F2F2F2"/>
          </w:tcPr>
          <w:p>
            <w:pPr>
              <w:spacing w:after="0"/>
            </w:pPr>
            <w:r/>
            <w:r>
              <w:rPr>
                <w:b w:val="0"/>
                <w:sz w:val="13"/>
              </w:rPr>
              <w:t>Parallel: full-stack AI PODs and Supermicro-enabled racks; tray ownership is shared</w:t>
            </w:r>
          </w:p>
        </w:tc>
      </w:tr>
      <w:tr>
        <w:tc>
          <w:tcPr>
            <w:tcW w:type="dxa" w:w="1584"/>
            <w:vAlign w:val="center"/>
          </w:tcPr>
          <w:p>
            <w:pPr>
              <w:spacing w:after="0"/>
            </w:pPr>
            <w:r/>
            <w:r>
              <w:rPr>
                <w:b w:val="0"/>
                <w:sz w:val="13"/>
              </w:rPr>
              <w:t>7</w:t>
            </w:r>
          </w:p>
        </w:tc>
        <w:tc>
          <w:tcPr>
            <w:tcW w:type="dxa" w:w="1584"/>
            <w:vAlign w:val="center"/>
          </w:tcPr>
          <w:p>
            <w:pPr>
              <w:spacing w:after="0"/>
            </w:pPr>
            <w:r/>
            <w:r>
              <w:rPr>
                <w:b w:val="0"/>
                <w:sz w:val="13"/>
              </w:rPr>
              <w:t>HPE Private Cloud AI / AI Factory</w:t>
            </w:r>
          </w:p>
        </w:tc>
        <w:tc>
          <w:tcPr>
            <w:tcW w:type="dxa" w:w="1584"/>
            <w:vAlign w:val="center"/>
          </w:tcPr>
          <w:p>
            <w:pPr>
              <w:spacing w:after="0"/>
            </w:pPr>
            <w:r/>
            <w:r>
              <w:rPr>
                <w:b w:val="0"/>
                <w:sz w:val="13"/>
              </w:rPr>
              <w:t>3.5</w:t>
            </w:r>
          </w:p>
        </w:tc>
        <w:tc>
          <w:tcPr>
            <w:tcW w:type="dxa" w:w="1584"/>
            <w:vAlign w:val="center"/>
          </w:tcPr>
          <w:p>
            <w:pPr>
              <w:spacing w:after="0"/>
            </w:pPr>
            <w:r/>
            <w:r>
              <w:rPr>
                <w:b w:val="0"/>
                <w:sz w:val="13"/>
              </w:rPr>
              <w:t>3.0</w:t>
            </w:r>
          </w:p>
        </w:tc>
        <w:tc>
          <w:tcPr>
            <w:tcW w:type="dxa" w:w="1584"/>
            <w:vAlign w:val="center"/>
          </w:tcPr>
          <w:p>
            <w:pPr>
              <w:spacing w:after="0"/>
            </w:pPr>
            <w:r/>
            <w:r>
              <w:rPr>
                <w:b w:val="0"/>
                <w:sz w:val="13"/>
              </w:rPr>
              <w:t>3.0</w:t>
            </w:r>
          </w:p>
        </w:tc>
        <w:tc>
          <w:tcPr>
            <w:tcW w:type="dxa" w:w="1584"/>
            <w:vAlign w:val="center"/>
          </w:tcPr>
          <w:p>
            <w:pPr>
              <w:spacing w:after="0"/>
            </w:pPr>
            <w:r/>
            <w:r>
              <w:rPr>
                <w:b w:val="0"/>
                <w:sz w:val="13"/>
              </w:rPr>
              <w:t>5.0</w:t>
            </w:r>
          </w:p>
        </w:tc>
        <w:tc>
          <w:tcPr>
            <w:tcW w:type="dxa" w:w="1584"/>
            <w:vAlign w:val="center"/>
          </w:tcPr>
          <w:p>
            <w:pPr>
              <w:spacing w:after="0"/>
            </w:pPr>
            <w:r/>
            <w:r>
              <w:rPr>
                <w:b w:val="0"/>
                <w:sz w:val="13"/>
              </w:rPr>
              <w:t>67.5</w:t>
            </w:r>
          </w:p>
        </w:tc>
        <w:tc>
          <w:tcPr>
            <w:tcW w:type="dxa" w:w="1584"/>
            <w:vAlign w:val="center"/>
          </w:tcPr>
          <w:p>
            <w:pPr>
              <w:spacing w:after="0"/>
            </w:pPr>
            <w:r/>
            <w:r>
              <w:rPr>
                <w:b w:val="0"/>
                <w:sz w:val="13"/>
              </w:rPr>
              <w:t>Med</w:t>
            </w:r>
          </w:p>
        </w:tc>
        <w:tc>
          <w:tcPr>
            <w:tcW w:type="dxa" w:w="1584"/>
            <w:vAlign w:val="center"/>
          </w:tcPr>
          <w:p>
            <w:pPr>
              <w:spacing w:after="0"/>
            </w:pPr>
            <w:r/>
            <w:r>
              <w:rPr>
                <w:b w:val="0"/>
                <w:sz w:val="13"/>
              </w:rPr>
              <w:t>Parallel: strongest turnkey operations; appliance validation may limit low-level modification</w:t>
            </w:r>
          </w:p>
        </w:tc>
      </w:tr>
    </w:tbl>
    <w:p/>
    <w:tbl>
      <w:tblPr>
        <w:tblStyle w:val="TableGrid"/>
        <w:tblW w:type="auto" w:w="0"/>
        <w:tblLook w:firstColumn="1" w:firstRow="1" w:lastColumn="0" w:lastRow="0" w:noHBand="0" w:noVBand="1" w:val="04A0"/>
      </w:tblPr>
      <w:tblGrid>
        <w:gridCol w:w="14256"/>
      </w:tblGrid>
      <w:tr>
        <w:tc>
          <w:tcPr>
            <w:tcW w:type="dxa" w:w="14256"/>
            <w:shd w:fill="DCE6F1"/>
          </w:tcPr>
          <w:p>
            <w:pPr>
              <w:spacing w:after="0"/>
            </w:pPr>
            <w:r/>
            <w:r>
              <w:rPr>
                <w:b/>
                <w:color w:val="17365D"/>
              </w:rPr>
              <w:t xml:space="preserve">SHORTLIST DECISION  </w:t>
            </w:r>
            <w:r>
              <w:t>Engage ranks 1–3 for the fastest co-design learning, and one of ranks 4–5 as the enterprise lifecycle control. Run the same RFI and G4 evidence gate for every vendor; do not select a production partner from this paper score.</w:t>
            </w:r>
          </w:p>
        </w:tc>
      </w:tr>
    </w:tbl>
    <w:p/>
    <w:p>
      <w:pPr>
        <w:sectPr>
          <w:pgSz w:w="15840" w:h="12240" w:orient="landscape"/>
          <w:pgMar w:top="792" w:right="792" w:bottom="792" w:left="792" w:header="360" w:footer="360" w:gutter="0"/>
          <w:cols w:space="720"/>
          <w:docGrid w:linePitch="360"/>
        </w:sectPr>
      </w:pPr>
    </w:p>
    <w:p>
      <w:pPr>
        <w:pStyle w:val="Heading2"/>
        <w:keepNext/>
      </w:pPr>
      <w:r>
        <w:rPr>
          <w:color w:val="1F4E78"/>
        </w:rPr>
        <w:t>Alternative full-stack systems</w:t>
      </w:r>
    </w:p>
    <w:p>
      <w:pPr>
        <w:spacing w:after="120"/>
      </w:pPr>
      <w:r>
        <w:t>Cerebras, Groq, and SambaNova offer integrated AI systems, but their proprietary accelerator/runtime paths do not currently expose a public, supported ATMOS E3.S layer-synchronous MoE insertion point. Intel Gaudi systems sold through OEMs remain a watchlist route: standard Ethernet and OEM servers may help infrastructure economics, but SynapseAI and serving integration create a new software qualification branch.</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6"/>
              </w:rPr>
              <w:t>Route</w:t>
            </w:r>
          </w:p>
        </w:tc>
        <w:tc>
          <w:tcPr>
            <w:tcW w:type="dxa" w:w="3408"/>
            <w:vAlign w:val="center"/>
            <w:shd w:fill="17365D"/>
          </w:tcPr>
          <w:p>
            <w:pPr>
              <w:spacing w:after="0"/>
            </w:pPr>
            <w:r/>
            <w:r>
              <w:rPr>
                <w:b/>
                <w:color w:val="FFFFFF"/>
                <w:sz w:val="16"/>
              </w:rPr>
              <w:t>ATMOS posture</w:t>
            </w:r>
          </w:p>
        </w:tc>
        <w:tc>
          <w:tcPr>
            <w:tcW w:type="dxa" w:w="3408"/>
            <w:vAlign w:val="center"/>
            <w:shd w:fill="17365D"/>
          </w:tcPr>
          <w:p>
            <w:pPr>
              <w:spacing w:after="0"/>
            </w:pPr>
            <w:r/>
            <w:r>
              <w:rPr>
                <w:b/>
                <w:color w:val="FFFFFF"/>
                <w:sz w:val="16"/>
              </w:rPr>
              <w:t>Decision</w:t>
            </w:r>
          </w:p>
        </w:tc>
      </w:tr>
      <w:tr>
        <w:tc>
          <w:tcPr>
            <w:tcW w:type="dxa" w:w="3408"/>
            <w:vAlign w:val="center"/>
          </w:tcPr>
          <w:p>
            <w:pPr>
              <w:spacing w:after="0"/>
            </w:pPr>
            <w:r/>
            <w:r>
              <w:rPr>
                <w:b w:val="0"/>
                <w:sz w:val="16"/>
              </w:rPr>
              <w:t>Cerebras / Groq / SambaNova appliances</w:t>
            </w:r>
          </w:p>
        </w:tc>
        <w:tc>
          <w:tcPr>
            <w:tcW w:type="dxa" w:w="3408"/>
            <w:vAlign w:val="center"/>
          </w:tcPr>
          <w:p>
            <w:pPr>
              <w:spacing w:after="0"/>
            </w:pPr>
            <w:r/>
            <w:r>
              <w:rPr>
                <w:b w:val="0"/>
                <w:sz w:val="16"/>
              </w:rPr>
              <w:t>Potential asynchronous retrieval/data service only; synchronous expert offload is unproven and may duplicate native architecture.</w:t>
            </w:r>
          </w:p>
        </w:tc>
        <w:tc>
          <w:tcPr>
            <w:tcW w:type="dxa" w:w="3408"/>
            <w:vAlign w:val="center"/>
          </w:tcPr>
          <w:p>
            <w:pPr>
              <w:spacing w:after="0"/>
            </w:pPr>
            <w:r/>
            <w:r>
              <w:rPr>
                <w:b w:val="0"/>
                <w:sz w:val="16"/>
              </w:rPr>
              <w:t>Do not fund in the first POC wave; require a vendor-supported device/runtime extension point.</w:t>
            </w:r>
          </w:p>
        </w:tc>
      </w:tr>
      <w:tr>
        <w:tc>
          <w:tcPr>
            <w:tcW w:type="dxa" w:w="3408"/>
            <w:vAlign w:val="center"/>
            <w:shd w:fill="F2F2F2"/>
          </w:tcPr>
          <w:p>
            <w:pPr>
              <w:spacing w:after="0"/>
            </w:pPr>
            <w:r/>
            <w:r>
              <w:rPr>
                <w:b w:val="0"/>
                <w:sz w:val="16"/>
              </w:rPr>
              <w:t>Intel Gaudi through a rack OEM</w:t>
            </w:r>
          </w:p>
        </w:tc>
        <w:tc>
          <w:tcPr>
            <w:tcW w:type="dxa" w:w="3408"/>
            <w:vAlign w:val="center"/>
            <w:shd w:fill="F2F2F2"/>
          </w:tcPr>
          <w:p>
            <w:pPr>
              <w:spacing w:after="0"/>
            </w:pPr>
            <w:r/>
            <w:r>
              <w:rPr>
                <w:b w:val="0"/>
                <w:sz w:val="16"/>
              </w:rPr>
              <w:t>Potential host-PCIe or companion path, but requires a separate framework, transport, and baseline economics branch.</w:t>
            </w:r>
          </w:p>
        </w:tc>
        <w:tc>
          <w:tcPr>
            <w:tcW w:type="dxa" w:w="3408"/>
            <w:vAlign w:val="center"/>
            <w:shd w:fill="F2F2F2"/>
          </w:tcPr>
          <w:p>
            <w:pPr>
              <w:spacing w:after="0"/>
            </w:pPr>
            <w:r/>
            <w:r>
              <w:rPr>
                <w:b w:val="0"/>
                <w:sz w:val="16"/>
              </w:rPr>
              <w:t>Revisit after G3 if a customer/OEM supplies a named platform and funded use case.</w:t>
            </w:r>
          </w:p>
        </w:tc>
      </w:tr>
    </w:tbl>
    <w:p/>
    <w:p>
      <w:pPr>
        <w:pStyle w:val="Heading2"/>
        <w:keepNext/>
      </w:pPr>
      <w:r>
        <w:rPr>
          <w:color w:val="1F4E78"/>
        </w:rPr>
        <w:t>ODM and regional watchlist</w:t>
      </w:r>
    </w:p>
    <w:p>
      <w:pPr>
        <w:spacing w:after="120"/>
      </w:pPr>
      <w:r>
        <w:t>QCT/Quanta, Foxconn/Ingrasys, Wiwynn, and ASUS publicly participate in rack-scale AI infrastructure. They are not scored in V3 because public material reviewed here does not establish all three of: a directly procurable turnkey offer, a named ATMOS co-design owner, and an enterprise field-support boundary. Invite them through the same RFI when commercial reach, geography, customer pull, or an existing relationship justifies it.</w:t>
      </w:r>
    </w:p>
    <w:p>
      <w:pPr>
        <w:pStyle w:val="Heading1"/>
        <w:keepNext/>
      </w:pPr>
      <w:r>
        <w:rPr>
          <w:color w:val="1F4E78"/>
        </w:rPr>
        <w:t>Part VI — Gated POC execution plan</w:t>
      </w:r>
    </w:p>
    <w:p>
      <w:pPr>
        <w:spacing w:after="120"/>
      </w:pPr>
      <w:r>
        <w:t>Gates are sequential for product claims. G4 vendor discovery begins in parallel after G0, but no custom rack engineering is funded until G1 passes. Every pass requires the named evidence package, independent review, and a compatibility-manifest revision.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7365D"/>
          </w:tcPr>
          <w:p>
            <w:pPr>
              <w:spacing w:after="0"/>
            </w:pPr>
            <w:r/>
            <w:r>
              <w:rPr>
                <w:b/>
                <w:color w:val="FFFFFF"/>
                <w:sz w:val="16"/>
              </w:rPr>
              <w:t>Gate / POC</w:t>
            </w:r>
          </w:p>
        </w:tc>
        <w:tc>
          <w:tcPr>
            <w:tcW w:type="dxa" w:w="2556"/>
            <w:vAlign w:val="center"/>
            <w:shd w:fill="17365D"/>
          </w:tcPr>
          <w:p>
            <w:pPr>
              <w:spacing w:after="0"/>
            </w:pPr>
            <w:r/>
            <w:r>
              <w:rPr>
                <w:b/>
                <w:color w:val="FFFFFF"/>
                <w:sz w:val="16"/>
              </w:rPr>
              <w:t>Decision</w:t>
            </w:r>
          </w:p>
        </w:tc>
        <w:tc>
          <w:tcPr>
            <w:tcW w:type="dxa" w:w="2556"/>
            <w:vAlign w:val="center"/>
            <w:shd w:fill="17365D"/>
          </w:tcPr>
          <w:p>
            <w:pPr>
              <w:spacing w:after="0"/>
            </w:pPr>
            <w:r/>
            <w:r>
              <w:rPr>
                <w:b/>
                <w:color w:val="FFFFFF"/>
                <w:sz w:val="16"/>
              </w:rPr>
              <w:t>Assessment coverage</w:t>
            </w:r>
          </w:p>
        </w:tc>
        <w:tc>
          <w:tcPr>
            <w:tcW w:type="dxa" w:w="2556"/>
            <w:vAlign w:val="center"/>
            <w:shd w:fill="17365D"/>
          </w:tcPr>
          <w:p>
            <w:pPr>
              <w:spacing w:after="0"/>
            </w:pPr>
            <w:r/>
            <w:r>
              <w:rPr>
                <w:b/>
                <w:color w:val="FFFFFF"/>
                <w:sz w:val="16"/>
              </w:rPr>
              <w:t>Accountable owner</w:t>
            </w:r>
          </w:p>
        </w:tc>
      </w:tr>
      <w:tr>
        <w:tc>
          <w:tcPr>
            <w:tcW w:type="dxa" w:w="2556"/>
            <w:vAlign w:val="center"/>
          </w:tcPr>
          <w:p>
            <w:pPr>
              <w:spacing w:after="0"/>
            </w:pPr>
            <w:r/>
            <w:r>
              <w:rPr>
                <w:b w:val="0"/>
                <w:sz w:val="16"/>
              </w:rPr>
              <w:t>G0 / POC-A</w:t>
            </w:r>
          </w:p>
        </w:tc>
        <w:tc>
          <w:tcPr>
            <w:tcW w:type="dxa" w:w="2556"/>
            <w:vAlign w:val="center"/>
          </w:tcPr>
          <w:p>
            <w:pPr>
              <w:spacing w:after="0"/>
            </w:pPr>
            <w:r/>
            <w:r>
              <w:rPr>
                <w:b w:val="0"/>
                <w:sz w:val="16"/>
              </w:rPr>
              <w:t>Freeze model, SLO, oracle, software, hardware, cost inputs</w:t>
            </w:r>
          </w:p>
        </w:tc>
        <w:tc>
          <w:tcPr>
            <w:tcW w:type="dxa" w:w="2556"/>
            <w:vAlign w:val="center"/>
          </w:tcPr>
          <w:p>
            <w:pPr>
              <w:spacing w:after="0"/>
            </w:pPr>
            <w:r/>
            <w:r>
              <w:rPr>
                <w:b w:val="0"/>
                <w:sz w:val="16"/>
              </w:rPr>
              <w:t>R6, R9, R10</w:t>
            </w:r>
          </w:p>
        </w:tc>
        <w:tc>
          <w:tcPr>
            <w:tcW w:type="dxa" w:w="2556"/>
            <w:vAlign w:val="center"/>
          </w:tcPr>
          <w:p>
            <w:pPr>
              <w:spacing w:after="0"/>
            </w:pPr>
            <w:r/>
            <w:r>
              <w:rPr>
                <w:b w:val="0"/>
                <w:sz w:val="16"/>
              </w:rPr>
              <w:t>Baseline owner</w:t>
            </w:r>
          </w:p>
        </w:tc>
      </w:tr>
      <w:tr>
        <w:tc>
          <w:tcPr>
            <w:tcW w:type="dxa" w:w="2556"/>
            <w:vAlign w:val="center"/>
            <w:shd w:fill="F2F2F2"/>
          </w:tcPr>
          <w:p>
            <w:pPr>
              <w:spacing w:after="0"/>
            </w:pPr>
            <w:r/>
            <w:r>
              <w:rPr>
                <w:b w:val="0"/>
                <w:sz w:val="16"/>
              </w:rPr>
              <w:t>G1 / POC-B</w:t>
            </w:r>
          </w:p>
        </w:tc>
        <w:tc>
          <w:tcPr>
            <w:tcW w:type="dxa" w:w="2556"/>
            <w:vAlign w:val="center"/>
            <w:shd w:fill="F2F2F2"/>
          </w:tcPr>
          <w:p>
            <w:pPr>
              <w:spacing w:after="0"/>
            </w:pPr>
            <w:r/>
            <w:r>
              <w:rPr>
                <w:b w:val="0"/>
                <w:sz w:val="16"/>
              </w:rPr>
              <w:t>Primitive round trip and single-device expert service curves</w:t>
            </w:r>
          </w:p>
        </w:tc>
        <w:tc>
          <w:tcPr>
            <w:tcW w:type="dxa" w:w="2556"/>
            <w:vAlign w:val="center"/>
            <w:shd w:fill="F2F2F2"/>
          </w:tcPr>
          <w:p>
            <w:pPr>
              <w:spacing w:after="0"/>
            </w:pPr>
            <w:r/>
            <w:r>
              <w:rPr>
                <w:b w:val="0"/>
                <w:sz w:val="16"/>
              </w:rPr>
              <w:t>R1, R2, R7</w:t>
            </w:r>
          </w:p>
        </w:tc>
        <w:tc>
          <w:tcPr>
            <w:tcW w:type="dxa" w:w="2556"/>
            <w:vAlign w:val="center"/>
            <w:shd w:fill="F2F2F2"/>
          </w:tcPr>
          <w:p>
            <w:pPr>
              <w:spacing w:after="0"/>
            </w:pPr>
            <w:r/>
            <w:r>
              <w:rPr>
                <w:b w:val="0"/>
                <w:sz w:val="16"/>
              </w:rPr>
              <w:t>Performance + NPU</w:t>
            </w:r>
          </w:p>
        </w:tc>
      </w:tr>
      <w:tr>
        <w:tc>
          <w:tcPr>
            <w:tcW w:type="dxa" w:w="2556"/>
            <w:vAlign w:val="center"/>
          </w:tcPr>
          <w:p>
            <w:pPr>
              <w:spacing w:after="0"/>
            </w:pPr>
            <w:r/>
            <w:r>
              <w:rPr>
                <w:b w:val="0"/>
                <w:sz w:val="16"/>
              </w:rPr>
              <w:t>G2 / POC-C</w:t>
            </w:r>
          </w:p>
        </w:tc>
        <w:tc>
          <w:tcPr>
            <w:tcW w:type="dxa" w:w="2556"/>
            <w:vAlign w:val="center"/>
          </w:tcPr>
          <w:p>
            <w:pPr>
              <w:spacing w:after="0"/>
            </w:pPr>
            <w:r/>
            <w:r>
              <w:rPr>
                <w:b w:val="0"/>
                <w:sz w:val="16"/>
              </w:rPr>
              <w:t>Four-device tray emulator: placement, fan-out, switch and faults</w:t>
            </w:r>
          </w:p>
        </w:tc>
        <w:tc>
          <w:tcPr>
            <w:tcW w:type="dxa" w:w="2556"/>
            <w:vAlign w:val="center"/>
          </w:tcPr>
          <w:p>
            <w:pPr>
              <w:spacing w:after="0"/>
            </w:pPr>
            <w:r/>
            <w:r>
              <w:rPr>
                <w:b w:val="0"/>
                <w:sz w:val="16"/>
              </w:rPr>
              <w:t>R5, R7, R8</w:t>
            </w:r>
          </w:p>
        </w:tc>
        <w:tc>
          <w:tcPr>
            <w:tcW w:type="dxa" w:w="2556"/>
            <w:vAlign w:val="center"/>
          </w:tcPr>
          <w:p>
            <w:pPr>
              <w:spacing w:after="0"/>
            </w:pPr>
            <w:r/>
            <w:r>
              <w:rPr>
                <w:b w:val="0"/>
                <w:sz w:val="16"/>
              </w:rPr>
              <w:t>Platform validation</w:t>
            </w:r>
          </w:p>
        </w:tc>
      </w:tr>
      <w:tr>
        <w:tc>
          <w:tcPr>
            <w:tcW w:type="dxa" w:w="2556"/>
            <w:vAlign w:val="center"/>
            <w:shd w:fill="F2F2F2"/>
          </w:tcPr>
          <w:p>
            <w:pPr>
              <w:spacing w:after="0"/>
            </w:pPr>
            <w:r/>
            <w:r>
              <w:rPr>
                <w:b w:val="0"/>
                <w:sz w:val="16"/>
              </w:rPr>
              <w:t>G3 / POC-D</w:t>
            </w:r>
          </w:p>
        </w:tc>
        <w:tc>
          <w:tcPr>
            <w:tcW w:type="dxa" w:w="2556"/>
            <w:vAlign w:val="center"/>
            <w:shd w:fill="F2F2F2"/>
          </w:tcPr>
          <w:p>
            <w:pPr>
              <w:spacing w:after="0"/>
            </w:pPr>
            <w:r/>
            <w:r>
              <w:rPr>
                <w:b w:val="0"/>
                <w:sz w:val="16"/>
              </w:rPr>
              <w:t>8+8 RTX complete service, maintained vLLM seam, availability, economics</w:t>
            </w:r>
          </w:p>
        </w:tc>
        <w:tc>
          <w:tcPr>
            <w:tcW w:type="dxa" w:w="2556"/>
            <w:vAlign w:val="center"/>
            <w:shd w:fill="F2F2F2"/>
          </w:tcPr>
          <w:p>
            <w:pPr>
              <w:spacing w:after="0"/>
            </w:pPr>
            <w:r/>
            <w:r>
              <w:rPr>
                <w:b w:val="0"/>
                <w:sz w:val="16"/>
              </w:rPr>
              <w:t>R1, R4–R7, R9</w:t>
            </w:r>
          </w:p>
        </w:tc>
        <w:tc>
          <w:tcPr>
            <w:tcW w:type="dxa" w:w="2556"/>
            <w:vAlign w:val="center"/>
            <w:shd w:fill="F2F2F2"/>
          </w:tcPr>
          <w:p>
            <w:pPr>
              <w:spacing w:after="0"/>
            </w:pPr>
            <w:r/>
            <w:r>
              <w:rPr>
                <w:b w:val="0"/>
                <w:sz w:val="16"/>
              </w:rPr>
              <w:t>Runtime + Product</w:t>
            </w:r>
          </w:p>
        </w:tc>
      </w:tr>
      <w:tr>
        <w:tc>
          <w:tcPr>
            <w:tcW w:type="dxa" w:w="2556"/>
            <w:vAlign w:val="center"/>
          </w:tcPr>
          <w:p>
            <w:pPr>
              <w:spacing w:after="0"/>
            </w:pPr>
            <w:r/>
            <w:r>
              <w:rPr>
                <w:b w:val="0"/>
                <w:sz w:val="16"/>
              </w:rPr>
              <w:t>G4 / POC-E</w:t>
            </w:r>
          </w:p>
        </w:tc>
        <w:tc>
          <w:tcPr>
            <w:tcW w:type="dxa" w:w="2556"/>
            <w:vAlign w:val="center"/>
          </w:tcPr>
          <w:p>
            <w:pPr>
              <w:spacing w:after="0"/>
            </w:pPr>
            <w:r/>
            <w:r>
              <w:rPr>
                <w:b w:val="0"/>
                <w:sz w:val="16"/>
              </w:rPr>
              <w:t>Named turnkey OEM physical/electrical/lifecycle attachment</w:t>
            </w:r>
          </w:p>
        </w:tc>
        <w:tc>
          <w:tcPr>
            <w:tcW w:type="dxa" w:w="2556"/>
            <w:vAlign w:val="center"/>
          </w:tcPr>
          <w:p>
            <w:pPr>
              <w:spacing w:after="0"/>
            </w:pPr>
            <w:r/>
            <w:r>
              <w:rPr>
                <w:b w:val="0"/>
                <w:sz w:val="16"/>
              </w:rPr>
              <w:t>R3, R4, R8</w:t>
            </w:r>
          </w:p>
        </w:tc>
        <w:tc>
          <w:tcPr>
            <w:tcW w:type="dxa" w:w="2556"/>
            <w:vAlign w:val="center"/>
          </w:tcPr>
          <w:p>
            <w:pPr>
              <w:spacing w:after="0"/>
            </w:pPr>
            <w:r/>
            <w:r>
              <w:rPr>
                <w:b w:val="0"/>
                <w:sz w:val="16"/>
              </w:rPr>
              <w:t>OEM + Sandisk</w:t>
            </w:r>
          </w:p>
        </w:tc>
      </w:tr>
      <w:tr>
        <w:tc>
          <w:tcPr>
            <w:tcW w:type="dxa" w:w="2556"/>
            <w:vAlign w:val="center"/>
            <w:shd w:fill="F2F2F2"/>
          </w:tcPr>
          <w:p>
            <w:pPr>
              <w:spacing w:after="0"/>
            </w:pPr>
            <w:r/>
            <w:r>
              <w:rPr>
                <w:b w:val="0"/>
                <w:sz w:val="16"/>
              </w:rPr>
              <w:t>G5 / POC-F</w:t>
            </w:r>
          </w:p>
        </w:tc>
        <w:tc>
          <w:tcPr>
            <w:tcW w:type="dxa" w:w="2556"/>
            <w:vAlign w:val="center"/>
            <w:shd w:fill="F2F2F2"/>
          </w:tcPr>
          <w:p>
            <w:pPr>
              <w:spacing w:after="0"/>
            </w:pPr>
            <w:r/>
            <w:r>
              <w:rPr>
                <w:b w:val="0"/>
                <w:sz w:val="16"/>
              </w:rPr>
              <w:t>Independent rack service and ROI qualification</w:t>
            </w:r>
          </w:p>
        </w:tc>
        <w:tc>
          <w:tcPr>
            <w:tcW w:type="dxa" w:w="2556"/>
            <w:vAlign w:val="center"/>
            <w:shd w:fill="F2F2F2"/>
          </w:tcPr>
          <w:p>
            <w:pPr>
              <w:spacing w:after="0"/>
            </w:pPr>
            <w:r/>
            <w:r>
              <w:rPr>
                <w:b w:val="0"/>
                <w:sz w:val="16"/>
              </w:rPr>
              <w:t>All</w:t>
            </w:r>
          </w:p>
        </w:tc>
        <w:tc>
          <w:tcPr>
            <w:tcW w:type="dxa" w:w="2556"/>
            <w:vAlign w:val="center"/>
            <w:shd w:fill="F2F2F2"/>
          </w:tcPr>
          <w:p>
            <w:pPr>
              <w:spacing w:after="0"/>
            </w:pPr>
            <w:r/>
            <w:r>
              <w:rPr>
                <w:b w:val="0"/>
                <w:sz w:val="16"/>
              </w:rPr>
              <w:t>Joint qualification</w:t>
            </w:r>
          </w:p>
        </w:tc>
      </w:tr>
    </w:tbl>
    <w:p/>
    <w:p>
      <w:pPr>
        <w:pStyle w:val="Heading2"/>
        <w:keepNext/>
      </w:pPr>
      <w:r>
        <w:rPr>
          <w:color w:val="1F4E78"/>
        </w:rPr>
        <w:t>G0 / POC-A — Freeze the first qualified configuration</w:t>
      </w:r>
    </w:p>
    <w:p>
      <w:pPr>
        <w:pStyle w:val="ListBullet"/>
        <w:spacing w:after="60"/>
      </w:pPr>
      <w:r>
        <w:t>Entry: one Qwen3-235B-A22B-class checkpoint; one qualified FP8 format; host-staged transport; one Gen5 switch profile; 8 RTX + 8 ATMOS target fixture; one pinned vLLM/PyTorch/CUDA/driver/OS build.</w:t>
      </w:r>
    </w:p>
    <w:p>
      <w:pPr>
        <w:pStyle w:val="ListBullet"/>
        <w:spacing w:after="60"/>
      </w:pPr>
      <w:r>
        <w:t>Execute: capture a reproducible GPU-only oracle and latency decomposition; freeze tokenizer, routing/top-k, quality set, TTFT/TPOT SLO, request mix, accepted-throughput definition, load points, power method, and three-year TCO boundary.</w:t>
      </w:r>
    </w:p>
    <w:p>
      <w:pPr>
        <w:pStyle w:val="ListBullet"/>
        <w:spacing w:after="60"/>
      </w:pPr>
      <w:r>
        <w:t>Software contract: name owners and conformance suites for (1) Expert Execution ABI, (2) ATMOS Transport Runtime, and (3) vLLM Integration Layer; record release cadence and upstream/fork strategy.</w:t>
      </w:r>
    </w:p>
    <w:p>
      <w:pPr>
        <w:pStyle w:val="ListBullet"/>
        <w:spacing w:after="60"/>
      </w:pPr>
      <w:r>
        <w:t>Pass: the baseline reproduces within the predeclared tolerance across three runs; the per-layer ATMOS budget, burst reserve, quality tolerance, and cost hurdle are signed before hybrid measurements.</w:t>
      </w:r>
    </w:p>
    <w:p>
      <w:pPr>
        <w:pStyle w:val="ListBullet"/>
        <w:spacing w:after="60"/>
      </w:pPr>
      <w:r>
        <w:t>Stop/pivot: no reproducible baseline, unsupported FP8/expert operator, or no maintainable integration owner. Narrow operator/precision or select a different checkpoint before hardware fan-out work.</w:t>
      </w:r>
    </w:p>
    <w:p>
      <w:pPr>
        <w:pStyle w:val="ListBullet"/>
        <w:spacing w:after="60"/>
      </w:pPr>
      <w:r>
        <w:t>Evidence: configuration manifest, hashes, baseline traces, numerical oracle, latency-budget worksheet, workload manifest, cost model, and ownership/RACI.</w:t>
      </w:r>
    </w:p>
    <w:p>
      <w:pPr>
        <w:pStyle w:val="Heading2"/>
        <w:keepNext/>
      </w:pPr>
      <w:r>
        <w:rPr>
          <w:color w:val="1F4E78"/>
        </w:rPr>
        <w:t>G1 / POC-B — Fundamental latency and expert execution</w:t>
      </w:r>
    </w:p>
    <w:p>
      <w:pPr>
        <w:pStyle w:val="ListBullet"/>
        <w:spacing w:after="60"/>
      </w:pPr>
      <w:r>
        <w:t>Entry: real GPU, real ATMOS endpoint/NPU path, compiled real expert shapes, synchronized clocks/tracing, and G0 budget.</w:t>
      </w:r>
    </w:p>
    <w:p>
      <w:pPr>
        <w:pStyle w:val="ListBullet"/>
        <w:spacing w:after="60"/>
      </w:pPr>
      <w:r>
        <w:t>Execute: measure GPU dispatch through ATMOS execution and GPU continuation for top-1/top-2/top-8; 1/2/4/8 destinations; 1/2/4/8/16/32/64 tokens per expert; warm and loaded queues; host-staged and any documented peer path; p50/p95/p99.</w:t>
      </w:r>
    </w:p>
    <w:p>
      <w:pPr>
        <w:pStyle w:val="ListBullet"/>
        <w:spacing w:after="60"/>
      </w:pPr>
      <w:r>
        <w:t>Service curves: report useful HBF bandwidth, NPU utilization, weight/activation bytes, queue depth, arrival/service rate, power, precision error, and latency by expert shape and tokens/expert.</w:t>
      </w:r>
    </w:p>
    <w:p>
      <w:pPr>
        <w:pStyle w:val="ListBullet"/>
        <w:spacing w:after="60"/>
      </w:pPr>
      <w:r>
        <w:t>Pass: p99 complete continuation fits the signed per-layer budget and replayed end-to-end TPOT stays within SLO at the target accepted load; the service curve sustains trace-derived peak demand plus the G0 burst reserve without unbounded queue growth.</w:t>
      </w:r>
    </w:p>
    <w:p>
      <w:pPr>
        <w:pStyle w:val="ListBullet"/>
        <w:spacing w:after="60"/>
      </w:pPr>
      <w:r>
        <w:t>Stop/pivot: both supported transports miss the budget or small-batch service cannot meet demand. Test layer grouping, router/combine relocation, larger batches, prefill/offline-only use, or GPU-resident hot experts before any rack investment.</w:t>
      </w:r>
    </w:p>
    <w:p>
      <w:pPr>
        <w:pStyle w:val="ListBullet"/>
        <w:spacing w:after="60"/>
      </w:pPr>
      <w:r>
        <w:t>Evidence: raw traces, service-curve dataset, numerical comparison, queue model, synchronization audit, and signed feasibility report.</w:t>
      </w:r>
    </w:p>
    <w:p>
      <w:pPr>
        <w:pStyle w:val="Heading2"/>
        <w:keepNext/>
      </w:pPr>
      <w:r>
        <w:rPr>
          <w:color w:val="1F4E78"/>
        </w:rPr>
        <w:t>G2 / POC-C — Four-device tray emulator and fault domains</w:t>
      </w:r>
    </w:p>
    <w:p>
      <w:pPr>
        <w:pStyle w:val="ListBullet"/>
        <w:spacing w:after="60"/>
      </w:pPr>
      <w:r>
        <w:t>Entry: four ATMOS devices behind one balanced x16-to-4×x4 Gen5 domain, representative host/GPU traffic, and G1-qualified primitive.</w:t>
      </w:r>
    </w:p>
    <w:p>
      <w:pPr>
        <w:pStyle w:val="ListBullet"/>
        <w:spacing w:after="60"/>
      </w:pPr>
      <w:r>
        <w:t>Execute: replay router traces under one and four concurrent GPUs; measure average/p95 destinations per token/layer, co-activation, slowest contribution, fan-in, queue imbalance, head-of-line blocking, and placement-epoch changes.</w:t>
      </w:r>
    </w:p>
    <w:p>
      <w:pPr>
        <w:pStyle w:val="ListBullet"/>
        <w:spacing w:after="60"/>
      </w:pPr>
      <w:r>
        <w:t>Fault matrix: endpoint removal, malformed completion, link degradation, DPC/AER, switch firmware/reset, downstream FLR, host re-enumeration, and power/thermal throttling. Compare one eight-device domain with two balanced four-device domains before G3/G4 topology lock.</w:t>
      </w:r>
    </w:p>
    <w:p>
      <w:pPr>
        <w:pStyle w:val="ListBullet"/>
        <w:spacing w:after="60"/>
      </w:pPr>
      <w:r>
        <w:t>Availability rule: select and cost one correctness-preserving policy—two complete service groups by default; N+1 rebuild, GPU fallback, or cross-node replicas only if measured RTO/SLO and retained capacity pass.</w:t>
      </w:r>
    </w:p>
    <w:p>
      <w:pPr>
        <w:pStyle w:val="ListBullet"/>
        <w:spacing w:after="60"/>
      </w:pPr>
      <w:r>
        <w:t>Pass: no silent quality error; bounded p99 and queues at the G0 load; a failed endpoint/domain is contained; unaffected service continues according to the declared policy; reset/rejoin meets the signed RTO/RPO.</w:t>
      </w:r>
    </w:p>
    <w:p>
      <w:pPr>
        <w:pStyle w:val="ListBullet"/>
        <w:spacing w:after="60"/>
      </w:pPr>
      <w:r>
        <w:t>Stop/pivot: tail latency, fan-out, reset blast radius, or reserve cost violates the signed envelope. Re-place/replicate experts, split switch domains, reduce ATMOS destinations, or narrow the service class.</w:t>
      </w:r>
    </w:p>
    <w:p>
      <w:pPr>
        <w:pStyle w:val="ListBullet"/>
        <w:spacing w:after="60"/>
      </w:pPr>
      <w:r>
        <w:t>Evidence: topology/NUMA map, placement report, fault-injection log, recovery trace, availability-capacity calculation, and single-vs-dual-domain decision.</w:t>
      </w:r>
    </w:p>
    <w:p>
      <w:pPr>
        <w:pStyle w:val="Heading2"/>
        <w:keepNext/>
      </w:pPr>
      <w:r>
        <w:rPr>
          <w:color w:val="1F4E78"/>
        </w:rPr>
        <w:t>G3 / POC-D — Complete RTX development service</w:t>
      </w:r>
    </w:p>
    <w:p>
      <w:pPr>
        <w:pStyle w:val="ListBullet"/>
        <w:spacing w:after="60"/>
      </w:pPr>
      <w:r>
        <w:t>Entry: G0–G2 pass; 8 RTX + 8 ATMOS development vehicle; complete ExpertPack; versioned vLLM integration; chosen failure policy.</w:t>
      </w:r>
    </w:p>
    <w:p>
      <w:pPr>
        <w:pStyle w:val="ListBullet"/>
        <w:spacing w:after="60"/>
      </w:pPr>
      <w:r>
        <w:t>Execute: A/B GPU-only and hybrid at identical checkpoint, quality, request mix, TTFT/TPOT, failure reserve, and offered-load sweep. Exercise continuous batching, cancellation, timeout, backpressure, rolling update/rollback, prefix caching, speculative decoding policy, and degraded operation.</w:t>
      </w:r>
    </w:p>
    <w:p>
      <w:pPr>
        <w:pStyle w:val="ListBullet"/>
        <w:spacing w:after="60"/>
      </w:pPr>
      <w:r>
        <w:t>Pass: quality is within G0 tolerance; accepted service rate within SLO exceeds the cost-adjusted break-even rate; no unbounded queue; the chosen failure policy preserves correctness; three-run confidence intervals and power are reported.</w:t>
      </w:r>
    </w:p>
    <w:p>
      <w:pPr>
        <w:pStyle w:val="ListBullet"/>
        <w:spacing w:after="60"/>
      </w:pPr>
      <w:r>
        <w:t>Stop/pivot: capacity fits but service rate, SLO, quality, maintainability, or fully burdened economics fail. Do not infer rack value; narrow to prefill/offline/cold-expert service or stop fine-grained offload.</w:t>
      </w:r>
    </w:p>
    <w:p>
      <w:pPr>
        <w:pStyle w:val="ListBullet"/>
        <w:spacing w:after="60"/>
      </w:pPr>
      <w:r>
        <w:t>Evidence: reproducible deployment bundle, compatibility manifest, A/B dataset, fault/upgrade report, software maintenance plan, BOM/quote, and populated break-even workbook.</w:t>
      </w:r>
    </w:p>
    <w:p>
      <w:pPr>
        <w:pStyle w:val="Heading2"/>
        <w:keepNext/>
      </w:pPr>
      <w:r>
        <w:rPr>
          <w:color w:val="1F4E78"/>
        </w:rPr>
        <w:t>G4 / POC-E — Named turnkey OEM attachment</w:t>
      </w:r>
    </w:p>
    <w:p>
      <w:pPr>
        <w:pStyle w:val="ListBullet"/>
        <w:spacing w:after="60"/>
      </w:pPr>
      <w:r>
        <w:t>Entry: G1 pass; vendor NDA/RFI; one exact orderable rack/tray; named OEM engineering and support owners. Discovery may start after G0, but custom NRE starts only after G1.</w:t>
      </w:r>
    </w:p>
    <w:p>
      <w:pPr>
        <w:pStyle w:val="ListBullet"/>
        <w:spacing w:after="60"/>
      </w:pPr>
      <w:r>
        <w:t>Execute: choose OEM-integrated local subsystem first, approved companion PCIe tray second; network-attached ATMOS is excluded from layer-synchronous MoE and may be assessed only for asynchronous services.</w:t>
      </w:r>
    </w:p>
    <w:p>
      <w:pPr>
        <w:pStyle w:val="ListBullet"/>
        <w:spacing w:after="60"/>
      </w:pPr>
      <w:r>
        <w:t>Required return: exact connector/root/lanes/NUMA route; module and switch mechanics; cable/retimer budget; power/cooling; BIOS/IOMMU/ACS/DPC; BMC/update/reset; host architecture; peer-DMA status; service procedure; spares; warranty; quote; NRE; roadmap; lab access.</w:t>
      </w:r>
    </w:p>
    <w:p>
      <w:pPr>
        <w:pStyle w:val="ListBullet"/>
        <w:spacing w:after="60"/>
      </w:pPr>
      <w:r>
        <w:t>Pass: OEM signs a supported design record with no proprietary GPU firmware/driver patch, supplies a measurable route and lifecycle owner, and the modeled latency/power/cost remain inside G1/G3 envelopes.</w:t>
      </w:r>
    </w:p>
    <w:p>
      <w:pPr>
        <w:pStyle w:val="ListBullet"/>
        <w:spacing w:after="60"/>
      </w:pPr>
      <w:r>
        <w:t>Stop/pivot: no supported route, inaccessible reset/IOMMU policy, no thermal/mechanical envelope, or no accountable field support. Try companion tray or next ranked vendor; do not treat spare storage bays as compatibility.</w:t>
      </w:r>
    </w:p>
    <w:p>
      <w:pPr>
        <w:pStyle w:val="ListBullet"/>
        <w:spacing w:after="60"/>
      </w:pPr>
      <w:r>
        <w:t>Evidence: signed RFI/design record, CAD/lane/NUMA diagrams, thermal/power model, firmware and service contract, risk register, quote, and qualification schedule.</w:t>
      </w:r>
    </w:p>
    <w:p>
      <w:pPr>
        <w:pStyle w:val="Heading2"/>
        <w:keepNext/>
      </w:pPr>
      <w:r>
        <w:rPr>
          <w:color w:val="1F4E78"/>
        </w:rPr>
        <w:t>G5 / POC-F — Independent rack-scale product and ROI qualification</w:t>
      </w:r>
    </w:p>
    <w:p>
      <w:pPr>
        <w:pStyle w:val="ListBullet"/>
        <w:spacing w:after="60"/>
      </w:pPr>
      <w:r>
        <w:t>Entry: G3 and G4 pass for one named platform; production-intent hardware/software; GPU-only control rack; chosen availability reserve deployed on both arms.</w:t>
      </w:r>
    </w:p>
    <w:p>
      <w:pPr>
        <w:pStyle w:val="ListBullet"/>
        <w:spacing w:after="60"/>
      </w:pPr>
      <w:r>
        <w:t>Execute: repeat the complete workload, offered-load sweep, quality, TTFT/TPOT, placement, faults, updates, power, cooling, operations, and cost study. Re-tune only through a documented procedure available to both control and hybrid arms.</w:t>
      </w:r>
    </w:p>
    <w:p>
      <w:pPr>
        <w:pStyle w:val="ListBullet"/>
        <w:spacing w:after="60"/>
      </w:pPr>
      <w:r>
        <w:t>Economic metric: three-year TCO per accepted token/request within SLO includes accelerators, ATMOS, switches, rack/network, energy/cooling, licenses, support, spares, failure reserve, and amortized NRE. Report ROI and sensitivity; do not reuse RTX ratios.</w:t>
      </w:r>
    </w:p>
    <w:p>
      <w:pPr>
        <w:pStyle w:val="ListBullet"/>
        <w:spacing w:after="60"/>
      </w:pPr>
      <w:r>
        <w:t>Pass: hybrid beats the G0 hurdle at the same SLO/quality/availability, with a supported lifecycle, positive sensitivity over approved demand/cost ranges, and no critical unresolved fault or security item.</w:t>
      </w:r>
    </w:p>
    <w:p>
      <w:pPr>
        <w:pStyle w:val="ListBullet"/>
        <w:spacing w:after="60"/>
      </w:pPr>
      <w:r>
        <w:t>Stop/pivot: no product claim on the failing vendor/platform. Preserve any successful platform-specific release or narrow to an asynchronous/prefill workload with a new baseline.</w:t>
      </w:r>
    </w:p>
    <w:p>
      <w:pPr>
        <w:pStyle w:val="ListBullet"/>
        <w:spacing w:after="60"/>
      </w:pPr>
      <w:r>
        <w:t>Evidence: independent qualification report, raw benchmark package, accepted-load curves, three-year TCO/ROI workbook, support readiness review, security review, and release compatibility manifest.</w:t>
      </w:r>
    </w:p>
    <w:p>
      <w:pPr>
        <w:pStyle w:val="Heading2"/>
        <w:keepNext/>
      </w:pPr>
      <w:r>
        <w:rPr>
          <w:color w:val="1F4E78"/>
        </w:rPr>
        <w:t>Execution controls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6"/>
              </w:rPr>
              <w:t>Control</w:t>
            </w:r>
          </w:p>
        </w:tc>
        <w:tc>
          <w:tcPr>
            <w:tcW w:type="dxa" w:w="5112"/>
            <w:vAlign w:val="center"/>
            <w:shd w:fill="17365D"/>
          </w:tcPr>
          <w:p>
            <w:pPr>
              <w:spacing w:after="0"/>
            </w:pPr>
            <w:r/>
            <w:r>
              <w:rPr>
                <w:b/>
                <w:color w:val="FFFFFF"/>
                <w:sz w:val="16"/>
              </w:rPr>
              <w:t>Rule</w:t>
            </w:r>
          </w:p>
        </w:tc>
      </w:tr>
      <w:tr>
        <w:tc>
          <w:tcPr>
            <w:tcW w:type="dxa" w:w="5112"/>
            <w:vAlign w:val="center"/>
          </w:tcPr>
          <w:p>
            <w:pPr>
              <w:spacing w:after="0"/>
            </w:pPr>
            <w:r/>
            <w:r>
              <w:rPr>
                <w:b w:val="0"/>
                <w:sz w:val="16"/>
              </w:rPr>
              <w:t>Gate authority</w:t>
            </w:r>
          </w:p>
        </w:tc>
        <w:tc>
          <w:tcPr>
            <w:tcW w:type="dxa" w:w="5112"/>
            <w:vAlign w:val="center"/>
          </w:tcPr>
          <w:p>
            <w:pPr>
              <w:spacing w:after="0"/>
            </w:pPr>
            <w:r/>
            <w:r>
              <w:rPr>
                <w:b w:val="0"/>
                <w:sz w:val="16"/>
              </w:rPr>
              <w:t>Architecture, performance, product/finance, and reliability owners sign; the workstream owner cannot self-approve.</w:t>
            </w:r>
          </w:p>
        </w:tc>
      </w:tr>
      <w:tr>
        <w:tc>
          <w:tcPr>
            <w:tcW w:type="dxa" w:w="5112"/>
            <w:vAlign w:val="center"/>
            <w:shd w:fill="F2F2F2"/>
          </w:tcPr>
          <w:p>
            <w:pPr>
              <w:spacing w:after="0"/>
            </w:pPr>
            <w:r/>
            <w:r>
              <w:rPr>
                <w:b w:val="0"/>
                <w:sz w:val="16"/>
              </w:rPr>
              <w:t>Result states</w:t>
            </w:r>
          </w:p>
        </w:tc>
        <w:tc>
          <w:tcPr>
            <w:tcW w:type="dxa" w:w="5112"/>
            <w:vAlign w:val="center"/>
            <w:shd w:fill="F2F2F2"/>
          </w:tcPr>
          <w:p>
            <w:pPr>
              <w:spacing w:after="0"/>
            </w:pPr>
            <w:r/>
            <w:r>
              <w:rPr>
                <w:b w:val="0"/>
                <w:sz w:val="16"/>
              </w:rPr>
              <w:t>Pass, Conditional Pass with dated closure, Pivot, or Stop. 'Promising' is not a decision state.</w:t>
            </w:r>
          </w:p>
        </w:tc>
      </w:tr>
      <w:tr>
        <w:tc>
          <w:tcPr>
            <w:tcW w:type="dxa" w:w="5112"/>
            <w:vAlign w:val="center"/>
          </w:tcPr>
          <w:p>
            <w:pPr>
              <w:spacing w:after="0"/>
            </w:pPr>
            <w:r/>
            <w:r>
              <w:rPr>
                <w:b w:val="0"/>
                <w:sz w:val="16"/>
              </w:rPr>
              <w:t>Reproducibility</w:t>
            </w:r>
          </w:p>
        </w:tc>
        <w:tc>
          <w:tcPr>
            <w:tcW w:type="dxa" w:w="5112"/>
            <w:vAlign w:val="center"/>
          </w:tcPr>
          <w:p>
            <w:pPr>
              <w:spacing w:after="0"/>
            </w:pPr>
            <w:r/>
            <w:r>
              <w:rPr>
                <w:b w:val="0"/>
                <w:sz w:val="16"/>
              </w:rPr>
              <w:t>Publish manifests, hashes, raw traces, analysis code, run logs, confidence intervals, and deviations with each result.</w:t>
            </w:r>
          </w:p>
        </w:tc>
      </w:tr>
      <w:tr>
        <w:tc>
          <w:tcPr>
            <w:tcW w:type="dxa" w:w="5112"/>
            <w:vAlign w:val="center"/>
            <w:shd w:fill="F2F2F2"/>
          </w:tcPr>
          <w:p>
            <w:pPr>
              <w:spacing w:after="0"/>
            </w:pPr>
            <w:r/>
            <w:r>
              <w:rPr>
                <w:b w:val="0"/>
                <w:sz w:val="16"/>
              </w:rPr>
              <w:t>Claim hygiene</w:t>
            </w:r>
          </w:p>
        </w:tc>
        <w:tc>
          <w:tcPr>
            <w:tcW w:type="dxa" w:w="5112"/>
            <w:vAlign w:val="center"/>
            <w:shd w:fill="F2F2F2"/>
          </w:tcPr>
          <w:p>
            <w:pPr>
              <w:spacing w:after="0"/>
            </w:pPr>
            <w:r/>
            <w:r>
              <w:rPr>
                <w:b w:val="0"/>
                <w:sz w:val="16"/>
              </w:rPr>
              <w:t>Label simulation, modeled values, vendor claims, targets, and measurements distinctly in every chart and executive summary.</w:t>
            </w:r>
          </w:p>
        </w:tc>
      </w:tr>
      <w:tr>
        <w:tc>
          <w:tcPr>
            <w:tcW w:type="dxa" w:w="5112"/>
            <w:vAlign w:val="center"/>
          </w:tcPr>
          <w:p>
            <w:pPr>
              <w:spacing w:after="0"/>
            </w:pPr>
            <w:r/>
            <w:r>
              <w:rPr>
                <w:b w:val="0"/>
                <w:sz w:val="16"/>
              </w:rPr>
              <w:t>Change control</w:t>
            </w:r>
          </w:p>
        </w:tc>
        <w:tc>
          <w:tcPr>
            <w:tcW w:type="dxa" w:w="5112"/>
            <w:vAlign w:val="center"/>
          </w:tcPr>
          <w:p>
            <w:pPr>
              <w:spacing w:after="0"/>
            </w:pPr>
            <w:r/>
            <w:r>
              <w:rPr>
                <w:b w:val="0"/>
                <w:sz w:val="16"/>
              </w:rPr>
              <w:t>Checkpoint, precision, topology, driver, firmware, vLLM, SLO, workload, or failure policy changes invalidate affected gates.</w:t>
            </w:r>
          </w:p>
        </w:tc>
      </w:tr>
    </w:tbl>
    <w:p/>
    <w:p>
      <w:pPr>
        <w:pStyle w:val="Heading1"/>
        <w:keepNext/>
      </w:pPr>
      <w:r>
        <w:rPr>
          <w:color w:val="1F4E78"/>
        </w:rPr>
        <w:t>Recommended program decision</w:t>
      </w:r>
    </w:p>
    <w:tbl>
      <w:tblPr>
        <w:tblStyle w:val="TableGrid"/>
        <w:tblW w:type="auto" w:w="0"/>
        <w:tblLook w:firstColumn="1" w:firstRow="1" w:lastColumn="0" w:lastRow="0" w:noHBand="0" w:noVBand="1" w:val="04A0"/>
      </w:tblPr>
      <w:tblGrid>
        <w:gridCol w:w="10224"/>
      </w:tblGrid>
      <w:tr>
        <w:tc>
          <w:tcPr>
            <w:tcW w:type="dxa" w:w="10224"/>
            <w:shd w:fill="DCE6F1"/>
          </w:tcPr>
          <w:p>
            <w:pPr>
              <w:spacing w:after="0"/>
            </w:pPr>
            <w:r/>
            <w:r>
              <w:rPr>
                <w:b/>
                <w:color w:val="17365D"/>
              </w:rPr>
              <w:t xml:space="preserve">RECOMMENDATION  </w:t>
            </w:r>
            <w:r>
              <w:t>Approve G0 and G1 plus parallel no-NRE OEM discovery. Do not approve a production rack direction, eight-device custom switch investment, or headline ROI until the primitive latency/service-curve gate passes.</w:t>
            </w:r>
          </w:p>
        </w:tc>
      </w:tr>
    </w:tbl>
    <w:p/>
    <w:p>
      <w:pPr>
        <w:pStyle w:val="ListBullet"/>
        <w:spacing w:after="60"/>
      </w:pPr>
      <w:r>
        <w:t>Use Qwen3-235B-class FP8, host staging, Gen5, and one pinned NVIDIA software build as the first qualification path.</w:t>
      </w:r>
    </w:p>
    <w:p>
      <w:pPr>
        <w:pStyle w:val="ListBullet"/>
        <w:spacing w:after="60"/>
      </w:pPr>
      <w:r>
        <w:t>Build the four-GPU/four-ATMOS tray emulator after G1; compare one and two switch failure domains before topology lock.</w:t>
      </w:r>
    </w:p>
    <w:p>
      <w:pPr>
        <w:pStyle w:val="ListBullet"/>
        <w:spacing w:after="60"/>
      </w:pPr>
      <w:r>
        <w:t>Treat two complete service groups as the conservative availability baseline until a cheaper N+1/GPU-fallback policy proves correctness and RTO.</w:t>
      </w:r>
    </w:p>
    <w:p>
      <w:pPr>
        <w:pStyle w:val="ListBullet"/>
        <w:spacing w:after="60"/>
      </w:pPr>
      <w:r>
        <w:t>Issue the common G4 RFI first to Giga Computing, Supermicro, Penguin Solutions, and one enterprise OEM control (Lenovo or Dell).</w:t>
      </w:r>
    </w:p>
    <w:p>
      <w:pPr>
        <w:pStyle w:val="ListBullet"/>
        <w:spacing w:after="60"/>
      </w:pPr>
      <w:r>
        <w:t>Qualify each rack vendor/platform independently; publish no aggregate 'NVIDIA', 'AMD', or 'turnkey OEM' ROI claim.</w:t>
      </w:r>
    </w:p>
    <w:p>
      <w:pPr>
        <w:pStyle w:val="Heading1"/>
        <w:keepNext/>
      </w:pPr>
      <w:r>
        <w:rPr>
          <w:color w:val="1F4E78"/>
        </w:rPr>
        <w:t>Public source register</w:t>
      </w:r>
    </w:p>
    <w:p>
      <w:pPr>
        <w:spacing w:after="120"/>
      </w:pPr>
      <w:r>
        <w:t>Accessed 30 September 2026. Sources establish public product positioning only; they do not establish ATMOS compatibility. Exact product availability, configuration, and commercial terms require vendor confirmation.</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5"/>
              </w:rPr>
              <w:t>Vendor</w:t>
            </w:r>
          </w:p>
        </w:tc>
        <w:tc>
          <w:tcPr>
            <w:tcW w:type="dxa" w:w="3408"/>
            <w:vAlign w:val="center"/>
            <w:shd w:fill="17365D"/>
          </w:tcPr>
          <w:p>
            <w:pPr>
              <w:spacing w:after="0"/>
            </w:pPr>
            <w:r/>
            <w:r>
              <w:rPr>
                <w:b/>
                <w:color w:val="FFFFFF"/>
                <w:sz w:val="15"/>
              </w:rPr>
              <w:t>Source scope</w:t>
            </w:r>
          </w:p>
        </w:tc>
        <w:tc>
          <w:tcPr>
            <w:tcW w:type="dxa" w:w="3408"/>
            <w:vAlign w:val="center"/>
            <w:shd w:fill="17365D"/>
          </w:tcPr>
          <w:p>
            <w:pPr>
              <w:spacing w:after="0"/>
            </w:pPr>
            <w:r/>
            <w:r>
              <w:rPr>
                <w:b/>
                <w:color w:val="FFFFFF"/>
                <w:sz w:val="15"/>
              </w:rPr>
              <w:t>URL</w:t>
            </w:r>
          </w:p>
        </w:tc>
      </w:tr>
      <w:tr>
        <w:tc>
          <w:tcPr>
            <w:tcW w:type="dxa" w:w="3408"/>
            <w:vAlign w:val="center"/>
          </w:tcPr>
          <w:p>
            <w:pPr>
              <w:spacing w:after="0"/>
            </w:pPr>
            <w:r/>
            <w:r>
              <w:rPr>
                <w:b w:val="0"/>
                <w:sz w:val="15"/>
              </w:rPr>
              <w:t>Supermicro</w:t>
            </w:r>
          </w:p>
        </w:tc>
        <w:tc>
          <w:tcPr>
            <w:tcW w:type="dxa" w:w="3408"/>
            <w:vAlign w:val="center"/>
          </w:tcPr>
          <w:p>
            <w:pPr>
              <w:spacing w:after="0"/>
            </w:pPr>
            <w:r/>
            <w:r>
              <w:rPr>
                <w:b w:val="0"/>
                <w:sz w:val="15"/>
              </w:rPr>
              <w:t>NVIDIA Blackwell systems and Data Center Building Block Solutions</w:t>
            </w:r>
          </w:p>
        </w:tc>
        <w:tc>
          <w:tcPr>
            <w:tcW w:type="dxa" w:w="3408"/>
            <w:vAlign w:val="center"/>
          </w:tcPr>
          <w:p>
            <w:pPr>
              <w:spacing w:after="0"/>
            </w:pPr>
            <w:r/>
            <w:r>
              <w:rPr>
                <w:b w:val="0"/>
                <w:sz w:val="15"/>
              </w:rPr>
              <w:t>https://www.supermicro.com/en/accelerators/nvidia</w:t>
            </w:r>
          </w:p>
        </w:tc>
      </w:tr>
      <w:tr>
        <w:tc>
          <w:tcPr>
            <w:tcW w:type="dxa" w:w="3408"/>
            <w:vAlign w:val="center"/>
            <w:shd w:fill="F2F2F2"/>
          </w:tcPr>
          <w:p>
            <w:pPr>
              <w:spacing w:after="0"/>
            </w:pPr>
            <w:r/>
            <w:r>
              <w:rPr>
                <w:b w:val="0"/>
                <w:sz w:val="15"/>
              </w:rPr>
              <w:t>Giga Computing</w:t>
            </w:r>
          </w:p>
        </w:tc>
        <w:tc>
          <w:tcPr>
            <w:tcW w:type="dxa" w:w="3408"/>
            <w:vAlign w:val="center"/>
            <w:shd w:fill="F2F2F2"/>
          </w:tcPr>
          <w:p>
            <w:pPr>
              <w:spacing w:after="0"/>
            </w:pPr>
            <w:r/>
            <w:r>
              <w:rPr>
                <w:b w:val="0"/>
                <w:sz w:val="15"/>
              </w:rPr>
              <w:t>GIGAPOD turnkey rack-scale AI infrastructure</w:t>
            </w:r>
          </w:p>
        </w:tc>
        <w:tc>
          <w:tcPr>
            <w:tcW w:type="dxa" w:w="3408"/>
            <w:vAlign w:val="center"/>
            <w:shd w:fill="F2F2F2"/>
          </w:tcPr>
          <w:p>
            <w:pPr>
              <w:spacing w:after="0"/>
            </w:pPr>
            <w:r/>
            <w:r>
              <w:rPr>
                <w:b w:val="0"/>
                <w:sz w:val="15"/>
              </w:rPr>
              <w:t>https://www.gigabyte.com/Solutions/gigapod</w:t>
            </w:r>
          </w:p>
        </w:tc>
      </w:tr>
      <w:tr>
        <w:tc>
          <w:tcPr>
            <w:tcW w:type="dxa" w:w="3408"/>
            <w:vAlign w:val="center"/>
          </w:tcPr>
          <w:p>
            <w:pPr>
              <w:spacing w:after="0"/>
            </w:pPr>
            <w:r/>
            <w:r>
              <w:rPr>
                <w:b w:val="0"/>
                <w:sz w:val="15"/>
              </w:rPr>
              <w:t>Penguin Solutions</w:t>
            </w:r>
          </w:p>
        </w:tc>
        <w:tc>
          <w:tcPr>
            <w:tcW w:type="dxa" w:w="3408"/>
            <w:vAlign w:val="center"/>
          </w:tcPr>
          <w:p>
            <w:pPr>
              <w:spacing w:after="0"/>
            </w:pPr>
            <w:r/>
            <w:r>
              <w:rPr>
                <w:b w:val="0"/>
                <w:sz w:val="15"/>
              </w:rPr>
              <w:t>OriginAI complete AI factory infrastructure</w:t>
            </w:r>
          </w:p>
        </w:tc>
        <w:tc>
          <w:tcPr>
            <w:tcW w:type="dxa" w:w="3408"/>
            <w:vAlign w:val="center"/>
          </w:tcPr>
          <w:p>
            <w:pPr>
              <w:spacing w:after="0"/>
            </w:pPr>
            <w:r/>
            <w:r>
              <w:rPr>
                <w:b w:val="0"/>
                <w:sz w:val="15"/>
              </w:rPr>
              <w:t>https://www.penguinsolutions.com/solutions/ai/originai</w:t>
            </w:r>
          </w:p>
        </w:tc>
      </w:tr>
      <w:tr>
        <w:tc>
          <w:tcPr>
            <w:tcW w:type="dxa" w:w="3408"/>
            <w:vAlign w:val="center"/>
            <w:shd w:fill="F2F2F2"/>
          </w:tcPr>
          <w:p>
            <w:pPr>
              <w:spacing w:after="0"/>
            </w:pPr>
            <w:r/>
            <w:r>
              <w:rPr>
                <w:b w:val="0"/>
                <w:sz w:val="15"/>
              </w:rPr>
              <w:t>Lenovo</w:t>
            </w:r>
          </w:p>
        </w:tc>
        <w:tc>
          <w:tcPr>
            <w:tcW w:type="dxa" w:w="3408"/>
            <w:vAlign w:val="center"/>
            <w:shd w:fill="F2F2F2"/>
          </w:tcPr>
          <w:p>
            <w:pPr>
              <w:spacing w:after="0"/>
            </w:pPr>
            <w:r/>
            <w:r>
              <w:rPr>
                <w:b w:val="0"/>
                <w:sz w:val="15"/>
              </w:rPr>
              <w:t>Hybrid AI solutions / Hybrid AI Factory</w:t>
            </w:r>
          </w:p>
        </w:tc>
        <w:tc>
          <w:tcPr>
            <w:tcW w:type="dxa" w:w="3408"/>
            <w:vAlign w:val="center"/>
            <w:shd w:fill="F2F2F2"/>
          </w:tcPr>
          <w:p>
            <w:pPr>
              <w:spacing w:after="0"/>
            </w:pPr>
            <w:r/>
            <w:r>
              <w:rPr>
                <w:b w:val="0"/>
                <w:sz w:val="15"/>
              </w:rPr>
              <w:t>https://www.lenovo.com/us/en/servers-storage/solutions/ai/</w:t>
            </w:r>
          </w:p>
        </w:tc>
      </w:tr>
      <w:tr>
        <w:tc>
          <w:tcPr>
            <w:tcW w:type="dxa" w:w="3408"/>
            <w:vAlign w:val="center"/>
          </w:tcPr>
          <w:p>
            <w:pPr>
              <w:spacing w:after="0"/>
            </w:pPr>
            <w:r/>
            <w:r>
              <w:rPr>
                <w:b w:val="0"/>
                <w:sz w:val="15"/>
              </w:rPr>
              <w:t>Dell</w:t>
            </w:r>
          </w:p>
        </w:tc>
        <w:tc>
          <w:tcPr>
            <w:tcW w:type="dxa" w:w="3408"/>
            <w:vAlign w:val="center"/>
          </w:tcPr>
          <w:p>
            <w:pPr>
              <w:spacing w:after="0"/>
            </w:pPr>
            <w:r/>
            <w:r>
              <w:rPr>
                <w:b w:val="0"/>
                <w:sz w:val="15"/>
              </w:rPr>
              <w:t>Dell AI Factory; NVIDIA turnkey and AMD open paths</w:t>
            </w:r>
          </w:p>
        </w:tc>
        <w:tc>
          <w:tcPr>
            <w:tcW w:type="dxa" w:w="3408"/>
            <w:vAlign w:val="center"/>
          </w:tcPr>
          <w:p>
            <w:pPr>
              <w:spacing w:after="0"/>
            </w:pPr>
            <w:r/>
            <w:r>
              <w:rPr>
                <w:b w:val="0"/>
                <w:sz w:val="15"/>
              </w:rPr>
              <w:t>https://www.dell.com/en-us/dt/solutions/artificial-intelligence/index.htm</w:t>
            </w:r>
          </w:p>
        </w:tc>
      </w:tr>
      <w:tr>
        <w:tc>
          <w:tcPr>
            <w:tcW w:type="dxa" w:w="3408"/>
            <w:vAlign w:val="center"/>
            <w:shd w:fill="F2F2F2"/>
          </w:tcPr>
          <w:p>
            <w:pPr>
              <w:spacing w:after="0"/>
            </w:pPr>
            <w:r/>
            <w:r>
              <w:rPr>
                <w:b w:val="0"/>
                <w:sz w:val="15"/>
              </w:rPr>
              <w:t>Cisco</w:t>
            </w:r>
          </w:p>
        </w:tc>
        <w:tc>
          <w:tcPr>
            <w:tcW w:type="dxa" w:w="3408"/>
            <w:vAlign w:val="center"/>
            <w:shd w:fill="F2F2F2"/>
          </w:tcPr>
          <w:p>
            <w:pPr>
              <w:spacing w:after="0"/>
            </w:pPr>
            <w:r/>
            <w:r>
              <w:rPr>
                <w:b w:val="0"/>
                <w:sz w:val="15"/>
              </w:rPr>
              <w:t>Secure AI Factory with NVIDIA</w:t>
            </w:r>
          </w:p>
        </w:tc>
        <w:tc>
          <w:tcPr>
            <w:tcW w:type="dxa" w:w="3408"/>
            <w:vAlign w:val="center"/>
            <w:shd w:fill="F2F2F2"/>
          </w:tcPr>
          <w:p>
            <w:pPr>
              <w:spacing w:after="0"/>
            </w:pPr>
            <w:r/>
            <w:r>
              <w:rPr>
                <w:b w:val="0"/>
                <w:sz w:val="15"/>
              </w:rPr>
              <w:t>https://www.cisco.com/site/us/en/solutions/artificial-intelligence/secure-ai-factory/index.html</w:t>
            </w:r>
          </w:p>
        </w:tc>
      </w:tr>
      <w:tr>
        <w:tc>
          <w:tcPr>
            <w:tcW w:type="dxa" w:w="3408"/>
            <w:vAlign w:val="center"/>
          </w:tcPr>
          <w:p>
            <w:pPr>
              <w:spacing w:after="0"/>
            </w:pPr>
            <w:r/>
            <w:r>
              <w:rPr>
                <w:b w:val="0"/>
                <w:sz w:val="15"/>
              </w:rPr>
              <w:t>HPE</w:t>
            </w:r>
          </w:p>
        </w:tc>
        <w:tc>
          <w:tcPr>
            <w:tcW w:type="dxa" w:w="3408"/>
            <w:vAlign w:val="center"/>
          </w:tcPr>
          <w:p>
            <w:pPr>
              <w:spacing w:after="0"/>
            </w:pPr>
            <w:r/>
            <w:r>
              <w:rPr>
                <w:b w:val="0"/>
                <w:sz w:val="15"/>
              </w:rPr>
              <w:t>HPE Private Cloud AI and AI Factory solutions</w:t>
            </w:r>
          </w:p>
        </w:tc>
        <w:tc>
          <w:tcPr>
            <w:tcW w:type="dxa" w:w="3408"/>
            <w:vAlign w:val="center"/>
          </w:tcPr>
          <w:p>
            <w:pPr>
              <w:spacing w:after="0"/>
            </w:pPr>
            <w:r/>
            <w:r>
              <w:rPr>
                <w:b w:val="0"/>
                <w:sz w:val="15"/>
              </w:rPr>
              <w:t>https://www.hpe.com/us/en/ai-factory.html</w:t>
            </w:r>
          </w:p>
        </w:tc>
      </w:tr>
      <w:tr>
        <w:tc>
          <w:tcPr>
            <w:tcW w:type="dxa" w:w="3408"/>
            <w:vAlign w:val="center"/>
            <w:shd w:fill="F2F2F2"/>
          </w:tcPr>
          <w:p>
            <w:pPr>
              <w:spacing w:after="0"/>
            </w:pPr>
            <w:r/>
            <w:r>
              <w:rPr>
                <w:b w:val="0"/>
                <w:sz w:val="15"/>
              </w:rPr>
              <w:t>NVIDIA</w:t>
            </w:r>
          </w:p>
        </w:tc>
        <w:tc>
          <w:tcPr>
            <w:tcW w:type="dxa" w:w="3408"/>
            <w:vAlign w:val="center"/>
            <w:shd w:fill="F2F2F2"/>
          </w:tcPr>
          <w:p>
            <w:pPr>
              <w:spacing w:after="0"/>
            </w:pPr>
            <w:r/>
            <w:r>
              <w:rPr>
                <w:b w:val="0"/>
                <w:sz w:val="15"/>
              </w:rPr>
              <w:t>DGX GB300 / GB300 NVL72 platform documentation</w:t>
            </w:r>
          </w:p>
        </w:tc>
        <w:tc>
          <w:tcPr>
            <w:tcW w:type="dxa" w:w="3408"/>
            <w:vAlign w:val="center"/>
            <w:shd w:fill="F2F2F2"/>
          </w:tcPr>
          <w:p>
            <w:pPr>
              <w:spacing w:after="0"/>
            </w:pPr>
            <w:r/>
            <w:r>
              <w:rPr>
                <w:b w:val="0"/>
                <w:sz w:val="15"/>
              </w:rPr>
              <w:t>https://docs.nvidia.com/dgx/dgxgb300-user-guide/introduction-to-dgX-gb300.html</w:t>
            </w:r>
          </w:p>
        </w:tc>
      </w:tr>
      <w:tr>
        <w:tc>
          <w:tcPr>
            <w:tcW w:type="dxa" w:w="3408"/>
            <w:vAlign w:val="center"/>
          </w:tcPr>
          <w:p>
            <w:pPr>
              <w:spacing w:after="0"/>
            </w:pPr>
            <w:r/>
            <w:r>
              <w:rPr>
                <w:b w:val="0"/>
                <w:sz w:val="15"/>
              </w:rPr>
              <w:t>AMD</w:t>
            </w:r>
          </w:p>
        </w:tc>
        <w:tc>
          <w:tcPr>
            <w:tcW w:type="dxa" w:w="3408"/>
            <w:vAlign w:val="center"/>
          </w:tcPr>
          <w:p>
            <w:pPr>
              <w:spacing w:after="0"/>
            </w:pPr>
            <w:r/>
            <w:r>
              <w:rPr>
                <w:b w:val="0"/>
                <w:sz w:val="15"/>
              </w:rPr>
              <w:t>Helios rack-scale AI architecture</w:t>
            </w:r>
          </w:p>
        </w:tc>
        <w:tc>
          <w:tcPr>
            <w:tcW w:type="dxa" w:w="3408"/>
            <w:vAlign w:val="center"/>
          </w:tcPr>
          <w:p>
            <w:pPr>
              <w:spacing w:after="0"/>
            </w:pPr>
            <w:r/>
            <w:r>
              <w:rPr>
                <w:b w:val="0"/>
                <w:sz w:val="15"/>
              </w:rPr>
              <w:t>https://www.amd.com/en/corporate/events/advancing-ai.html</w:t>
            </w:r>
          </w:p>
        </w:tc>
      </w:tr>
    </w:tbl>
    <w:p/>
    <w:p>
      <w:pPr>
        <w:pStyle w:val="Heading2"/>
        <w:keepNext/>
      </w:pPr>
      <w:r>
        <w:rPr>
          <w:color w:val="1F4E78"/>
        </w:rPr>
        <w:t>V3 revision record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6"/>
              </w:rPr>
              <w:t>Revision</w:t>
            </w:r>
          </w:p>
        </w:tc>
        <w:tc>
          <w:tcPr>
            <w:tcW w:type="dxa" w:w="3408"/>
            <w:vAlign w:val="center"/>
            <w:shd w:fill="17365D"/>
          </w:tcPr>
          <w:p>
            <w:pPr>
              <w:spacing w:after="0"/>
            </w:pPr>
            <w:r/>
            <w:r>
              <w:rPr>
                <w:b/>
                <w:color w:val="FFFFFF"/>
                <w:sz w:val="16"/>
              </w:rPr>
              <w:t>Date</w:t>
            </w:r>
          </w:p>
        </w:tc>
        <w:tc>
          <w:tcPr>
            <w:tcW w:type="dxa" w:w="3408"/>
            <w:vAlign w:val="center"/>
            <w:shd w:fill="17365D"/>
          </w:tcPr>
          <w:p>
            <w:pPr>
              <w:spacing w:after="0"/>
            </w:pPr>
            <w:r/>
            <w:r>
              <w:rPr>
                <w:b/>
                <w:color w:val="FFFFFF"/>
                <w:sz w:val="16"/>
              </w:rPr>
              <w:t>Material change</w:t>
            </w:r>
          </w:p>
        </w:tc>
      </w:tr>
      <w:tr>
        <w:tc>
          <w:tcPr>
            <w:tcW w:type="dxa" w:w="3408"/>
            <w:vAlign w:val="center"/>
          </w:tcPr>
          <w:p>
            <w:pPr>
              <w:spacing w:after="0"/>
            </w:pPr>
            <w:r/>
            <w:r>
              <w:rPr>
                <w:b w:val="0"/>
                <w:sz w:val="16"/>
              </w:rPr>
              <w:t>V3</w:t>
            </w:r>
          </w:p>
        </w:tc>
        <w:tc>
          <w:tcPr>
            <w:tcW w:type="dxa" w:w="3408"/>
            <w:vAlign w:val="center"/>
          </w:tcPr>
          <w:p>
            <w:pPr>
              <w:spacing w:after="0"/>
            </w:pPr>
            <w:r/>
            <w:r>
              <w:rPr>
                <w:b w:val="0"/>
                <w:sz w:val="16"/>
              </w:rPr>
              <w:t>30 September 2026</w:t>
            </w:r>
          </w:p>
        </w:tc>
        <w:tc>
          <w:tcPr>
            <w:tcW w:type="dxa" w:w="3408"/>
            <w:vAlign w:val="center"/>
          </w:tcPr>
          <w:p>
            <w:pPr>
              <w:spacing w:after="0"/>
            </w:pPr>
            <w:r/>
            <w:r>
              <w:rPr>
                <w:b w:val="0"/>
                <w:sz w:val="16"/>
              </w:rPr>
              <w:t>Integrated all V2 assessment items into traceable gates; added failure reserve, dual-domain topology comparison, software ownership, named OEM RFI, and preliminary turnkey-vendor ranking. Removed the appended review narrative.</w:t>
            </w:r>
          </w:p>
        </w:tc>
      </w:tr>
    </w:tbl>
    <w:p/>
    <w:sectPr w:rsidR="0007120A" w:rsidSect="00034616">
      <w:pgSz w:w="12240" w:h="15840"/>
      <w:pgMar w:top="1008" w:right="1008" w:bottom="1008"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B12E8D" w14:textId="77777777" w:rsidR="007E58D1" w:rsidRDefault="007E58D1">
      <w:pPr>
        <w:spacing w:after="0" w:line="240" w:lineRule="auto"/>
      </w:pPr>
      <w:r>
        <w:separator/>
      </w:r>
    </w:p>
  </w:endnote>
  <w:endnote w:type="continuationSeparator" w:id="0">
    <w:p w14:paraId="25151DF2" w14:textId="77777777" w:rsidR="007E58D1" w:rsidRDefault="007E5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CAD04" w14:textId="77777777" w:rsidR="0085422C" w:rsidRDefault="00000000">
    <w:pPr>
      <w:pStyle w:val="Footer"/>
      <w:jc w:val="right"/>
    </w:pPr>
    <w:r>
      <w:rPr>
        <w:rFonts w:eastAsia="Noto Sans"/>
        <w:color w:val="66727D"/>
        <w:sz w:val="14"/>
      </w:rPr>
      <w:t>29 September 2026  |  v3.0  |  Planning targets ≠ measured ATMOS results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D73D2" w14:textId="77777777" w:rsidR="007E58D1" w:rsidRDefault="007E58D1">
      <w:pPr>
        <w:spacing w:after="0" w:line="240" w:lineRule="auto"/>
      </w:pPr>
      <w:r>
        <w:separator/>
      </w:r>
    </w:p>
  </w:footnote>
  <w:footnote w:type="continuationSeparator" w:id="0">
    <w:p w14:paraId="6A0F38FD" w14:textId="77777777" w:rsidR="007E58D1" w:rsidRDefault="007E5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8867A" w14:textId="77777777" w:rsidR="0085422C" w:rsidRDefault="00000000">
    <w:pPr>
      <w:pStyle w:val="Header"/>
      <w:pBdr>
        <w:bottom w:val="single" w:sz="6" w:space="1" w:color="A73545"/>
      </w:pBdr>
    </w:pPr>
    <w:r>
      <w:rPr>
        <w:rFonts w:eastAsia="Noto Sans"/>
        <w:b/>
        <w:color w:val="66727D"/>
        <w:sz w:val="15"/>
      </w:rPr>
      <w:t>SANDISK / ATMOS     MoE HYBRID ARCHITECTURE • INTERNAL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65E26"/>
    <w:multiLevelType w:val="multilevel"/>
    <w:tmpl w:val="45F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930E2"/>
    <w:multiLevelType w:val="multilevel"/>
    <w:tmpl w:val="0DA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E0148"/>
    <w:multiLevelType w:val="multilevel"/>
    <w:tmpl w:val="AE9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045C5"/>
    <w:multiLevelType w:val="multilevel"/>
    <w:tmpl w:val="B94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A0812"/>
    <w:multiLevelType w:val="multilevel"/>
    <w:tmpl w:val="BC2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73E36"/>
    <w:multiLevelType w:val="multilevel"/>
    <w:tmpl w:val="AC5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41E3A"/>
    <w:multiLevelType w:val="multilevel"/>
    <w:tmpl w:val="9C4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10614"/>
    <w:multiLevelType w:val="multilevel"/>
    <w:tmpl w:val="D5D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D36EE"/>
    <w:multiLevelType w:val="multilevel"/>
    <w:tmpl w:val="120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D6A8A"/>
    <w:multiLevelType w:val="multilevel"/>
    <w:tmpl w:val="08B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D2DF8"/>
    <w:multiLevelType w:val="multilevel"/>
    <w:tmpl w:val="68C2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E25A7"/>
    <w:multiLevelType w:val="multilevel"/>
    <w:tmpl w:val="3DA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05B72"/>
    <w:multiLevelType w:val="multilevel"/>
    <w:tmpl w:val="EDE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50FCA"/>
    <w:multiLevelType w:val="multilevel"/>
    <w:tmpl w:val="C7D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1FF9"/>
    <w:multiLevelType w:val="multilevel"/>
    <w:tmpl w:val="75E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47EC4"/>
    <w:multiLevelType w:val="multilevel"/>
    <w:tmpl w:val="FA9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97DAE"/>
    <w:multiLevelType w:val="multilevel"/>
    <w:tmpl w:val="8A9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64B62"/>
    <w:multiLevelType w:val="multilevel"/>
    <w:tmpl w:val="8AD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150F8"/>
    <w:multiLevelType w:val="multilevel"/>
    <w:tmpl w:val="EF1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C5545"/>
    <w:multiLevelType w:val="multilevel"/>
    <w:tmpl w:val="185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A33A0"/>
    <w:multiLevelType w:val="multilevel"/>
    <w:tmpl w:val="79B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D59DA"/>
    <w:multiLevelType w:val="multilevel"/>
    <w:tmpl w:val="6F5E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75571"/>
    <w:multiLevelType w:val="multilevel"/>
    <w:tmpl w:val="4CA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3798C"/>
    <w:multiLevelType w:val="multilevel"/>
    <w:tmpl w:val="64E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69B8"/>
    <w:multiLevelType w:val="multilevel"/>
    <w:tmpl w:val="1BF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400DC"/>
    <w:multiLevelType w:val="multilevel"/>
    <w:tmpl w:val="3A4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7E5886"/>
    <w:multiLevelType w:val="multilevel"/>
    <w:tmpl w:val="955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551F3"/>
    <w:multiLevelType w:val="multilevel"/>
    <w:tmpl w:val="37B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84B40"/>
    <w:multiLevelType w:val="multilevel"/>
    <w:tmpl w:val="5A8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90A92"/>
    <w:multiLevelType w:val="multilevel"/>
    <w:tmpl w:val="884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D73B9"/>
    <w:multiLevelType w:val="multilevel"/>
    <w:tmpl w:val="C12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61FFB"/>
    <w:multiLevelType w:val="multilevel"/>
    <w:tmpl w:val="446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B6186"/>
    <w:multiLevelType w:val="multilevel"/>
    <w:tmpl w:val="1ED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B515F"/>
    <w:multiLevelType w:val="multilevel"/>
    <w:tmpl w:val="D7D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9B1F65"/>
    <w:multiLevelType w:val="multilevel"/>
    <w:tmpl w:val="4E3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44FF5"/>
    <w:multiLevelType w:val="multilevel"/>
    <w:tmpl w:val="42F6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A3409E"/>
    <w:multiLevelType w:val="multilevel"/>
    <w:tmpl w:val="45F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926C0"/>
    <w:multiLevelType w:val="multilevel"/>
    <w:tmpl w:val="9CF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25BE7"/>
    <w:multiLevelType w:val="multilevel"/>
    <w:tmpl w:val="09C6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AC6A4D"/>
    <w:multiLevelType w:val="multilevel"/>
    <w:tmpl w:val="C0E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74F06"/>
    <w:multiLevelType w:val="multilevel"/>
    <w:tmpl w:val="E13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F5AA4"/>
    <w:multiLevelType w:val="multilevel"/>
    <w:tmpl w:val="3E4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4435BB"/>
    <w:multiLevelType w:val="multilevel"/>
    <w:tmpl w:val="03C2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C4FF1"/>
    <w:multiLevelType w:val="multilevel"/>
    <w:tmpl w:val="1E70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545B2"/>
    <w:multiLevelType w:val="multilevel"/>
    <w:tmpl w:val="F04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63233"/>
    <w:multiLevelType w:val="multilevel"/>
    <w:tmpl w:val="13F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F3181"/>
    <w:multiLevelType w:val="multilevel"/>
    <w:tmpl w:val="D0F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46404"/>
    <w:multiLevelType w:val="multilevel"/>
    <w:tmpl w:val="679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A627C"/>
    <w:multiLevelType w:val="multilevel"/>
    <w:tmpl w:val="F75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E1BBF"/>
    <w:multiLevelType w:val="multilevel"/>
    <w:tmpl w:val="37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C2881"/>
    <w:multiLevelType w:val="multilevel"/>
    <w:tmpl w:val="388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03D3F"/>
    <w:multiLevelType w:val="multilevel"/>
    <w:tmpl w:val="CB7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656702">
    <w:abstractNumId w:val="5"/>
  </w:num>
  <w:num w:numId="2" w16cid:durableId="897788251">
    <w:abstractNumId w:val="3"/>
  </w:num>
  <w:num w:numId="3" w16cid:durableId="1724132935">
    <w:abstractNumId w:val="2"/>
  </w:num>
  <w:num w:numId="4" w16cid:durableId="52772778">
    <w:abstractNumId w:val="4"/>
  </w:num>
  <w:num w:numId="5" w16cid:durableId="1468430453">
    <w:abstractNumId w:val="1"/>
  </w:num>
  <w:num w:numId="6" w16cid:durableId="6947222">
    <w:abstractNumId w:val="0"/>
  </w:num>
  <w:num w:numId="7" w16cid:durableId="104007174">
    <w:abstractNumId w:val="45"/>
  </w:num>
  <w:num w:numId="8" w16cid:durableId="368576947">
    <w:abstractNumId w:val="37"/>
  </w:num>
  <w:num w:numId="9" w16cid:durableId="1357806934">
    <w:abstractNumId w:val="38"/>
  </w:num>
  <w:num w:numId="10" w16cid:durableId="1972402609">
    <w:abstractNumId w:val="27"/>
  </w:num>
  <w:num w:numId="11" w16cid:durableId="574897221">
    <w:abstractNumId w:val="32"/>
  </w:num>
  <w:num w:numId="12" w16cid:durableId="1102067602">
    <w:abstractNumId w:val="12"/>
  </w:num>
  <w:num w:numId="13" w16cid:durableId="67001407">
    <w:abstractNumId w:val="10"/>
  </w:num>
  <w:num w:numId="14" w16cid:durableId="1207453495">
    <w:abstractNumId w:val="22"/>
  </w:num>
  <w:num w:numId="15" w16cid:durableId="386035488">
    <w:abstractNumId w:val="34"/>
  </w:num>
  <w:num w:numId="16" w16cid:durableId="1358585328">
    <w:abstractNumId w:val="56"/>
  </w:num>
  <w:num w:numId="17" w16cid:durableId="605578219">
    <w:abstractNumId w:val="54"/>
  </w:num>
  <w:num w:numId="18" w16cid:durableId="835999388">
    <w:abstractNumId w:val="46"/>
  </w:num>
  <w:num w:numId="19" w16cid:durableId="1002469624">
    <w:abstractNumId w:val="50"/>
  </w:num>
  <w:num w:numId="20" w16cid:durableId="1621647033">
    <w:abstractNumId w:val="20"/>
  </w:num>
  <w:num w:numId="21" w16cid:durableId="850337901">
    <w:abstractNumId w:val="21"/>
  </w:num>
  <w:num w:numId="22" w16cid:durableId="944121060">
    <w:abstractNumId w:val="28"/>
  </w:num>
  <w:num w:numId="23" w16cid:durableId="1906715419">
    <w:abstractNumId w:val="52"/>
  </w:num>
  <w:num w:numId="24" w16cid:durableId="846990833">
    <w:abstractNumId w:val="36"/>
  </w:num>
  <w:num w:numId="25" w16cid:durableId="704869266">
    <w:abstractNumId w:val="57"/>
  </w:num>
  <w:num w:numId="26" w16cid:durableId="181557297">
    <w:abstractNumId w:val="7"/>
  </w:num>
  <w:num w:numId="27" w16cid:durableId="313875238">
    <w:abstractNumId w:val="18"/>
  </w:num>
  <w:num w:numId="28" w16cid:durableId="1646081364">
    <w:abstractNumId w:val="24"/>
  </w:num>
  <w:num w:numId="29" w16cid:durableId="471095834">
    <w:abstractNumId w:val="33"/>
  </w:num>
  <w:num w:numId="30" w16cid:durableId="985554279">
    <w:abstractNumId w:val="43"/>
  </w:num>
  <w:num w:numId="31" w16cid:durableId="948972613">
    <w:abstractNumId w:val="55"/>
  </w:num>
  <w:num w:numId="32" w16cid:durableId="1930117515">
    <w:abstractNumId w:val="6"/>
  </w:num>
  <w:num w:numId="33" w16cid:durableId="1478034303">
    <w:abstractNumId w:val="23"/>
  </w:num>
  <w:num w:numId="34" w16cid:durableId="206573243">
    <w:abstractNumId w:val="41"/>
  </w:num>
  <w:num w:numId="35" w16cid:durableId="418870378">
    <w:abstractNumId w:val="35"/>
  </w:num>
  <w:num w:numId="36" w16cid:durableId="1919097420">
    <w:abstractNumId w:val="31"/>
  </w:num>
  <w:num w:numId="37" w16cid:durableId="690031562">
    <w:abstractNumId w:val="11"/>
  </w:num>
  <w:num w:numId="38" w16cid:durableId="328755564">
    <w:abstractNumId w:val="44"/>
  </w:num>
  <w:num w:numId="39" w16cid:durableId="140312592">
    <w:abstractNumId w:val="29"/>
  </w:num>
  <w:num w:numId="40" w16cid:durableId="683744345">
    <w:abstractNumId w:val="9"/>
  </w:num>
  <w:num w:numId="41" w16cid:durableId="1302805633">
    <w:abstractNumId w:val="26"/>
  </w:num>
  <w:num w:numId="42" w16cid:durableId="1570530243">
    <w:abstractNumId w:val="40"/>
  </w:num>
  <w:num w:numId="43" w16cid:durableId="1696492803">
    <w:abstractNumId w:val="8"/>
  </w:num>
  <w:num w:numId="44" w16cid:durableId="1715160357">
    <w:abstractNumId w:val="48"/>
  </w:num>
  <w:num w:numId="45" w16cid:durableId="895432314">
    <w:abstractNumId w:val="49"/>
  </w:num>
  <w:num w:numId="46" w16cid:durableId="2095589844">
    <w:abstractNumId w:val="16"/>
  </w:num>
  <w:num w:numId="47" w16cid:durableId="1310280832">
    <w:abstractNumId w:val="47"/>
  </w:num>
  <w:num w:numId="48" w16cid:durableId="880942006">
    <w:abstractNumId w:val="15"/>
  </w:num>
  <w:num w:numId="49" w16cid:durableId="1801805060">
    <w:abstractNumId w:val="39"/>
  </w:num>
  <w:num w:numId="50" w16cid:durableId="1923832194">
    <w:abstractNumId w:val="19"/>
  </w:num>
  <w:num w:numId="51" w16cid:durableId="609892894">
    <w:abstractNumId w:val="14"/>
  </w:num>
  <w:num w:numId="52" w16cid:durableId="1566262542">
    <w:abstractNumId w:val="30"/>
  </w:num>
  <w:num w:numId="53" w16cid:durableId="1288120485">
    <w:abstractNumId w:val="51"/>
  </w:num>
  <w:num w:numId="54" w16cid:durableId="1746106573">
    <w:abstractNumId w:val="53"/>
  </w:num>
  <w:num w:numId="55" w16cid:durableId="2145780107">
    <w:abstractNumId w:val="25"/>
  </w:num>
  <w:num w:numId="56" w16cid:durableId="1514953827">
    <w:abstractNumId w:val="42"/>
  </w:num>
  <w:num w:numId="57" w16cid:durableId="766582802">
    <w:abstractNumId w:val="17"/>
  </w:num>
  <w:num w:numId="58" w16cid:durableId="818419593">
    <w:abstractNumId w:val="13"/>
  </w:num>
  <w:numIdMacAtCleanup w:val="5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ED"/>
    <w:rsid w:val="00034616"/>
    <w:rsid w:val="0006063C"/>
    <w:rsid w:val="0007120A"/>
    <w:rsid w:val="000E731F"/>
    <w:rsid w:val="0015074B"/>
    <w:rsid w:val="0016549A"/>
    <w:rsid w:val="002451E4"/>
    <w:rsid w:val="0029639D"/>
    <w:rsid w:val="002D0B0E"/>
    <w:rsid w:val="00326F90"/>
    <w:rsid w:val="003431E3"/>
    <w:rsid w:val="003A08C8"/>
    <w:rsid w:val="003E2683"/>
    <w:rsid w:val="00427847"/>
    <w:rsid w:val="004C0CC2"/>
    <w:rsid w:val="00582286"/>
    <w:rsid w:val="005835B4"/>
    <w:rsid w:val="005A071E"/>
    <w:rsid w:val="005A5290"/>
    <w:rsid w:val="006002B0"/>
    <w:rsid w:val="007E58D1"/>
    <w:rsid w:val="007F64FC"/>
    <w:rsid w:val="00846FAB"/>
    <w:rsid w:val="0085422C"/>
    <w:rsid w:val="009A2EBE"/>
    <w:rsid w:val="009E7494"/>
    <w:rsid w:val="00AA1D8D"/>
    <w:rsid w:val="00AE74B9"/>
    <w:rsid w:val="00B47730"/>
    <w:rsid w:val="00C52885"/>
    <w:rsid w:val="00CB0664"/>
    <w:rsid w:val="00CB79E0"/>
    <w:rsid w:val="00DA45BD"/>
    <w:rsid w:val="00DA59E0"/>
    <w:rsid w:val="00DC1C50"/>
    <w:rsid w:val="00FB52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AC189"/>
  <w14:defaultImageDpi w14:val="300"/>
  <w15:docId w15:val="{D68F0B68-AB14-0A43-B0F2-0C3F4233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hAnsi="Noto San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DA45BD"/>
    <w:rPr>
      <w:strike w:val="0"/>
      <w:dstrike w:val="0"/>
      <w:color w:val="464FEB"/>
      <w:u w:val="none"/>
      <w:effect w:val="none"/>
    </w:rPr>
  </w:style>
  <w:style w:type="paragraph" w:styleId="NormalWeb">
    <w:name w:val="Normal (Web)"/>
    <w:basedOn w:val="Normal"/>
    <w:uiPriority w:val="99"/>
    <w:semiHidden/>
    <w:unhideWhenUsed/>
    <w:rsid w:val="00DA45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hviae9b">
    <w:name w:val="ehviae9b"/>
    <w:basedOn w:val="DefaultParagraphFont"/>
    <w:rsid w:val="00DA4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nvidia.com/enterprise-reference-architectures/nvl72-ai-factory/latest/components.html" TargetMode="External"/><Relationship Id="rId26" Type="http://schemas.openxmlformats.org/officeDocument/2006/relationships/hyperlink" Target="https://corpsd-my.sharepoint.com/personal/shailesh_pilare_sandisk_com/_layouts/15/Doc.aspx?sourcedoc=%7BCDC69CCC-4894-401B-9BB8-4E873336219D%7D&amp;file=ATMOS_MoE_RackScale_Hybrid_E3S_Proposal_v2.docx&amp;action=default&amp;mobileredirect=true" TargetMode="External"/><Relationship Id="rId39" Type="http://schemas.openxmlformats.org/officeDocument/2006/relationships/hyperlink" Target="https://www.supermicro.com/datasheet/datasheet_SuperCluster_GB300_NVL72.pdf" TargetMode="External"/><Relationship Id="rId21" Type="http://schemas.openxmlformats.org/officeDocument/2006/relationships/hyperlink" Target="https://www.amd.com/en/products/accelerators/instinct/mi400/mi455x.html" TargetMode="External"/><Relationship Id="rId34" Type="http://schemas.openxmlformats.org/officeDocument/2006/relationships/hyperlink" Target="https://www.amd.com/en/products/rackscale-solutions/helios.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rpsd-my.sharepoint.com/personal/shailesh_pilare_sandisk_com/_layouts/15/Doc.aspx?sourcedoc=%7BCDC69CCC-4894-401B-9BB8-4E873336219D%7D&amp;file=ATMOS_MoE_RackScale_Hybrid_E3S_Proposal_v2.docx&amp;action=default&amp;mobileredirect=true" TargetMode="External"/><Relationship Id="rId20" Type="http://schemas.openxmlformats.org/officeDocument/2006/relationships/hyperlink" Target="https://www.amd.com/en/products/rackscale-solutions/helios.html" TargetMode="External"/><Relationship Id="rId29" Type="http://schemas.openxmlformats.org/officeDocument/2006/relationships/hyperlink" Target="https://www.microchip.com/en-us/tools-resources/reference-designs/switchtec-gen-5-52-lane-pcie-switch-reference-design"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md.com/en/products/rackscale-solutions/helios.html" TargetMode="External"/><Relationship Id="rId32" Type="http://schemas.openxmlformats.org/officeDocument/2006/relationships/hyperlink" Target="https://docs.nvidia.com/enterprise-reference-architectures/nvl72-ai-factory/latest/components.html" TargetMode="External"/><Relationship Id="rId37" Type="http://schemas.openxmlformats.org/officeDocument/2006/relationships/hyperlink" Target="https://docs.nvidia.com/datacenter/cloud-native/gpu-operator/24.9.2/gpu-operator-rdma.htm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orpsd-my.sharepoint.com/personal/shailesh_pilare_sandisk_com/_layouts/15/Doc.aspx?sourcedoc=%7BCDC69CCC-4894-401B-9BB8-4E873336219D%7D&amp;file=ATMOS_MoE_RackScale_Hybrid_E3S_Proposal_v2.docx&amp;action=default&amp;mobileredirect=true" TargetMode="External"/><Relationship Id="rId23" Type="http://schemas.openxmlformats.org/officeDocument/2006/relationships/hyperlink" Target="https://www.supermicro.com/datasheet/datasheet_SuperCluster_GB300_NVL72.pdf" TargetMode="External"/><Relationship Id="rId28" Type="http://schemas.openxmlformats.org/officeDocument/2006/relationships/hyperlink" Target="https://www.microchip.com/en-us/product/PM50052" TargetMode="External"/><Relationship Id="rId36" Type="http://schemas.openxmlformats.org/officeDocument/2006/relationships/hyperlink" Target="https://developer.nvidia.com/gpudirect" TargetMode="External"/><Relationship Id="rId10" Type="http://schemas.openxmlformats.org/officeDocument/2006/relationships/image" Target="media/image3.png"/><Relationship Id="rId19" Type="http://schemas.openxmlformats.org/officeDocument/2006/relationships/hyperlink" Target="https://www.nvidia.com/en-us/data-center/gb300-nvl72/" TargetMode="External"/><Relationship Id="rId31" Type="http://schemas.openxmlformats.org/officeDocument/2006/relationships/hyperlink" Target="https://pcisig.com/pex89048-pcie-50-swit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nvidia.com/enterprise-reference-architectures/nvl72-ai-factory/latest/components.html" TargetMode="External"/><Relationship Id="rId27" Type="http://schemas.openxmlformats.org/officeDocument/2006/relationships/hyperlink" Target="https://corpsd-my.sharepoint.com/personal/shailesh_pilare_sandisk_com/_layouts/15/Doc.aspx?sourcedoc=%7BCDC69CCC-4894-401B-9BB8-4E873336219D%7D&amp;file=ATMOS_MoE_RackScale_Hybrid_E3S_Proposal_v2.docx&amp;action=default&amp;mobileredirect=true" TargetMode="External"/><Relationship Id="rId30" Type="http://schemas.openxmlformats.org/officeDocument/2006/relationships/hyperlink" Target="https://docs.broadcom.com/doc/PEX89000-Managed-PCI-Express-5.0-Switches" TargetMode="External"/><Relationship Id="rId35" Type="http://schemas.openxmlformats.org/officeDocument/2006/relationships/hyperlink" Target="https://www.amd.com/en/products/accelerators/instinct/mi400/mi455x.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corpsd-my.sharepoint.com/personal/shailesh_pilare_sandisk_com/_layouts/15/Doc.aspx?sourcedoc=%7BCDC69CCC-4894-401B-9BB8-4E873336219D%7D&amp;file=ATMOS_MoE_RackScale_Hybrid_E3S_Proposal_v2.docx&amp;action=default&amp;mobileredirect=true" TargetMode="External"/><Relationship Id="rId25" Type="http://schemas.openxmlformats.org/officeDocument/2006/relationships/hyperlink" Target="https://www.amd.com/en/products/accelerators/instinct/mi400/mi455x.html" TargetMode="External"/><Relationship Id="rId33" Type="http://schemas.openxmlformats.org/officeDocument/2006/relationships/hyperlink" Target="https://www.nvidia.com/en-us/data-center/gb300-nvl72/" TargetMode="External"/><Relationship Id="rId38" Type="http://schemas.openxmlformats.org/officeDocument/2006/relationships/hyperlink" Target="https://docs.nvidia.com/enterprise-reference-architectures/nvl72-ai-factory/latest/compon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48</Pages>
  <Words>10030</Words>
  <Characters>57176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ATMOS E3.S for Rack-Scale MoE Serving</vt:lpstr>
    </vt:vector>
  </TitlesOfParts>
  <Manager/>
  <Company/>
  <LinksUpToDate>false</LinksUpToDate>
  <CharactersWithSpaces>67072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for Rack-Scale MoE Serving — V3</dc:title>
  <dc:subject>Evidence-gated MoE feasibility, failure reserve, turnkey OEM selection, and rack ROI</dc:subject>
  <dc:creator>Sandisk / ATMOS Architecture</dc:creator>
  <cp:keywords/>
  <dc:description>Planning targets are not measured ATMOS results.</dc:description>
  <cp:lastModifiedBy>Shailesh Pilare</cp:lastModifiedBy>
  <cp:revision>6</cp:revision>
  <dcterms:created xsi:type="dcterms:W3CDTF">2026-09-29T17:48:00Z</dcterms:created>
  <dcterms:modified xsi:type="dcterms:W3CDTF">2026-09-30T17:08:50Z</dcterms:modified>
  <cp:category/>
</cp:coreProperties>
</file>