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5F6873"/>
        </w:rPr>
        <w:t>SANDISK INTERNAL STRATEGY | PRE-PRODUCT CONCEPT</w:t>
      </w:r>
    </w:p>
    <w:p>
      <w:pPr>
        <w:pStyle w:val="Title"/>
        <w:jc w:val="center"/>
      </w:pPr>
      <w:r>
        <w:t>ATMOS E3.S HBF-Backed Near-Data AI</w:t>
      </w:r>
    </w:p>
    <w:p>
      <w:pPr>
        <w:pStyle w:val="Subtitle"/>
        <w:jc w:val="center"/>
      </w:pPr>
      <w:r>
        <w:t>Use-Case Portfolio, Industry Plays, Hyperscaler Strategy, Proof-of-Concept Plan and Product Decision Framework</w:t>
      </w:r>
    </w:p>
    <w:tbl>
      <w:tblPr>
        <w:tblW w:type="auto" w:w="0"/>
        <w:jc w:val="center"/>
        <w:tblLook w:firstColumn="1" w:firstRow="1" w:lastColumn="0" w:lastRow="0" w:noHBand="0" w:noVBand="1" w:val="04A0"/>
      </w:tblPr>
      <w:tblGrid>
        <w:gridCol w:w="10166"/>
      </w:tblGrid>
      <w:tr>
        <w:trPr>
          <w:cantSplit/>
        </w:trPr>
        <w:tc>
          <w:tcPr>
            <w:tcW w:type="dxa" w:w="10166"/>
            <w:shd w:fill="DCEAF2"/>
            <w:tcMar>
              <w:top w:w="150" w:type="dxa"/>
              <w:start w:w="180" w:type="dxa"/>
              <w:bottom w:w="150" w:type="dxa"/>
              <w:end w:w="180" w:type="dxa"/>
            </w:tcMar>
          </w:tcPr>
          <w:p>
            <w:pPr>
              <w:pStyle w:val="Callout"/>
            </w:pPr>
            <w:r>
              <w:t>Decision purpose: identify where 128 GB of persistent HBF at approximately 200 GB/s per E3.S device creates durable value, and stop use cases that can be served equally well by NVMe, CPU DRAM, conventional NPU memory, GPU partitioning or a standard accelerator.</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7"/>
              </w:rPr>
              <w:t>Field</w:t>
            </w:r>
          </w:p>
        </w:tc>
        <w:tc>
          <w:tcPr>
            <w:tcW w:type="dxa" w:w="5083"/>
            <w:shd w:fill="13263D"/>
            <w:vAlign w:val="center"/>
            <w:tcMar>
              <w:top w:w="90" w:type="dxa"/>
              <w:start w:w="100" w:type="dxa"/>
              <w:bottom w:w="90" w:type="dxa"/>
              <w:end w:w="100" w:type="dxa"/>
            </w:tcMar>
          </w:tcPr>
          <w:p>
            <w:r>
              <w:rPr>
                <w:b/>
                <w:color w:val="FFFFFF"/>
                <w:sz w:val="17"/>
              </w:rPr>
              <w:t>Document position</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7"/>
              </w:rPr>
              <w:t>Audience</w:t>
            </w:r>
          </w:p>
        </w:tc>
        <w:tc>
          <w:tcPr>
            <w:tcW w:type="dxa" w:w="8064"/>
            <w:vAlign w:val="center"/>
            <w:tcMar>
              <w:top w:w="90" w:type="dxa"/>
              <w:start w:w="100" w:type="dxa"/>
              <w:bottom w:w="90" w:type="dxa"/>
              <w:end w:w="100" w:type="dxa"/>
            </w:tcMar>
          </w:tcPr>
          <w:p>
            <w:pPr>
              <w:spacing w:after="20" w:line="245" w:lineRule="auto"/>
            </w:pPr>
            <w:r>
              <w:rPr>
                <w:color w:val="1F2933"/>
                <w:sz w:val="17"/>
              </w:rPr>
              <w:t>Executives, architects, silicon and platform engineers, product managers, OEM teams, field teams and marketing</w:t>
            </w:r>
          </w:p>
        </w:tc>
      </w:tr>
      <w:tr>
        <w:trPr>
          <w:cantSplit/>
        </w:trPr>
        <w:tc>
          <w:tcPr>
            <w:tcW w:type="dxa" w:w="2160"/>
            <w:vAlign w:val="center"/>
            <w:tcMar>
              <w:top w:w="90" w:type="dxa"/>
              <w:start w:w="100" w:type="dxa"/>
              <w:bottom w:w="90" w:type="dxa"/>
              <w:end w:w="100" w:type="dxa"/>
            </w:tcMar>
            <w:shd w:fill="F4F7F9"/>
          </w:tcPr>
          <w:p>
            <w:pPr>
              <w:spacing w:after="20" w:line="245" w:lineRule="auto"/>
            </w:pPr>
            <w:r>
              <w:rPr>
                <w:color w:val="1F2933"/>
                <w:sz w:val="17"/>
              </w:rPr>
              <w:t>Architecture baseline</w:t>
            </w:r>
          </w:p>
        </w:tc>
        <w:tc>
          <w:tcPr>
            <w:tcW w:type="dxa" w:w="8064"/>
            <w:vAlign w:val="center"/>
            <w:tcMar>
              <w:top w:w="90" w:type="dxa"/>
              <w:start w:w="100" w:type="dxa"/>
              <w:bottom w:w="90" w:type="dxa"/>
              <w:end w:w="100" w:type="dxa"/>
            </w:tcMar>
            <w:shd w:fill="F4F7F9"/>
          </w:tcPr>
          <w:p>
            <w:pPr>
              <w:spacing w:after="20" w:line="245" w:lineRule="auto"/>
            </w:pPr>
            <w:r>
              <w:rPr>
                <w:color w:val="1F2933"/>
                <w:sz w:val="17"/>
              </w:rPr>
              <w:t>One E3.S/E3.S 2T device: one OEM NPU ASIC, up to 128 GB persistent HBF at ~200 GB/s, ~16 GB LPDDR, SRAM, PCIe Gen5/Gen6 host link</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7"/>
              </w:rPr>
              <w:t>Scope</w:t>
            </w:r>
          </w:p>
        </w:tc>
        <w:tc>
          <w:tcPr>
            <w:tcW w:type="dxa" w:w="8064"/>
            <w:vAlign w:val="center"/>
            <w:tcMar>
              <w:top w:w="90" w:type="dxa"/>
              <w:start w:w="100" w:type="dxa"/>
              <w:bottom w:w="90" w:type="dxa"/>
              <w:end w:w="100" w:type="dxa"/>
            </w:tcMar>
          </w:tcPr>
          <w:p>
            <w:pPr>
              <w:spacing w:after="20" w:line="245" w:lineRule="auto"/>
            </w:pPr>
            <w:r>
              <w:rPr>
                <w:color w:val="1F2933"/>
                <w:sz w:val="17"/>
              </w:rPr>
              <w:t>Enterprise, regulated industries, hyperscalers, cloud search services and neocloud platforms</w:t>
            </w:r>
          </w:p>
        </w:tc>
      </w:tr>
      <w:tr>
        <w:trPr>
          <w:cantSplit/>
        </w:trPr>
        <w:tc>
          <w:tcPr>
            <w:tcW w:type="dxa" w:w="2160"/>
            <w:vAlign w:val="center"/>
            <w:tcMar>
              <w:top w:w="90" w:type="dxa"/>
              <w:start w:w="100" w:type="dxa"/>
              <w:bottom w:w="90" w:type="dxa"/>
              <w:end w:w="100" w:type="dxa"/>
            </w:tcMar>
            <w:shd w:fill="F4F7F9"/>
          </w:tcPr>
          <w:p>
            <w:pPr>
              <w:spacing w:after="20" w:line="245" w:lineRule="auto"/>
            </w:pPr>
            <w:r>
              <w:rPr>
                <w:color w:val="1F2933"/>
                <w:sz w:val="17"/>
              </w:rPr>
              <w:t>Status</w:t>
            </w:r>
          </w:p>
        </w:tc>
        <w:tc>
          <w:tcPr>
            <w:tcW w:type="dxa" w:w="8064"/>
            <w:vAlign w:val="center"/>
            <w:tcMar>
              <w:top w:w="90" w:type="dxa"/>
              <w:start w:w="100" w:type="dxa"/>
              <w:bottom w:w="90" w:type="dxa"/>
              <w:end w:w="100" w:type="dxa"/>
            </w:tcMar>
            <w:shd w:fill="F4F7F9"/>
          </w:tcPr>
          <w:p>
            <w:pPr>
              <w:spacing w:after="20" w:line="245" w:lineRule="auto"/>
            </w:pPr>
            <w:r>
              <w:rPr>
                <w:color w:val="1F2933"/>
                <w:sz w:val="17"/>
              </w:rPr>
              <w:t>Strategic design document. All performance, power, cost and market statements are hypotheses until measured</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7"/>
              </w:rPr>
              <w:t>Core principle</w:t>
            </w:r>
          </w:p>
        </w:tc>
        <w:tc>
          <w:tcPr>
            <w:tcW w:type="dxa" w:w="8064"/>
            <w:vAlign w:val="center"/>
            <w:tcMar>
              <w:top w:w="90" w:type="dxa"/>
              <w:start w:w="100" w:type="dxa"/>
              <w:bottom w:w="90" w:type="dxa"/>
              <w:end w:w="100" w:type="dxa"/>
            </w:tcMar>
          </w:tcPr>
          <w:p>
            <w:pPr>
              <w:spacing w:after="20" w:line="245" w:lineRule="auto"/>
            </w:pPr>
            <w:r>
              <w:rPr>
                <w:color w:val="1F2933"/>
                <w:sz w:val="17"/>
              </w:rPr>
              <w:t>HBF must be on the steady-state data path. Cold-start reduction alone is insufficient</w:t>
            </w:r>
          </w:p>
        </w:tc>
      </w:tr>
      <w:tr>
        <w:trPr>
          <w:cantSplit/>
        </w:trPr>
        <w:tc>
          <w:tcPr>
            <w:tcW w:type="dxa" w:w="2160"/>
            <w:vAlign w:val="center"/>
            <w:tcMar>
              <w:top w:w="90" w:type="dxa"/>
              <w:start w:w="100" w:type="dxa"/>
              <w:bottom w:w="90" w:type="dxa"/>
              <w:end w:w="100" w:type="dxa"/>
            </w:tcMar>
            <w:shd w:fill="F4F7F9"/>
          </w:tcPr>
          <w:p>
            <w:pPr>
              <w:spacing w:after="20" w:line="245" w:lineRule="auto"/>
            </w:pPr>
            <w:r>
              <w:rPr>
                <w:color w:val="1F2933"/>
                <w:sz w:val="17"/>
              </w:rPr>
              <w:t>Date</w:t>
            </w:r>
          </w:p>
        </w:tc>
        <w:tc>
          <w:tcPr>
            <w:tcW w:type="dxa" w:w="8064"/>
            <w:vAlign w:val="center"/>
            <w:tcMar>
              <w:top w:w="90" w:type="dxa"/>
              <w:start w:w="100" w:type="dxa"/>
              <w:bottom w:w="90" w:type="dxa"/>
              <w:end w:w="100" w:type="dxa"/>
            </w:tcMar>
            <w:shd w:fill="F4F7F9"/>
          </w:tcPr>
          <w:p>
            <w:pPr>
              <w:spacing w:after="20" w:line="245" w:lineRule="auto"/>
            </w:pPr>
            <w:r>
              <w:rPr>
                <w:color w:val="1F2933"/>
                <w:sz w:val="17"/>
              </w:rPr>
              <w:t>September 2026</w:t>
            </w:r>
          </w:p>
        </w:tc>
      </w:tr>
    </w:tbl>
    <w:p>
      <w:pPr>
        <w:spacing w:after="20"/>
      </w:pPr>
    </w:p>
    <w:p>
      <w:r>
        <w:br w:type="page"/>
      </w:r>
    </w:p>
    <w:p>
      <w:pPr>
        <w:pStyle w:val="Title"/>
      </w:pPr>
      <w:r>
        <w:t>Executive Summary</w:t>
      </w:r>
    </w:p>
    <w:tbl>
      <w:tblPr>
        <w:tblW w:type="auto" w:w="0"/>
        <w:jc w:val="center"/>
        <w:tblLook w:firstColumn="1" w:firstRow="1" w:lastColumn="0" w:lastRow="0" w:noHBand="0" w:noVBand="1" w:val="04A0"/>
      </w:tblPr>
      <w:tblGrid>
        <w:gridCol w:w="10166"/>
      </w:tblGrid>
      <w:tr>
        <w:trPr>
          <w:cantSplit/>
        </w:trPr>
        <w:tc>
          <w:tcPr>
            <w:tcW w:type="dxa" w:w="10166"/>
            <w:shd w:fill="DCEAF2"/>
            <w:tcMar>
              <w:top w:w="150" w:type="dxa"/>
              <w:start w:w="180" w:type="dxa"/>
              <w:bottom w:w="150" w:type="dxa"/>
              <w:end w:w="180" w:type="dxa"/>
            </w:tcMar>
          </w:tcPr>
          <w:p>
            <w:pPr>
              <w:pStyle w:val="Callout"/>
            </w:pPr>
            <w:r>
              <w:t>Recommended direction: reposition ATMOS E3.S from a generic “persistent-model inference module” to a persistent high-bandwidth neural data plane. Lead with candidate refinement, multi-vector/late-interaction retrieval, reusable document features and memory-heavy recommendation lookups. Treat dense-model streaming as conditional, and treat basic embedding, guards and model storage as supporting capabilities rather than HBF justifications.</w:t>
            </w:r>
          </w:p>
        </w:tc>
      </w:tr>
    </w:tbl>
    <w:p>
      <w:pPr>
        <w:spacing w:after="20"/>
      </w:pPr>
    </w:p>
    <w:p>
      <w:pPr>
        <w:pStyle w:val="Heading1"/>
      </w:pPr>
      <w:r>
        <w:t>The central product test</w:t>
      </w:r>
    </w:p>
    <w:p>
      <w:r>
        <w:t>ATMOS E3.S is differentiated only when a workload repeatedly reads a large active working set from HBF and reduces that data locally before crossing PCIe. If a small model is loaded once into LPDDR and then remains resident, NVMe plus LPDDR already solves the storage problem. If a model or index is never touched after warm-up, 128 GB of HBF is stranded value.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3263D"/>
            <w:vAlign w:val="center"/>
            <w:tcMar>
              <w:top w:w="90" w:type="dxa"/>
              <w:start w:w="100" w:type="dxa"/>
              <w:bottom w:w="90" w:type="dxa"/>
              <w:end w:w="100" w:type="dxa"/>
            </w:tcMar>
          </w:tcPr>
          <w:p>
            <w:r>
              <w:rPr>
                <w:b/>
                <w:color w:val="FFFFFF"/>
                <w:sz w:val="15"/>
              </w:rPr>
              <w:t>Rank</w:t>
            </w:r>
          </w:p>
        </w:tc>
        <w:tc>
          <w:tcPr>
            <w:tcW w:type="dxa" w:w="2033"/>
            <w:shd w:fill="13263D"/>
            <w:vAlign w:val="center"/>
            <w:tcMar>
              <w:top w:w="90" w:type="dxa"/>
              <w:start w:w="100" w:type="dxa"/>
              <w:bottom w:w="90" w:type="dxa"/>
              <w:end w:w="100" w:type="dxa"/>
            </w:tcMar>
          </w:tcPr>
          <w:p>
            <w:r>
              <w:rPr>
                <w:b/>
                <w:color w:val="FFFFFF"/>
                <w:sz w:val="15"/>
              </w:rPr>
              <w:t>Use case</w:t>
            </w:r>
          </w:p>
        </w:tc>
        <w:tc>
          <w:tcPr>
            <w:tcW w:type="dxa" w:w="2033"/>
            <w:shd w:fill="13263D"/>
            <w:vAlign w:val="center"/>
            <w:tcMar>
              <w:top w:w="90" w:type="dxa"/>
              <w:start w:w="100" w:type="dxa"/>
              <w:bottom w:w="90" w:type="dxa"/>
              <w:end w:w="100" w:type="dxa"/>
            </w:tcMar>
          </w:tcPr>
          <w:p>
            <w:r>
              <w:rPr>
                <w:b/>
                <w:color w:val="FFFFFF"/>
                <w:sz w:val="15"/>
              </w:rPr>
              <w:t>HBF impact</w:t>
            </w:r>
          </w:p>
        </w:tc>
        <w:tc>
          <w:tcPr>
            <w:tcW w:type="dxa" w:w="2033"/>
            <w:shd w:fill="13263D"/>
            <w:vAlign w:val="center"/>
            <w:tcMar>
              <w:top w:w="90" w:type="dxa"/>
              <w:start w:w="100" w:type="dxa"/>
              <w:bottom w:w="90" w:type="dxa"/>
              <w:end w:w="100" w:type="dxa"/>
            </w:tcMar>
          </w:tcPr>
          <w:p>
            <w:r>
              <w:rPr>
                <w:b/>
                <w:color w:val="FFFFFF"/>
                <w:sz w:val="15"/>
              </w:rPr>
              <w:t>Market fit</w:t>
            </w:r>
          </w:p>
        </w:tc>
        <w:tc>
          <w:tcPr>
            <w:tcW w:type="dxa" w:w="2033"/>
            <w:shd w:fill="13263D"/>
            <w:vAlign w:val="center"/>
            <w:tcMar>
              <w:top w:w="90" w:type="dxa"/>
              <w:start w:w="100" w:type="dxa"/>
              <w:bottom w:w="90" w:type="dxa"/>
              <w:end w:w="100" w:type="dxa"/>
            </w:tcMar>
          </w:tcPr>
          <w:p>
            <w:r>
              <w:rPr>
                <w:b/>
                <w:color w:val="FFFFFF"/>
                <w:sz w:val="15"/>
              </w:rPr>
              <w:t>Recommendation</w:t>
            </w:r>
          </w:p>
        </w:tc>
      </w:tr>
      <w:tr>
        <w:trPr>
          <w:cantSplit/>
        </w:trPr>
        <w:tc>
          <w:tcPr>
            <w:tcW w:type="dxa" w:w="648"/>
            <w:vAlign w:val="center"/>
            <w:tcMar>
              <w:top w:w="90" w:type="dxa"/>
              <w:start w:w="100" w:type="dxa"/>
              <w:bottom w:w="90" w:type="dxa"/>
              <w:end w:w="100" w:type="dxa"/>
            </w:tcMar>
          </w:tcPr>
          <w:p>
            <w:pPr>
              <w:spacing w:after="20" w:line="245" w:lineRule="auto"/>
            </w:pPr>
            <w:r>
              <w:rPr>
                <w:color w:val="1F2933"/>
                <w:sz w:val="15"/>
              </w:rPr>
              <w:t>1</w:t>
            </w:r>
          </w:p>
        </w:tc>
        <w:tc>
          <w:tcPr>
            <w:tcW w:type="dxa" w:w="2880"/>
            <w:vAlign w:val="center"/>
            <w:tcMar>
              <w:top w:w="90" w:type="dxa"/>
              <w:start w:w="100" w:type="dxa"/>
              <w:bottom w:w="90" w:type="dxa"/>
              <w:end w:w="100" w:type="dxa"/>
            </w:tcMar>
          </w:tcPr>
          <w:p>
            <w:pPr>
              <w:spacing w:after="20" w:line="245" w:lineRule="auto"/>
            </w:pPr>
            <w:r>
              <w:rPr>
                <w:color w:val="1F2933"/>
                <w:sz w:val="15"/>
              </w:rPr>
              <w:t>ANN candidate refinement using full or lightly compressed vectors</w:t>
            </w:r>
          </w:p>
        </w:tc>
        <w:tc>
          <w:tcPr>
            <w:tcW w:type="dxa" w:w="1440"/>
            <w:vAlign w:val="center"/>
            <w:tcMar>
              <w:top w:w="90" w:type="dxa"/>
              <w:start w:w="100" w:type="dxa"/>
              <w:bottom w:w="90" w:type="dxa"/>
              <w:end w:w="100" w:type="dxa"/>
            </w:tcMar>
          </w:tcPr>
          <w:p>
            <w:pPr>
              <w:spacing w:after="20" w:line="245" w:lineRule="auto"/>
            </w:pPr>
            <w:r>
              <w:rPr>
                <w:color w:val="1F2933"/>
                <w:sz w:val="15"/>
              </w:rPr>
              <w:t>Very high</w:t>
            </w:r>
          </w:p>
        </w:tc>
        <w:tc>
          <w:tcPr>
            <w:tcW w:type="dxa" w:w="2376"/>
            <w:vAlign w:val="center"/>
            <w:tcMar>
              <w:top w:w="90" w:type="dxa"/>
              <w:start w:w="100" w:type="dxa"/>
              <w:bottom w:w="90" w:type="dxa"/>
              <w:end w:w="100" w:type="dxa"/>
            </w:tcMar>
          </w:tcPr>
          <w:p>
            <w:pPr>
              <w:spacing w:after="20" w:line="245" w:lineRule="auto"/>
            </w:pPr>
            <w:r>
              <w:rPr>
                <w:color w:val="1F2933"/>
                <w:sz w:val="15"/>
              </w:rPr>
              <w:t>Enterprise + hyperscaler search</w:t>
            </w:r>
          </w:p>
        </w:tc>
        <w:tc>
          <w:tcPr>
            <w:tcW w:type="dxa" w:w="2880"/>
            <w:vAlign w:val="center"/>
            <w:tcMar>
              <w:top w:w="90" w:type="dxa"/>
              <w:start w:w="100" w:type="dxa"/>
              <w:bottom w:w="90" w:type="dxa"/>
              <w:end w:w="100" w:type="dxa"/>
            </w:tcMar>
          </w:tcPr>
          <w:p>
            <w:pPr>
              <w:spacing w:after="20" w:line="245" w:lineRule="auto"/>
            </w:pPr>
            <w:r>
              <w:rPr>
                <w:color w:val="1F2933"/>
                <w:sz w:val="15"/>
              </w:rPr>
              <w:t>Primary POC and product thesis</w:t>
            </w:r>
          </w:p>
        </w:tc>
      </w:tr>
      <w:tr>
        <w:trPr>
          <w:cantSplit/>
        </w:trPr>
        <w:tc>
          <w:tcPr>
            <w:tcW w:type="dxa" w:w="648"/>
            <w:vAlign w:val="center"/>
            <w:tcMar>
              <w:top w:w="90" w:type="dxa"/>
              <w:start w:w="100" w:type="dxa"/>
              <w:bottom w:w="90" w:type="dxa"/>
              <w:end w:w="100" w:type="dxa"/>
            </w:tcMar>
            <w:shd w:fill="F4F7F9"/>
          </w:tcPr>
          <w:p>
            <w:pPr>
              <w:spacing w:after="20" w:line="245" w:lineRule="auto"/>
            </w:pPr>
            <w:r>
              <w:rPr>
                <w:color w:val="1F2933"/>
                <w:sz w:val="15"/>
              </w:rPr>
              <w:t>2</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Late-interaction / multi-vector retrieval over selected candidates</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Very high</w:t>
            </w:r>
          </w:p>
        </w:tc>
        <w:tc>
          <w:tcPr>
            <w:tcW w:type="dxa" w:w="2376"/>
            <w:vAlign w:val="center"/>
            <w:tcMar>
              <w:top w:w="90" w:type="dxa"/>
              <w:start w:w="100" w:type="dxa"/>
              <w:bottom w:w="90" w:type="dxa"/>
              <w:end w:w="100" w:type="dxa"/>
            </w:tcMar>
            <w:shd w:fill="F4F7F9"/>
          </w:tcPr>
          <w:p>
            <w:pPr>
              <w:spacing w:after="20" w:line="245" w:lineRule="auto"/>
            </w:pPr>
            <w:r>
              <w:rPr>
                <w:color w:val="1F2933"/>
                <w:sz w:val="15"/>
              </w:rPr>
              <w:t>Regulated search, cloud search, technical search</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Primary POC; strongest quality story</w:t>
            </w:r>
          </w:p>
        </w:tc>
      </w:tr>
      <w:tr>
        <w:trPr>
          <w:cantSplit/>
        </w:trPr>
        <w:tc>
          <w:tcPr>
            <w:tcW w:type="dxa" w:w="648"/>
            <w:vAlign w:val="center"/>
            <w:tcMar>
              <w:top w:w="90" w:type="dxa"/>
              <w:start w:w="100" w:type="dxa"/>
              <w:bottom w:w="90" w:type="dxa"/>
              <w:end w:w="100" w:type="dxa"/>
            </w:tcMar>
          </w:tcPr>
          <w:p>
            <w:pPr>
              <w:spacing w:after="20" w:line="245" w:lineRule="auto"/>
            </w:pPr>
            <w:r>
              <w:rPr>
                <w:color w:val="1F2933"/>
                <w:sz w:val="15"/>
              </w:rPr>
              <w:t>3</w:t>
            </w:r>
          </w:p>
        </w:tc>
        <w:tc>
          <w:tcPr>
            <w:tcW w:type="dxa" w:w="2880"/>
            <w:vAlign w:val="center"/>
            <w:tcMar>
              <w:top w:w="90" w:type="dxa"/>
              <w:start w:w="100" w:type="dxa"/>
              <w:bottom w:w="90" w:type="dxa"/>
              <w:end w:w="100" w:type="dxa"/>
            </w:tcMar>
          </w:tcPr>
          <w:p>
            <w:pPr>
              <w:spacing w:after="20" w:line="245" w:lineRule="auto"/>
            </w:pPr>
            <w:r>
              <w:rPr>
                <w:color w:val="1F2933"/>
                <w:sz w:val="15"/>
              </w:rPr>
              <w:t>Reusable document/VLM feature retrieval</w:t>
            </w:r>
          </w:p>
        </w:tc>
        <w:tc>
          <w:tcPr>
            <w:tcW w:type="dxa" w:w="1440"/>
            <w:vAlign w:val="center"/>
            <w:tcMar>
              <w:top w:w="90" w:type="dxa"/>
              <w:start w:w="100" w:type="dxa"/>
              <w:bottom w:w="90" w:type="dxa"/>
              <w:end w:w="100" w:type="dxa"/>
            </w:tcMar>
          </w:tcPr>
          <w:p>
            <w:pPr>
              <w:spacing w:after="20" w:line="245" w:lineRule="auto"/>
            </w:pPr>
            <w:r>
              <w:rPr>
                <w:color w:val="1F2933"/>
                <w:sz w:val="15"/>
              </w:rPr>
              <w:t>High</w:t>
            </w:r>
          </w:p>
        </w:tc>
        <w:tc>
          <w:tcPr>
            <w:tcW w:type="dxa" w:w="2376"/>
            <w:vAlign w:val="center"/>
            <w:tcMar>
              <w:top w:w="90" w:type="dxa"/>
              <w:start w:w="100" w:type="dxa"/>
              <w:bottom w:w="90" w:type="dxa"/>
              <w:end w:w="100" w:type="dxa"/>
            </w:tcMar>
          </w:tcPr>
          <w:p>
            <w:pPr>
              <w:spacing w:after="20" w:line="245" w:lineRule="auto"/>
            </w:pPr>
            <w:r>
              <w:rPr>
                <w:color w:val="1F2933"/>
                <w:sz w:val="15"/>
              </w:rPr>
              <w:t>Finance, healthcare, insurance, legal, manufacturing</w:t>
            </w:r>
          </w:p>
        </w:tc>
        <w:tc>
          <w:tcPr>
            <w:tcW w:type="dxa" w:w="2880"/>
            <w:vAlign w:val="center"/>
            <w:tcMar>
              <w:top w:w="90" w:type="dxa"/>
              <w:start w:w="100" w:type="dxa"/>
              <w:bottom w:w="90" w:type="dxa"/>
              <w:end w:w="100" w:type="dxa"/>
            </w:tcMar>
          </w:tcPr>
          <w:p>
            <w:pPr>
              <w:spacing w:after="20" w:line="245" w:lineRule="auto"/>
            </w:pPr>
            <w:r>
              <w:rPr>
                <w:color w:val="1F2933"/>
                <w:sz w:val="15"/>
              </w:rPr>
              <w:t>Vertical solution POC</w:t>
            </w:r>
          </w:p>
        </w:tc>
      </w:tr>
      <w:tr>
        <w:trPr>
          <w:cantSplit/>
        </w:trPr>
        <w:tc>
          <w:tcPr>
            <w:tcW w:type="dxa" w:w="648"/>
            <w:vAlign w:val="center"/>
            <w:tcMar>
              <w:top w:w="90" w:type="dxa"/>
              <w:start w:w="100" w:type="dxa"/>
              <w:bottom w:w="90" w:type="dxa"/>
              <w:end w:w="100" w:type="dxa"/>
            </w:tcMar>
            <w:shd w:fill="F4F7F9"/>
          </w:tcPr>
          <w:p>
            <w:pPr>
              <w:spacing w:after="20" w:line="245" w:lineRule="auto"/>
            </w:pPr>
            <w:r>
              <w:rPr>
                <w:color w:val="1F2933"/>
                <w:sz w:val="15"/>
              </w:rPr>
              <w:t>4</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Recommendation and advertising embedding tables</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High, if random gather is efficient</w:t>
            </w:r>
          </w:p>
        </w:tc>
        <w:tc>
          <w:tcPr>
            <w:tcW w:type="dxa" w:w="2376"/>
            <w:vAlign w:val="center"/>
            <w:tcMar>
              <w:top w:w="90" w:type="dxa"/>
              <w:start w:w="100" w:type="dxa"/>
              <w:bottom w:w="90" w:type="dxa"/>
              <w:end w:w="100" w:type="dxa"/>
            </w:tcMar>
            <w:shd w:fill="F4F7F9"/>
          </w:tcPr>
          <w:p>
            <w:pPr>
              <w:spacing w:after="20" w:line="245" w:lineRule="auto"/>
            </w:pPr>
            <w:r>
              <w:rPr>
                <w:color w:val="1F2933"/>
                <w:sz w:val="15"/>
              </w:rPr>
              <w:t>Hyperscalers, commerce, media</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Hyperscaler co-design track</w:t>
            </w:r>
          </w:p>
        </w:tc>
      </w:tr>
      <w:tr>
        <w:trPr>
          <w:cantSplit/>
        </w:trPr>
        <w:tc>
          <w:tcPr>
            <w:tcW w:type="dxa" w:w="648"/>
            <w:vAlign w:val="center"/>
            <w:tcMar>
              <w:top w:w="90" w:type="dxa"/>
              <w:start w:w="100" w:type="dxa"/>
              <w:bottom w:w="90" w:type="dxa"/>
              <w:end w:w="100" w:type="dxa"/>
            </w:tcMar>
          </w:tcPr>
          <w:p>
            <w:pPr>
              <w:spacing w:after="20" w:line="245" w:lineRule="auto"/>
            </w:pPr>
            <w:r>
              <w:rPr>
                <w:color w:val="1F2933"/>
                <w:sz w:val="15"/>
              </w:rPr>
              <w:t>5</w:t>
            </w:r>
          </w:p>
        </w:tc>
        <w:tc>
          <w:tcPr>
            <w:tcW w:type="dxa" w:w="2880"/>
            <w:vAlign w:val="center"/>
            <w:tcMar>
              <w:top w:w="90" w:type="dxa"/>
              <w:start w:w="100" w:type="dxa"/>
              <w:bottom w:w="90" w:type="dxa"/>
              <w:end w:w="100" w:type="dxa"/>
            </w:tcMar>
          </w:tcPr>
          <w:p>
            <w:pPr>
              <w:spacing w:after="20" w:line="245" w:lineRule="auto"/>
            </w:pPr>
            <w:r>
              <w:rPr>
                <w:color w:val="1F2933"/>
                <w:sz w:val="15"/>
              </w:rPr>
              <w:t>Sharded search/refinement across E3.S fleets</w:t>
            </w:r>
          </w:p>
        </w:tc>
        <w:tc>
          <w:tcPr>
            <w:tcW w:type="dxa" w:w="1440"/>
            <w:vAlign w:val="center"/>
            <w:tcMar>
              <w:top w:w="90" w:type="dxa"/>
              <w:start w:w="100" w:type="dxa"/>
              <w:bottom w:w="90" w:type="dxa"/>
              <w:end w:w="100" w:type="dxa"/>
            </w:tcMar>
          </w:tcPr>
          <w:p>
            <w:pPr>
              <w:spacing w:after="20" w:line="245" w:lineRule="auto"/>
            </w:pPr>
            <w:r>
              <w:rPr>
                <w:color w:val="1F2933"/>
                <w:sz w:val="15"/>
              </w:rPr>
              <w:t>High aggregate</w:t>
            </w:r>
          </w:p>
        </w:tc>
        <w:tc>
          <w:tcPr>
            <w:tcW w:type="dxa" w:w="2376"/>
            <w:vAlign w:val="center"/>
            <w:tcMar>
              <w:top w:w="90" w:type="dxa"/>
              <w:start w:w="100" w:type="dxa"/>
              <w:bottom w:w="90" w:type="dxa"/>
              <w:end w:w="100" w:type="dxa"/>
            </w:tcMar>
          </w:tcPr>
          <w:p>
            <w:pPr>
              <w:spacing w:after="20" w:line="245" w:lineRule="auto"/>
            </w:pPr>
            <w:r>
              <w:rPr>
                <w:color w:val="1F2933"/>
                <w:sz w:val="15"/>
              </w:rPr>
              <w:t>Hyperscalers, cloud/vector services, neocloud</w:t>
            </w:r>
          </w:p>
        </w:tc>
        <w:tc>
          <w:tcPr>
            <w:tcW w:type="dxa" w:w="2880"/>
            <w:vAlign w:val="center"/>
            <w:tcMar>
              <w:top w:w="90" w:type="dxa"/>
              <w:start w:w="100" w:type="dxa"/>
              <w:bottom w:w="90" w:type="dxa"/>
              <w:end w:w="100" w:type="dxa"/>
            </w:tcMar>
          </w:tcPr>
          <w:p>
            <w:pPr>
              <w:spacing w:after="20" w:line="245" w:lineRule="auto"/>
            </w:pPr>
            <w:r>
              <w:rPr>
                <w:color w:val="1F2933"/>
                <w:sz w:val="15"/>
              </w:rPr>
              <w:t>Scale-out POC after single-device proof</w:t>
            </w:r>
          </w:p>
        </w:tc>
      </w:tr>
      <w:tr>
        <w:trPr>
          <w:cantSplit/>
        </w:trPr>
        <w:tc>
          <w:tcPr>
            <w:tcW w:type="dxa" w:w="648"/>
            <w:vAlign w:val="center"/>
            <w:tcMar>
              <w:top w:w="90" w:type="dxa"/>
              <w:start w:w="100" w:type="dxa"/>
              <w:bottom w:w="90" w:type="dxa"/>
              <w:end w:w="100" w:type="dxa"/>
            </w:tcMar>
            <w:shd w:fill="F4F7F9"/>
          </w:tcPr>
          <w:p>
            <w:pPr>
              <w:spacing w:after="20" w:line="245" w:lineRule="auto"/>
            </w:pPr>
            <w:r>
              <w:rPr>
                <w:color w:val="1F2933"/>
                <w:sz w:val="15"/>
              </w:rPr>
              <w:t>6</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Dense 20B–32B model weight streaming</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Medium; bandwidth constrained</w:t>
            </w:r>
          </w:p>
        </w:tc>
        <w:tc>
          <w:tcPr>
            <w:tcW w:type="dxa" w:w="2376"/>
            <w:vAlign w:val="center"/>
            <w:tcMar>
              <w:top w:w="90" w:type="dxa"/>
              <w:start w:w="100" w:type="dxa"/>
              <w:bottom w:w="90" w:type="dxa"/>
              <w:end w:w="100" w:type="dxa"/>
            </w:tcMar>
            <w:shd w:fill="F4F7F9"/>
          </w:tcPr>
          <w:p>
            <w:pPr>
              <w:spacing w:after="20" w:line="245" w:lineRule="auto"/>
            </w:pPr>
            <w:r>
              <w:rPr>
                <w:color w:val="1F2933"/>
                <w:sz w:val="15"/>
              </w:rPr>
              <w:t>Private low-volume inference, batch jobs</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Secondary POC, not flagship</w:t>
            </w:r>
          </w:p>
        </w:tc>
      </w:tr>
      <w:tr>
        <w:trPr>
          <w:cantSplit/>
        </w:trPr>
        <w:tc>
          <w:tcPr>
            <w:tcW w:type="dxa" w:w="648"/>
            <w:vAlign w:val="center"/>
            <w:tcMar>
              <w:top w:w="90" w:type="dxa"/>
              <w:start w:w="100" w:type="dxa"/>
              <w:bottom w:w="90" w:type="dxa"/>
              <w:end w:w="100" w:type="dxa"/>
            </w:tcMar>
          </w:tcPr>
          <w:p>
            <w:pPr>
              <w:spacing w:after="20" w:line="245" w:lineRule="auto"/>
            </w:pPr>
            <w:r>
              <w:rPr>
                <w:color w:val="1F2933"/>
                <w:sz w:val="15"/>
              </w:rPr>
              <w:t>7</w:t>
            </w:r>
          </w:p>
        </w:tc>
        <w:tc>
          <w:tcPr>
            <w:tcW w:type="dxa" w:w="2880"/>
            <w:vAlign w:val="center"/>
            <w:tcMar>
              <w:top w:w="90" w:type="dxa"/>
              <w:start w:w="100" w:type="dxa"/>
              <w:bottom w:w="90" w:type="dxa"/>
              <w:end w:w="100" w:type="dxa"/>
            </w:tcMar>
          </w:tcPr>
          <w:p>
            <w:pPr>
              <w:spacing w:after="20" w:line="245" w:lineRule="auto"/>
            </w:pPr>
            <w:r>
              <w:rPr>
                <w:color w:val="1F2933"/>
                <w:sz w:val="15"/>
              </w:rPr>
              <w:t>Single-device MoE expert bank</w:t>
            </w:r>
          </w:p>
        </w:tc>
        <w:tc>
          <w:tcPr>
            <w:tcW w:type="dxa" w:w="1440"/>
            <w:vAlign w:val="center"/>
            <w:tcMar>
              <w:top w:w="90" w:type="dxa"/>
              <w:start w:w="100" w:type="dxa"/>
              <w:bottom w:w="90" w:type="dxa"/>
              <w:end w:w="100" w:type="dxa"/>
            </w:tcMar>
          </w:tcPr>
          <w:p>
            <w:pPr>
              <w:spacing w:after="20" w:line="245" w:lineRule="auto"/>
            </w:pPr>
            <w:r>
              <w:rPr>
                <w:color w:val="1F2933"/>
                <w:sz w:val="15"/>
              </w:rPr>
              <w:t>Medium; technically risky</w:t>
            </w:r>
          </w:p>
        </w:tc>
        <w:tc>
          <w:tcPr>
            <w:tcW w:type="dxa" w:w="2376"/>
            <w:vAlign w:val="center"/>
            <w:tcMar>
              <w:top w:w="90" w:type="dxa"/>
              <w:start w:w="100" w:type="dxa"/>
              <w:bottom w:w="90" w:type="dxa"/>
              <w:end w:w="100" w:type="dxa"/>
            </w:tcMar>
          </w:tcPr>
          <w:p>
            <w:pPr>
              <w:spacing w:after="20" w:line="245" w:lineRule="auto"/>
            </w:pPr>
            <w:r>
              <w:rPr>
                <w:color w:val="1F2933"/>
                <w:sz w:val="15"/>
              </w:rPr>
              <w:t>Specialist inference research</w:t>
            </w:r>
          </w:p>
        </w:tc>
        <w:tc>
          <w:tcPr>
            <w:tcW w:type="dxa" w:w="2880"/>
            <w:vAlign w:val="center"/>
            <w:tcMar>
              <w:top w:w="90" w:type="dxa"/>
              <w:start w:w="100" w:type="dxa"/>
              <w:bottom w:w="90" w:type="dxa"/>
              <w:end w:w="100" w:type="dxa"/>
            </w:tcMar>
          </w:tcPr>
          <w:p>
            <w:pPr>
              <w:spacing w:after="20" w:line="245" w:lineRule="auto"/>
            </w:pPr>
            <w:r>
              <w:rPr>
                <w:color w:val="1F2933"/>
                <w:sz w:val="15"/>
              </w:rPr>
              <w:t>Research only</w:t>
            </w:r>
          </w:p>
        </w:tc>
      </w:tr>
      <w:tr>
        <w:trPr>
          <w:cantSplit/>
        </w:trPr>
        <w:tc>
          <w:tcPr>
            <w:tcW w:type="dxa" w:w="648"/>
            <w:vAlign w:val="center"/>
            <w:tcMar>
              <w:top w:w="90" w:type="dxa"/>
              <w:start w:w="100" w:type="dxa"/>
              <w:bottom w:w="90" w:type="dxa"/>
              <w:end w:w="100" w:type="dxa"/>
            </w:tcMar>
            <w:shd w:fill="F4F7F9"/>
          </w:tcPr>
          <w:p>
            <w:pPr>
              <w:spacing w:after="20" w:line="245" w:lineRule="auto"/>
            </w:pPr>
            <w:r>
              <w:rPr>
                <w:color w:val="1F2933"/>
                <w:sz w:val="15"/>
              </w:rPr>
              <w:t>8</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Embedding, guards, speech, small rerankers</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Low HBF impact</w:t>
            </w:r>
          </w:p>
        </w:tc>
        <w:tc>
          <w:tcPr>
            <w:tcW w:type="dxa" w:w="2376"/>
            <w:vAlign w:val="center"/>
            <w:tcMar>
              <w:top w:w="90" w:type="dxa"/>
              <w:start w:w="100" w:type="dxa"/>
              <w:bottom w:w="90" w:type="dxa"/>
              <w:end w:w="100" w:type="dxa"/>
            </w:tcMar>
            <w:shd w:fill="F4F7F9"/>
          </w:tcPr>
          <w:p>
            <w:pPr>
              <w:spacing w:after="20" w:line="245" w:lineRule="auto"/>
            </w:pPr>
            <w:r>
              <w:rPr>
                <w:color w:val="1F2933"/>
                <w:sz w:val="15"/>
              </w:rPr>
              <w:t>Broad but undifferentiated</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ModelPack/supporting feature</w:t>
            </w:r>
          </w:p>
        </w:tc>
      </w:tr>
      <w:tr>
        <w:trPr>
          <w:cantSplit/>
        </w:trPr>
        <w:tc>
          <w:tcPr>
            <w:tcW w:type="dxa" w:w="648"/>
            <w:vAlign w:val="center"/>
            <w:tcMar>
              <w:top w:w="90" w:type="dxa"/>
              <w:start w:w="100" w:type="dxa"/>
              <w:bottom w:w="90" w:type="dxa"/>
              <w:end w:w="100" w:type="dxa"/>
            </w:tcMar>
          </w:tcPr>
          <w:p>
            <w:pPr>
              <w:spacing w:after="20" w:line="245" w:lineRule="auto"/>
            </w:pPr>
            <w:r>
              <w:rPr>
                <w:color w:val="1F2933"/>
                <w:sz w:val="15"/>
              </w:rPr>
              <w:t>9</w:t>
            </w:r>
          </w:p>
        </w:tc>
        <w:tc>
          <w:tcPr>
            <w:tcW w:type="dxa" w:w="2880"/>
            <w:vAlign w:val="center"/>
            <w:tcMar>
              <w:top w:w="90" w:type="dxa"/>
              <w:start w:w="100" w:type="dxa"/>
              <w:bottom w:w="90" w:type="dxa"/>
              <w:end w:w="100" w:type="dxa"/>
            </w:tcMar>
          </w:tcPr>
          <w:p>
            <w:pPr>
              <w:spacing w:after="20" w:line="245" w:lineRule="auto"/>
            </w:pPr>
            <w:r>
              <w:rPr>
                <w:color w:val="1F2933"/>
                <w:sz w:val="15"/>
              </w:rPr>
              <w:t>Inactive model repository / cold-start reduction</w:t>
            </w:r>
          </w:p>
        </w:tc>
        <w:tc>
          <w:tcPr>
            <w:tcW w:type="dxa" w:w="1440"/>
            <w:vAlign w:val="center"/>
            <w:tcMar>
              <w:top w:w="90" w:type="dxa"/>
              <w:start w:w="100" w:type="dxa"/>
              <w:bottom w:w="90" w:type="dxa"/>
              <w:end w:w="100" w:type="dxa"/>
            </w:tcMar>
          </w:tcPr>
          <w:p>
            <w:pPr>
              <w:spacing w:after="20" w:line="245" w:lineRule="auto"/>
            </w:pPr>
            <w:r>
              <w:rPr>
                <w:color w:val="1F2933"/>
                <w:sz w:val="15"/>
              </w:rPr>
              <w:t>Low</w:t>
            </w:r>
          </w:p>
        </w:tc>
        <w:tc>
          <w:tcPr>
            <w:tcW w:type="dxa" w:w="2376"/>
            <w:vAlign w:val="center"/>
            <w:tcMar>
              <w:top w:w="90" w:type="dxa"/>
              <w:start w:w="100" w:type="dxa"/>
              <w:bottom w:w="90" w:type="dxa"/>
              <w:end w:w="100" w:type="dxa"/>
            </w:tcMar>
          </w:tcPr>
          <w:p>
            <w:pPr>
              <w:spacing w:after="20" w:line="245" w:lineRule="auto"/>
            </w:pPr>
            <w:r>
              <w:rPr>
                <w:color w:val="1F2933"/>
                <w:sz w:val="15"/>
              </w:rPr>
              <w:t>Limited</w:t>
            </w:r>
          </w:p>
        </w:tc>
        <w:tc>
          <w:tcPr>
            <w:tcW w:type="dxa" w:w="2880"/>
            <w:vAlign w:val="center"/>
            <w:tcMar>
              <w:top w:w="90" w:type="dxa"/>
              <w:start w:w="100" w:type="dxa"/>
              <w:bottom w:w="90" w:type="dxa"/>
              <w:end w:w="100" w:type="dxa"/>
            </w:tcMar>
          </w:tcPr>
          <w:p>
            <w:pPr>
              <w:spacing w:after="20" w:line="245" w:lineRule="auto"/>
            </w:pPr>
            <w:r>
              <w:rPr>
                <w:color w:val="1F2933"/>
                <w:sz w:val="15"/>
              </w:rPr>
              <w:t>Do not lead</w:t>
            </w:r>
          </w:p>
        </w:tc>
      </w:tr>
    </w:tbl>
    <w:p>
      <w:pPr>
        <w:spacing w:after="20"/>
      </w:pPr>
    </w:p>
    <w:p>
      <w:pPr>
        <w:pStyle w:val="Heading1"/>
      </w:pPr>
      <w:r>
        <w:t>What changes for each audience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Audience</w:t>
            </w:r>
          </w:p>
        </w:tc>
        <w:tc>
          <w:tcPr>
            <w:tcW w:type="dxa" w:w="5083"/>
            <w:shd w:fill="13263D"/>
            <w:vAlign w:val="center"/>
            <w:tcMar>
              <w:top w:w="90" w:type="dxa"/>
              <w:start w:w="100" w:type="dxa"/>
              <w:bottom w:w="90" w:type="dxa"/>
              <w:end w:w="100" w:type="dxa"/>
            </w:tcMar>
          </w:tcPr>
          <w:p>
            <w:r>
              <w:rPr>
                <w:b/>
                <w:color w:val="FFFFFF"/>
                <w:sz w:val="16"/>
              </w:rPr>
              <w:t>Message</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Executives</w:t>
            </w:r>
          </w:p>
        </w:tc>
        <w:tc>
          <w:tcPr>
            <w:tcW w:type="dxa" w:w="8280"/>
            <w:vAlign w:val="center"/>
            <w:tcMar>
              <w:top w:w="90" w:type="dxa"/>
              <w:start w:w="100" w:type="dxa"/>
              <w:bottom w:w="90" w:type="dxa"/>
              <w:end w:w="100" w:type="dxa"/>
            </w:tcMar>
          </w:tcPr>
          <w:p>
            <w:pPr>
              <w:spacing w:after="20" w:line="245" w:lineRule="auto"/>
            </w:pPr>
            <w:r>
              <w:rPr>
                <w:color w:val="1F2933"/>
                <w:sz w:val="16"/>
              </w:rPr>
              <w:t>Fund only use cases that monetize HBF through sustained bandwidth, capacity, data reduction or fleet TCO. Avoid a broad “AI accelerator” program.</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Architects</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Design around a three-stage pipeline: coarse selection, HBF-resident refinement, expensive final ranking/generation.</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Engineers</w:t>
            </w:r>
          </w:p>
        </w:tc>
        <w:tc>
          <w:tcPr>
            <w:tcW w:type="dxa" w:w="8280"/>
            <w:vAlign w:val="center"/>
            <w:tcMar>
              <w:top w:w="90" w:type="dxa"/>
              <w:start w:w="100" w:type="dxa"/>
              <w:bottom w:w="90" w:type="dxa"/>
              <w:end w:w="100" w:type="dxa"/>
            </w:tcMar>
          </w:tcPr>
          <w:p>
            <w:pPr>
              <w:spacing w:after="20" w:line="245" w:lineRule="auto"/>
            </w:pPr>
            <w:r>
              <w:rPr>
                <w:color w:val="1F2933"/>
                <w:sz w:val="16"/>
              </w:rPr>
              <w:t>Prove fine-grained reads, gather, dot product, max-sim, top-k, masking, decompression and queue-level tail latency before broad model enablement.</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Product managers</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Define buyer, workload, steady-state HBF bytes/query, acceptable p99 and displaced infrastructure for every SKU.</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Marketing</w:t>
            </w:r>
          </w:p>
        </w:tc>
        <w:tc>
          <w:tcPr>
            <w:tcW w:type="dxa" w:w="8280"/>
            <w:vAlign w:val="center"/>
            <w:tcMar>
              <w:top w:w="90" w:type="dxa"/>
              <w:start w:w="100" w:type="dxa"/>
              <w:bottom w:w="90" w:type="dxa"/>
              <w:end w:w="100" w:type="dxa"/>
            </w:tcMar>
          </w:tcPr>
          <w:p>
            <w:pPr>
              <w:spacing w:after="20" w:line="245" w:lineRule="auto"/>
            </w:pPr>
            <w:r>
              <w:rPr>
                <w:color w:val="1F2933"/>
                <w:sz w:val="16"/>
              </w:rPr>
              <w:t>Sell measured retrieval quality, bytes avoided, GPU/DRAM relief and power efficiency. Do not lead with TOPS or cold start.</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OEM/partners</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Provide E3 thermal, power, lane, BMC, telemetry and service qualification, plus a stable device runtime for partner integrations.</w:t>
            </w:r>
          </w:p>
        </w:tc>
      </w:tr>
    </w:tbl>
    <w:p>
      <w:pPr>
        <w:spacing w:after="20"/>
      </w:pPr>
    </w:p>
    <w:p>
      <w:r>
        <w:br w:type="page"/>
      </w:r>
    </w:p>
    <w:p>
      <w:pPr>
        <w:pStyle w:val="Title"/>
      </w:pPr>
      <w:r>
        <w:t>1. Architecture Baseline and Non-Negotiable Assumptions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Parameter</w:t>
            </w:r>
          </w:p>
        </w:tc>
        <w:tc>
          <w:tcPr>
            <w:tcW w:type="dxa" w:w="3389"/>
            <w:shd w:fill="13263D"/>
            <w:vAlign w:val="center"/>
            <w:tcMar>
              <w:top w:w="90" w:type="dxa"/>
              <w:start w:w="100" w:type="dxa"/>
              <w:bottom w:w="90" w:type="dxa"/>
              <w:end w:w="100" w:type="dxa"/>
            </w:tcMar>
          </w:tcPr>
          <w:p>
            <w:r>
              <w:rPr>
                <w:b/>
                <w:color w:val="FFFFFF"/>
                <w:sz w:val="16"/>
              </w:rPr>
              <w:t>Planning assumption</w:t>
            </w:r>
          </w:p>
        </w:tc>
        <w:tc>
          <w:tcPr>
            <w:tcW w:type="dxa" w:w="3389"/>
            <w:shd w:fill="13263D"/>
            <w:vAlign w:val="center"/>
            <w:tcMar>
              <w:top w:w="90" w:type="dxa"/>
              <w:start w:w="100" w:type="dxa"/>
              <w:bottom w:w="90" w:type="dxa"/>
              <w:end w:w="100" w:type="dxa"/>
            </w:tcMar>
          </w:tcPr>
          <w:p>
            <w:r>
              <w:rPr>
                <w:b/>
                <w:color w:val="FFFFFF"/>
                <w:sz w:val="16"/>
              </w:rPr>
              <w:t>Implication</w:t>
            </w:r>
          </w:p>
        </w:tc>
      </w:tr>
      <w:tr>
        <w:trPr>
          <w:cantSplit/>
        </w:trPr>
        <w:tc>
          <w:tcPr>
            <w:tcW w:type="dxa" w:w="1800"/>
            <w:vAlign w:val="center"/>
            <w:tcMar>
              <w:top w:w="90" w:type="dxa"/>
              <w:start w:w="100" w:type="dxa"/>
              <w:bottom w:w="90" w:type="dxa"/>
              <w:end w:w="100" w:type="dxa"/>
            </w:tcMar>
          </w:tcPr>
          <w:p>
            <w:pPr>
              <w:spacing w:after="20" w:line="245" w:lineRule="auto"/>
            </w:pPr>
            <w:r>
              <w:rPr>
                <w:color w:val="1F2933"/>
                <w:sz w:val="16"/>
              </w:rPr>
              <w:t>Persistent memory</w:t>
            </w:r>
          </w:p>
        </w:tc>
        <w:tc>
          <w:tcPr>
            <w:tcW w:type="dxa" w:w="3456"/>
            <w:vAlign w:val="center"/>
            <w:tcMar>
              <w:top w:w="90" w:type="dxa"/>
              <w:start w:w="100" w:type="dxa"/>
              <w:bottom w:w="90" w:type="dxa"/>
              <w:end w:w="100" w:type="dxa"/>
            </w:tcMar>
          </w:tcPr>
          <w:p>
            <w:pPr>
              <w:spacing w:after="20" w:line="245" w:lineRule="auto"/>
            </w:pPr>
            <w:r>
              <w:rPr>
                <w:color w:val="1F2933"/>
                <w:sz w:val="16"/>
              </w:rPr>
              <w:t>Up to 128 GB HBF per E3.S device</w:t>
            </w:r>
          </w:p>
        </w:tc>
        <w:tc>
          <w:tcPr>
            <w:tcW w:type="dxa" w:w="4896"/>
            <w:vAlign w:val="center"/>
            <w:tcMar>
              <w:top w:w="90" w:type="dxa"/>
              <w:start w:w="100" w:type="dxa"/>
              <w:bottom w:w="90" w:type="dxa"/>
              <w:end w:w="100" w:type="dxa"/>
            </w:tcMar>
          </w:tcPr>
          <w:p>
            <w:pPr>
              <w:spacing w:after="20" w:line="245" w:lineRule="auto"/>
            </w:pPr>
            <w:r>
              <w:rPr>
                <w:color w:val="1F2933"/>
                <w:sz w:val="16"/>
              </w:rPr>
              <w:t>Large read-mostly neural representations or weights can remain local</w:t>
            </w:r>
          </w:p>
        </w:tc>
      </w:tr>
      <w:tr>
        <w:trPr>
          <w:cantSplit/>
        </w:trPr>
        <w:tc>
          <w:tcPr>
            <w:tcW w:type="dxa" w:w="1800"/>
            <w:vAlign w:val="center"/>
            <w:tcMar>
              <w:top w:w="90" w:type="dxa"/>
              <w:start w:w="100" w:type="dxa"/>
              <w:bottom w:w="90" w:type="dxa"/>
              <w:end w:w="100" w:type="dxa"/>
            </w:tcMar>
            <w:shd w:fill="F4F7F9"/>
          </w:tcPr>
          <w:p>
            <w:pPr>
              <w:spacing w:after="20" w:line="245" w:lineRule="auto"/>
            </w:pPr>
            <w:r>
              <w:rPr>
                <w:color w:val="1F2933"/>
                <w:sz w:val="16"/>
              </w:rPr>
              <w:t>Sustained read bandwidth</w:t>
            </w:r>
          </w:p>
        </w:tc>
        <w:tc>
          <w:tcPr>
            <w:tcW w:type="dxa" w:w="3456"/>
            <w:vAlign w:val="center"/>
            <w:tcMar>
              <w:top w:w="90" w:type="dxa"/>
              <w:start w:w="100" w:type="dxa"/>
              <w:bottom w:w="90" w:type="dxa"/>
              <w:end w:w="100" w:type="dxa"/>
            </w:tcMar>
            <w:shd w:fill="F4F7F9"/>
          </w:tcPr>
          <w:p>
            <w:pPr>
              <w:spacing w:after="20" w:line="245" w:lineRule="auto"/>
            </w:pPr>
            <w:r>
              <w:rPr>
                <w:color w:val="1F2933"/>
                <w:sz w:val="16"/>
              </w:rPr>
              <w:t>Approximately 200 GB/s per device</w:t>
            </w:r>
          </w:p>
        </w:tc>
        <w:tc>
          <w:tcPr>
            <w:tcW w:type="dxa" w:w="4896"/>
            <w:vAlign w:val="center"/>
            <w:tcMar>
              <w:top w:w="90" w:type="dxa"/>
              <w:start w:w="100" w:type="dxa"/>
              <w:bottom w:w="90" w:type="dxa"/>
              <w:end w:w="100" w:type="dxa"/>
            </w:tcMar>
            <w:shd w:fill="F4F7F9"/>
          </w:tcPr>
          <w:p>
            <w:pPr>
              <w:spacing w:after="20" w:line="245" w:lineRule="auto"/>
            </w:pPr>
            <w:r>
              <w:rPr>
                <w:color w:val="1F2933"/>
                <w:sz w:val="16"/>
              </w:rPr>
              <w:t>Useful for selective refinement; not sufficient for repeated full 128 GB scans at interactive latency</w:t>
            </w:r>
          </w:p>
        </w:tc>
      </w:tr>
      <w:tr>
        <w:trPr>
          <w:cantSplit/>
        </w:trPr>
        <w:tc>
          <w:tcPr>
            <w:tcW w:type="dxa" w:w="1800"/>
            <w:vAlign w:val="center"/>
            <w:tcMar>
              <w:top w:w="90" w:type="dxa"/>
              <w:start w:w="100" w:type="dxa"/>
              <w:bottom w:w="90" w:type="dxa"/>
              <w:end w:w="100" w:type="dxa"/>
            </w:tcMar>
          </w:tcPr>
          <w:p>
            <w:pPr>
              <w:spacing w:after="20" w:line="245" w:lineRule="auto"/>
            </w:pPr>
            <w:r>
              <w:rPr>
                <w:color w:val="1F2933"/>
                <w:sz w:val="16"/>
              </w:rPr>
              <w:t>Active memory</w:t>
            </w:r>
          </w:p>
        </w:tc>
        <w:tc>
          <w:tcPr>
            <w:tcW w:type="dxa" w:w="3456"/>
            <w:vAlign w:val="center"/>
            <w:tcMar>
              <w:top w:w="90" w:type="dxa"/>
              <w:start w:w="100" w:type="dxa"/>
              <w:bottom w:w="90" w:type="dxa"/>
              <w:end w:w="100" w:type="dxa"/>
            </w:tcMar>
          </w:tcPr>
          <w:p>
            <w:pPr>
              <w:spacing w:after="20" w:line="245" w:lineRule="auto"/>
            </w:pPr>
            <w:r>
              <w:rPr>
                <w:color w:val="1F2933"/>
                <w:sz w:val="16"/>
              </w:rPr>
              <w:t>Approximately 16 GB LPDDR plus SRAM</w:t>
            </w:r>
          </w:p>
        </w:tc>
        <w:tc>
          <w:tcPr>
            <w:tcW w:type="dxa" w:w="4896"/>
            <w:vAlign w:val="center"/>
            <w:tcMar>
              <w:top w:w="90" w:type="dxa"/>
              <w:start w:w="100" w:type="dxa"/>
              <w:bottom w:w="90" w:type="dxa"/>
              <w:end w:w="100" w:type="dxa"/>
            </w:tcMar>
          </w:tcPr>
          <w:p>
            <w:pPr>
              <w:spacing w:after="20" w:line="245" w:lineRule="auto"/>
            </w:pPr>
            <w:r>
              <w:rPr>
                <w:color w:val="1F2933"/>
                <w:sz w:val="16"/>
              </w:rPr>
              <w:t>Activations, KV cache, current tiles and temporary state must fit here</w:t>
            </w:r>
          </w:p>
        </w:tc>
      </w:tr>
      <w:tr>
        <w:trPr>
          <w:cantSplit/>
        </w:trPr>
        <w:tc>
          <w:tcPr>
            <w:tcW w:type="dxa" w:w="1800"/>
            <w:vAlign w:val="center"/>
            <w:tcMar>
              <w:top w:w="90" w:type="dxa"/>
              <w:start w:w="100" w:type="dxa"/>
              <w:bottom w:w="90" w:type="dxa"/>
              <w:end w:w="100" w:type="dxa"/>
            </w:tcMar>
            <w:shd w:fill="F4F7F9"/>
          </w:tcPr>
          <w:p>
            <w:pPr>
              <w:spacing w:after="20" w:line="245" w:lineRule="auto"/>
            </w:pPr>
            <w:r>
              <w:rPr>
                <w:color w:val="1F2933"/>
                <w:sz w:val="16"/>
              </w:rPr>
              <w:t>Compute</w:t>
            </w:r>
          </w:p>
        </w:tc>
        <w:tc>
          <w:tcPr>
            <w:tcW w:type="dxa" w:w="3456"/>
            <w:vAlign w:val="center"/>
            <w:tcMar>
              <w:top w:w="90" w:type="dxa"/>
              <w:start w:w="100" w:type="dxa"/>
              <w:bottom w:w="90" w:type="dxa"/>
              <w:end w:w="100" w:type="dxa"/>
            </w:tcMar>
            <w:shd w:fill="F4F7F9"/>
          </w:tcPr>
          <w:p>
            <w:pPr>
              <w:spacing w:after="20" w:line="245" w:lineRule="auto"/>
            </w:pPr>
            <w:r>
              <w:rPr>
                <w:color w:val="1F2933"/>
                <w:sz w:val="16"/>
              </w:rPr>
              <w:t>OEM commercial NPU ASIC, roughly 64 TOPS-class planning target</w:t>
            </w:r>
          </w:p>
        </w:tc>
        <w:tc>
          <w:tcPr>
            <w:tcW w:type="dxa" w:w="4896"/>
            <w:vAlign w:val="center"/>
            <w:tcMar>
              <w:top w:w="90" w:type="dxa"/>
              <w:start w:w="100" w:type="dxa"/>
              <w:bottom w:w="90" w:type="dxa"/>
              <w:end w:w="100" w:type="dxa"/>
            </w:tcMar>
            <w:shd w:fill="F4F7F9"/>
          </w:tcPr>
          <w:p>
            <w:pPr>
              <w:spacing w:after="20" w:line="245" w:lineRule="auto"/>
            </w:pPr>
            <w:r>
              <w:rPr>
                <w:color w:val="1F2933"/>
                <w:sz w:val="16"/>
              </w:rPr>
              <w:t>Avoids a custom Sandisk ASIC initially, but creates operator and runtime dependency</w:t>
            </w:r>
          </w:p>
        </w:tc>
      </w:tr>
      <w:tr>
        <w:trPr>
          <w:cantSplit/>
        </w:trPr>
        <w:tc>
          <w:tcPr>
            <w:tcW w:type="dxa" w:w="1800"/>
            <w:vAlign w:val="center"/>
            <w:tcMar>
              <w:top w:w="90" w:type="dxa"/>
              <w:start w:w="100" w:type="dxa"/>
              <w:bottom w:w="90" w:type="dxa"/>
              <w:end w:w="100" w:type="dxa"/>
            </w:tcMar>
          </w:tcPr>
          <w:p>
            <w:pPr>
              <w:spacing w:after="20" w:line="245" w:lineRule="auto"/>
            </w:pPr>
            <w:r>
              <w:rPr>
                <w:color w:val="1F2933"/>
                <w:sz w:val="16"/>
              </w:rPr>
              <w:t>Host interface</w:t>
            </w:r>
          </w:p>
        </w:tc>
        <w:tc>
          <w:tcPr>
            <w:tcW w:type="dxa" w:w="3456"/>
            <w:vAlign w:val="center"/>
            <w:tcMar>
              <w:top w:w="90" w:type="dxa"/>
              <w:start w:w="100" w:type="dxa"/>
              <w:bottom w:w="90" w:type="dxa"/>
              <w:end w:w="100" w:type="dxa"/>
            </w:tcMar>
          </w:tcPr>
          <w:p>
            <w:pPr>
              <w:spacing w:after="20" w:line="245" w:lineRule="auto"/>
            </w:pPr>
            <w:r>
              <w:rPr>
                <w:color w:val="1F2933"/>
                <w:sz w:val="16"/>
              </w:rPr>
              <w:t>PCIe Gen5/Gen6 x4 baseline; x8/2T to evaluate</w:t>
            </w:r>
          </w:p>
        </w:tc>
        <w:tc>
          <w:tcPr>
            <w:tcW w:type="dxa" w:w="4896"/>
            <w:vAlign w:val="center"/>
            <w:tcMar>
              <w:top w:w="90" w:type="dxa"/>
              <w:start w:w="100" w:type="dxa"/>
              <w:bottom w:w="90" w:type="dxa"/>
              <w:end w:w="100" w:type="dxa"/>
            </w:tcMar>
          </w:tcPr>
          <w:p>
            <w:pPr>
              <w:spacing w:after="20" w:line="245" w:lineRule="auto"/>
            </w:pPr>
            <w:r>
              <w:rPr>
                <w:color w:val="1F2933"/>
                <w:sz w:val="16"/>
              </w:rPr>
              <w:t>Return compact results; avoid moving full representations over PCIe</w:t>
            </w:r>
          </w:p>
        </w:tc>
      </w:tr>
      <w:tr>
        <w:trPr>
          <w:cantSplit/>
        </w:trPr>
        <w:tc>
          <w:tcPr>
            <w:tcW w:type="dxa" w:w="1800"/>
            <w:vAlign w:val="center"/>
            <w:tcMar>
              <w:top w:w="90" w:type="dxa"/>
              <w:start w:w="100" w:type="dxa"/>
              <w:bottom w:w="90" w:type="dxa"/>
              <w:end w:w="100" w:type="dxa"/>
            </w:tcMar>
            <w:shd w:fill="F4F7F9"/>
          </w:tcPr>
          <w:p>
            <w:pPr>
              <w:spacing w:after="20" w:line="245" w:lineRule="auto"/>
            </w:pPr>
            <w:r>
              <w:rPr>
                <w:color w:val="1F2933"/>
                <w:sz w:val="16"/>
              </w:rPr>
              <w:t>Scale-out</w:t>
            </w:r>
          </w:p>
        </w:tc>
        <w:tc>
          <w:tcPr>
            <w:tcW w:type="dxa" w:w="3456"/>
            <w:vAlign w:val="center"/>
            <w:tcMar>
              <w:top w:w="90" w:type="dxa"/>
              <w:start w:w="100" w:type="dxa"/>
              <w:bottom w:w="90" w:type="dxa"/>
              <w:end w:w="100" w:type="dxa"/>
            </w:tcMar>
            <w:shd w:fill="F4F7F9"/>
          </w:tcPr>
          <w:p>
            <w:pPr>
              <w:spacing w:after="20" w:line="245" w:lineRule="auto"/>
            </w:pPr>
            <w:r>
              <w:rPr>
                <w:color w:val="1F2933"/>
                <w:sz w:val="16"/>
              </w:rPr>
              <w:t>Each device is an independent address space</w:t>
            </w:r>
          </w:p>
        </w:tc>
        <w:tc>
          <w:tcPr>
            <w:tcW w:type="dxa" w:w="4896"/>
            <w:vAlign w:val="center"/>
            <w:tcMar>
              <w:top w:w="90" w:type="dxa"/>
              <w:start w:w="100" w:type="dxa"/>
              <w:bottom w:w="90" w:type="dxa"/>
              <w:end w:w="100" w:type="dxa"/>
            </w:tcMar>
            <w:shd w:fill="F4F7F9"/>
          </w:tcPr>
          <w:p>
            <w:pPr>
              <w:spacing w:after="20" w:line="245" w:lineRule="auto"/>
            </w:pPr>
            <w:r>
              <w:rPr>
                <w:color w:val="1F2933"/>
                <w:sz w:val="16"/>
              </w:rPr>
              <w:t>Eight devices provide 1 TB and 1.6 TB/s only for parallel shards or independent jobs</w:t>
            </w:r>
          </w:p>
        </w:tc>
      </w:tr>
      <w:tr>
        <w:trPr>
          <w:cantSplit/>
        </w:trPr>
        <w:tc>
          <w:tcPr>
            <w:tcW w:type="dxa" w:w="1800"/>
            <w:vAlign w:val="center"/>
            <w:tcMar>
              <w:top w:w="90" w:type="dxa"/>
              <w:start w:w="100" w:type="dxa"/>
              <w:bottom w:w="90" w:type="dxa"/>
              <w:end w:w="100" w:type="dxa"/>
            </w:tcMar>
          </w:tcPr>
          <w:p>
            <w:pPr>
              <w:spacing w:after="20" w:line="245" w:lineRule="auto"/>
            </w:pPr>
            <w:r>
              <w:rPr>
                <w:color w:val="1F2933"/>
                <w:sz w:val="16"/>
              </w:rPr>
              <w:t>Form factor</w:t>
            </w:r>
          </w:p>
        </w:tc>
        <w:tc>
          <w:tcPr>
            <w:tcW w:type="dxa" w:w="3456"/>
            <w:vAlign w:val="center"/>
            <w:tcMar>
              <w:top w:w="90" w:type="dxa"/>
              <w:start w:w="100" w:type="dxa"/>
              <w:bottom w:w="90" w:type="dxa"/>
              <w:end w:w="100" w:type="dxa"/>
            </w:tcMar>
          </w:tcPr>
          <w:p>
            <w:pPr>
              <w:spacing w:after="20" w:line="245" w:lineRule="auto"/>
            </w:pPr>
            <w:r>
              <w:rPr>
                <w:color w:val="1F2933"/>
                <w:sz w:val="16"/>
              </w:rPr>
              <w:t>E3.S or E3.S 2T</w:t>
            </w:r>
          </w:p>
        </w:tc>
        <w:tc>
          <w:tcPr>
            <w:tcW w:type="dxa" w:w="4896"/>
            <w:vAlign w:val="center"/>
            <w:tcMar>
              <w:top w:w="90" w:type="dxa"/>
              <w:start w:w="100" w:type="dxa"/>
              <w:bottom w:w="90" w:type="dxa"/>
              <w:end w:w="100" w:type="dxa"/>
            </w:tcMar>
          </w:tcPr>
          <w:p>
            <w:pPr>
              <w:spacing w:after="20" w:line="245" w:lineRule="auto"/>
            </w:pPr>
            <w:r>
              <w:rPr>
                <w:color w:val="1F2933"/>
                <w:sz w:val="16"/>
              </w:rPr>
              <w:t>Density must be traded against sustained accelerator cooling and power</w:t>
            </w:r>
          </w:p>
        </w:tc>
      </w:tr>
      <w:tr>
        <w:trPr>
          <w:cantSplit/>
        </w:trPr>
        <w:tc>
          <w:tcPr>
            <w:tcW w:type="dxa" w:w="1800"/>
            <w:vAlign w:val="center"/>
            <w:tcMar>
              <w:top w:w="90" w:type="dxa"/>
              <w:start w:w="100" w:type="dxa"/>
              <w:bottom w:w="90" w:type="dxa"/>
              <w:end w:w="100" w:type="dxa"/>
            </w:tcMar>
            <w:shd w:fill="F4F7F9"/>
          </w:tcPr>
          <w:p>
            <w:pPr>
              <w:spacing w:after="20" w:line="245" w:lineRule="auto"/>
            </w:pPr>
            <w:r>
              <w:rPr>
                <w:color w:val="1F2933"/>
                <w:sz w:val="16"/>
              </w:rPr>
              <w:t>Software boundary</w:t>
            </w:r>
          </w:p>
        </w:tc>
        <w:tc>
          <w:tcPr>
            <w:tcW w:type="dxa" w:w="3456"/>
            <w:vAlign w:val="center"/>
            <w:tcMar>
              <w:top w:w="90" w:type="dxa"/>
              <w:start w:w="100" w:type="dxa"/>
              <w:bottom w:w="90" w:type="dxa"/>
              <w:end w:w="100" w:type="dxa"/>
            </w:tcMar>
            <w:shd w:fill="F4F7F9"/>
          </w:tcPr>
          <w:p>
            <w:pPr>
              <w:spacing w:after="20" w:line="245" w:lineRule="auto"/>
            </w:pPr>
            <w:r>
              <w:rPr>
                <w:color w:val="1F2933"/>
                <w:sz w:val="16"/>
              </w:rPr>
              <w:t>Sandisk provides device, firmware, driver, runtime and primitives</w:t>
            </w:r>
          </w:p>
        </w:tc>
        <w:tc>
          <w:tcPr>
            <w:tcW w:type="dxa" w:w="4896"/>
            <w:vAlign w:val="center"/>
            <w:tcMar>
              <w:top w:w="90" w:type="dxa"/>
              <w:start w:w="100" w:type="dxa"/>
              <w:bottom w:w="90" w:type="dxa"/>
              <w:end w:w="100" w:type="dxa"/>
            </w:tcMar>
            <w:shd w:fill="F4F7F9"/>
          </w:tcPr>
          <w:p>
            <w:pPr>
              <w:spacing w:after="20" w:line="245" w:lineRule="auto"/>
            </w:pPr>
            <w:r>
              <w:rPr>
                <w:color w:val="1F2933"/>
                <w:sz w:val="16"/>
              </w:rPr>
              <w:t>Database, search API, orchestration and customer application remain with partners/customers</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FF2CC"/>
            <w:tcMar>
              <w:top w:w="150" w:type="dxa"/>
              <w:start w:w="180" w:type="dxa"/>
              <w:bottom w:w="150" w:type="dxa"/>
              <w:end w:w="180" w:type="dxa"/>
            </w:tcMar>
          </w:tcPr>
          <w:p>
            <w:pPr>
              <w:pStyle w:val="Callout"/>
            </w:pPr>
            <w:r>
              <w:t>Sanity rule: 200 GB/s is the per-device bandwidth. Eight devices can deliver an aggregate 1.6 TB/s only when eight shards execute in parallel. A single NPU or unsharded model still sees approximately 200 GB/s.</w:t>
            </w:r>
          </w:p>
        </w:tc>
      </w:tr>
    </w:tbl>
    <w:p>
      <w:pPr>
        <w:spacing w:after="20"/>
      </w:pPr>
    </w:p>
    <w:p>
      <w:pPr>
        <w:pStyle w:val="Heading1"/>
      </w:pPr>
      <w:r>
        <w:t>1.1 Where HBF sits in the memory hierarchy</w:t>
      </w:r>
    </w:p>
    <w:p>
      <w:r>
        <w:t>ATMOS HBF should be treated as a persistent, high-capacity, high-bandwidth neural working-set tier between conventional NVMe and volatile accelerator memory. HBF is not expected to beat HBM/GDDR on bandwidth, and it will not beat NVMe on cost per bit. The product must win on the combination of persistence, local capacity, bandwidth and near-data reduction.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6"/>
              </w:rPr>
              <w:t>Tier</w:t>
            </w:r>
          </w:p>
        </w:tc>
        <w:tc>
          <w:tcPr>
            <w:tcW w:type="dxa" w:w="2541"/>
            <w:shd w:fill="13263D"/>
            <w:vAlign w:val="center"/>
            <w:tcMar>
              <w:top w:w="90" w:type="dxa"/>
              <w:start w:w="100" w:type="dxa"/>
              <w:bottom w:w="90" w:type="dxa"/>
              <w:end w:w="100" w:type="dxa"/>
            </w:tcMar>
          </w:tcPr>
          <w:p>
            <w:r>
              <w:rPr>
                <w:b/>
                <w:color w:val="FFFFFF"/>
                <w:sz w:val="16"/>
              </w:rPr>
              <w:t>Typical role</w:t>
            </w:r>
          </w:p>
        </w:tc>
        <w:tc>
          <w:tcPr>
            <w:tcW w:type="dxa" w:w="2541"/>
            <w:shd w:fill="13263D"/>
            <w:vAlign w:val="center"/>
            <w:tcMar>
              <w:top w:w="90" w:type="dxa"/>
              <w:start w:w="100" w:type="dxa"/>
              <w:bottom w:w="90" w:type="dxa"/>
              <w:end w:w="100" w:type="dxa"/>
            </w:tcMar>
          </w:tcPr>
          <w:p>
            <w:r>
              <w:rPr>
                <w:b/>
                <w:color w:val="FFFFFF"/>
                <w:sz w:val="16"/>
              </w:rPr>
              <w:t>Strength</w:t>
            </w:r>
          </w:p>
        </w:tc>
        <w:tc>
          <w:tcPr>
            <w:tcW w:type="dxa" w:w="2541"/>
            <w:shd w:fill="13263D"/>
            <w:vAlign w:val="center"/>
            <w:tcMar>
              <w:top w:w="90" w:type="dxa"/>
              <w:start w:w="100" w:type="dxa"/>
              <w:bottom w:w="90" w:type="dxa"/>
              <w:end w:w="100" w:type="dxa"/>
            </w:tcMar>
          </w:tcPr>
          <w:p>
            <w:r>
              <w:rPr>
                <w:b/>
                <w:color w:val="FFFFFF"/>
                <w:sz w:val="16"/>
              </w:rPr>
              <w:t>Weakness</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SRAM</w:t>
            </w:r>
          </w:p>
        </w:tc>
        <w:tc>
          <w:tcPr>
            <w:tcW w:type="dxa" w:w="2592"/>
            <w:vAlign w:val="center"/>
            <w:tcMar>
              <w:top w:w="90" w:type="dxa"/>
              <w:start w:w="100" w:type="dxa"/>
              <w:bottom w:w="90" w:type="dxa"/>
              <w:end w:w="100" w:type="dxa"/>
            </w:tcMar>
          </w:tcPr>
          <w:p>
            <w:pPr>
              <w:spacing w:after="20" w:line="245" w:lineRule="auto"/>
            </w:pPr>
            <w:r>
              <w:rPr>
                <w:color w:val="1F2933"/>
                <w:sz w:val="16"/>
              </w:rPr>
              <w:t>Immediate tiles, queues, reductions</w:t>
            </w:r>
          </w:p>
        </w:tc>
        <w:tc>
          <w:tcPr>
            <w:tcW w:type="dxa" w:w="3096"/>
            <w:vAlign w:val="center"/>
            <w:tcMar>
              <w:top w:w="90" w:type="dxa"/>
              <w:start w:w="100" w:type="dxa"/>
              <w:bottom w:w="90" w:type="dxa"/>
              <w:end w:w="100" w:type="dxa"/>
            </w:tcMar>
          </w:tcPr>
          <w:p>
            <w:pPr>
              <w:spacing w:after="20" w:line="245" w:lineRule="auto"/>
            </w:pPr>
            <w:r>
              <w:rPr>
                <w:color w:val="1F2933"/>
                <w:sz w:val="16"/>
              </w:rPr>
              <w:t>Lowest latency and highest local bandwidth</w:t>
            </w:r>
          </w:p>
        </w:tc>
        <w:tc>
          <w:tcPr>
            <w:tcW w:type="dxa" w:w="2952"/>
            <w:vAlign w:val="center"/>
            <w:tcMar>
              <w:top w:w="90" w:type="dxa"/>
              <w:start w:w="100" w:type="dxa"/>
              <w:bottom w:w="90" w:type="dxa"/>
              <w:end w:w="100" w:type="dxa"/>
            </w:tcMar>
          </w:tcPr>
          <w:p>
            <w:pPr>
              <w:spacing w:after="20" w:line="245" w:lineRule="auto"/>
            </w:pPr>
            <w:r>
              <w:rPr>
                <w:color w:val="1F2933"/>
                <w:sz w:val="16"/>
              </w:rPr>
              <w:t>Very small capacity</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6"/>
              </w:rPr>
              <w:t>LPDDR</w:t>
            </w:r>
          </w:p>
        </w:tc>
        <w:tc>
          <w:tcPr>
            <w:tcW w:type="dxa" w:w="2592"/>
            <w:vAlign w:val="center"/>
            <w:tcMar>
              <w:top w:w="90" w:type="dxa"/>
              <w:start w:w="100" w:type="dxa"/>
              <w:bottom w:w="90" w:type="dxa"/>
              <w:end w:w="100" w:type="dxa"/>
            </w:tcMar>
            <w:shd w:fill="F4F7F9"/>
          </w:tcPr>
          <w:p>
            <w:pPr>
              <w:spacing w:after="20" w:line="245" w:lineRule="auto"/>
            </w:pPr>
            <w:r>
              <w:rPr>
                <w:color w:val="1F2933"/>
                <w:sz w:val="16"/>
              </w:rPr>
              <w:t>Activations, KV cache, writable workspace</w:t>
            </w:r>
          </w:p>
        </w:tc>
        <w:tc>
          <w:tcPr>
            <w:tcW w:type="dxa" w:w="3096"/>
            <w:vAlign w:val="center"/>
            <w:tcMar>
              <w:top w:w="90" w:type="dxa"/>
              <w:start w:w="100" w:type="dxa"/>
              <w:bottom w:w="90" w:type="dxa"/>
              <w:end w:w="100" w:type="dxa"/>
            </w:tcMar>
            <w:shd w:fill="F4F7F9"/>
          </w:tcPr>
          <w:p>
            <w:pPr>
              <w:spacing w:after="20" w:line="245" w:lineRule="auto"/>
            </w:pPr>
            <w:r>
              <w:rPr>
                <w:color w:val="1F2933"/>
                <w:sz w:val="16"/>
              </w:rPr>
              <w:t>Low-latency writable memory</w:t>
            </w:r>
          </w:p>
        </w:tc>
        <w:tc>
          <w:tcPr>
            <w:tcW w:type="dxa" w:w="2952"/>
            <w:vAlign w:val="center"/>
            <w:tcMar>
              <w:top w:w="90" w:type="dxa"/>
              <w:start w:w="100" w:type="dxa"/>
              <w:bottom w:w="90" w:type="dxa"/>
              <w:end w:w="100" w:type="dxa"/>
            </w:tcMar>
            <w:shd w:fill="F4F7F9"/>
          </w:tcPr>
          <w:p>
            <w:pPr>
              <w:spacing w:after="20" w:line="245" w:lineRule="auto"/>
            </w:pPr>
            <w:r>
              <w:rPr>
                <w:color w:val="1F2933"/>
                <w:sz w:val="16"/>
              </w:rPr>
              <w:t>Approximately 16 GB limits working state</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HBF</w:t>
            </w:r>
          </w:p>
        </w:tc>
        <w:tc>
          <w:tcPr>
            <w:tcW w:type="dxa" w:w="2592"/>
            <w:vAlign w:val="center"/>
            <w:tcMar>
              <w:top w:w="90" w:type="dxa"/>
              <w:start w:w="100" w:type="dxa"/>
              <w:bottom w:w="90" w:type="dxa"/>
              <w:end w:w="100" w:type="dxa"/>
            </w:tcMar>
          </w:tcPr>
          <w:p>
            <w:pPr>
              <w:spacing w:after="20" w:line="245" w:lineRule="auto"/>
            </w:pPr>
            <w:r>
              <w:rPr>
                <w:color w:val="1F2933"/>
                <w:sz w:val="16"/>
              </w:rPr>
              <w:t>Read-mostly vectors, features, weights, expert tables</w:t>
            </w:r>
          </w:p>
        </w:tc>
        <w:tc>
          <w:tcPr>
            <w:tcW w:type="dxa" w:w="3096"/>
            <w:vAlign w:val="center"/>
            <w:tcMar>
              <w:top w:w="90" w:type="dxa"/>
              <w:start w:w="100" w:type="dxa"/>
              <w:bottom w:w="90" w:type="dxa"/>
              <w:end w:w="100" w:type="dxa"/>
            </w:tcMar>
          </w:tcPr>
          <w:p>
            <w:pPr>
              <w:spacing w:after="20" w:line="245" w:lineRule="auto"/>
            </w:pPr>
            <w:r>
              <w:rPr>
                <w:color w:val="1F2933"/>
                <w:sz w:val="16"/>
              </w:rPr>
              <w:t>128 GB persistent local capacity at ~200 GB/s</w:t>
            </w:r>
          </w:p>
        </w:tc>
        <w:tc>
          <w:tcPr>
            <w:tcW w:type="dxa" w:w="2952"/>
            <w:vAlign w:val="center"/>
            <w:tcMar>
              <w:top w:w="90" w:type="dxa"/>
              <w:start w:w="100" w:type="dxa"/>
              <w:bottom w:w="90" w:type="dxa"/>
              <w:end w:w="100" w:type="dxa"/>
            </w:tcMar>
          </w:tcPr>
          <w:p>
            <w:pPr>
              <w:spacing w:after="20" w:line="245" w:lineRule="auto"/>
            </w:pPr>
            <w:r>
              <w:rPr>
                <w:color w:val="1F2933"/>
                <w:sz w:val="16"/>
              </w:rPr>
              <w:t>Slower than HBM; endurance/update behavior matters</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6"/>
              </w:rPr>
              <w:t>Host DRAM</w:t>
            </w:r>
          </w:p>
        </w:tc>
        <w:tc>
          <w:tcPr>
            <w:tcW w:type="dxa" w:w="2592"/>
            <w:vAlign w:val="center"/>
            <w:tcMar>
              <w:top w:w="90" w:type="dxa"/>
              <w:start w:w="100" w:type="dxa"/>
              <w:bottom w:w="90" w:type="dxa"/>
              <w:end w:w="100" w:type="dxa"/>
            </w:tcMar>
            <w:shd w:fill="F4F7F9"/>
          </w:tcPr>
          <w:p>
            <w:pPr>
              <w:spacing w:after="20" w:line="245" w:lineRule="auto"/>
            </w:pPr>
            <w:r>
              <w:rPr>
                <w:color w:val="1F2933"/>
                <w:sz w:val="16"/>
              </w:rPr>
              <w:t>Indexes, metadata, application state</w:t>
            </w:r>
          </w:p>
        </w:tc>
        <w:tc>
          <w:tcPr>
            <w:tcW w:type="dxa" w:w="3096"/>
            <w:vAlign w:val="center"/>
            <w:tcMar>
              <w:top w:w="90" w:type="dxa"/>
              <w:start w:w="100" w:type="dxa"/>
              <w:bottom w:w="90" w:type="dxa"/>
              <w:end w:w="100" w:type="dxa"/>
            </w:tcMar>
            <w:shd w:fill="F4F7F9"/>
          </w:tcPr>
          <w:p>
            <w:pPr>
              <w:spacing w:after="20" w:line="245" w:lineRule="auto"/>
            </w:pPr>
            <w:r>
              <w:rPr>
                <w:color w:val="1F2933"/>
                <w:sz w:val="16"/>
              </w:rPr>
              <w:t>Mature, flexible, coherent</w:t>
            </w:r>
          </w:p>
        </w:tc>
        <w:tc>
          <w:tcPr>
            <w:tcW w:type="dxa" w:w="2952"/>
            <w:vAlign w:val="center"/>
            <w:tcMar>
              <w:top w:w="90" w:type="dxa"/>
              <w:start w:w="100" w:type="dxa"/>
              <w:bottom w:w="90" w:type="dxa"/>
              <w:end w:w="100" w:type="dxa"/>
            </w:tcMar>
            <w:shd w:fill="F4F7F9"/>
          </w:tcPr>
          <w:p>
            <w:pPr>
              <w:spacing w:after="20" w:line="245" w:lineRule="auto"/>
            </w:pPr>
            <w:r>
              <w:rPr>
                <w:color w:val="1F2933"/>
                <w:sz w:val="16"/>
              </w:rPr>
              <w:t>Power, cost and host bandwidth</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NVMe/object storage</w:t>
            </w:r>
          </w:p>
        </w:tc>
        <w:tc>
          <w:tcPr>
            <w:tcW w:type="dxa" w:w="2592"/>
            <w:vAlign w:val="center"/>
            <w:tcMar>
              <w:top w:w="90" w:type="dxa"/>
              <w:start w:w="100" w:type="dxa"/>
              <w:bottom w:w="90" w:type="dxa"/>
              <w:end w:w="100" w:type="dxa"/>
            </w:tcMar>
          </w:tcPr>
          <w:p>
            <w:pPr>
              <w:spacing w:after="20" w:line="245" w:lineRule="auto"/>
            </w:pPr>
            <w:r>
              <w:rPr>
                <w:color w:val="1F2933"/>
                <w:sz w:val="16"/>
              </w:rPr>
              <w:t>Original documents, media, cold vectors, snapshots</w:t>
            </w:r>
          </w:p>
        </w:tc>
        <w:tc>
          <w:tcPr>
            <w:tcW w:type="dxa" w:w="3096"/>
            <w:vAlign w:val="center"/>
            <w:tcMar>
              <w:top w:w="90" w:type="dxa"/>
              <w:start w:w="100" w:type="dxa"/>
              <w:bottom w:w="90" w:type="dxa"/>
              <w:end w:w="100" w:type="dxa"/>
            </w:tcMar>
          </w:tcPr>
          <w:p>
            <w:pPr>
              <w:spacing w:after="20" w:line="245" w:lineRule="auto"/>
            </w:pPr>
            <w:r>
              <w:rPr>
                <w:color w:val="1F2933"/>
                <w:sz w:val="16"/>
              </w:rPr>
              <w:t>Lowest cost and large capacity</w:t>
            </w:r>
          </w:p>
        </w:tc>
        <w:tc>
          <w:tcPr>
            <w:tcW w:type="dxa" w:w="2952"/>
            <w:vAlign w:val="center"/>
            <w:tcMar>
              <w:top w:w="90" w:type="dxa"/>
              <w:start w:w="100" w:type="dxa"/>
              <w:bottom w:w="90" w:type="dxa"/>
              <w:end w:w="100" w:type="dxa"/>
            </w:tcMar>
          </w:tcPr>
          <w:p>
            <w:pPr>
              <w:spacing w:after="20" w:line="245" w:lineRule="auto"/>
            </w:pPr>
            <w:r>
              <w:rPr>
                <w:color w:val="1F2933"/>
                <w:sz w:val="16"/>
              </w:rPr>
              <w:t>Lower bandwidth and higher access latency</w:t>
            </w:r>
          </w:p>
        </w:tc>
      </w:tr>
    </w:tbl>
    <w:p>
      <w:pPr>
        <w:spacing w:after="20"/>
      </w:pPr>
    </w:p>
    <w:p>
      <w:pPr>
        <w:pStyle w:val="Heading1"/>
      </w:pPr>
      <w:r>
        <w:t>1.2 Product boundaries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In scope</w:t>
            </w:r>
          </w:p>
        </w:tc>
        <w:tc>
          <w:tcPr>
            <w:tcW w:type="dxa" w:w="5083"/>
            <w:shd w:fill="13263D"/>
            <w:vAlign w:val="center"/>
            <w:tcMar>
              <w:top w:w="90" w:type="dxa"/>
              <w:start w:w="100" w:type="dxa"/>
              <w:bottom w:w="90" w:type="dxa"/>
              <w:end w:w="100" w:type="dxa"/>
            </w:tcMar>
          </w:tcPr>
          <w:p>
            <w:r>
              <w:rPr>
                <w:b/>
                <w:color w:val="FFFFFF"/>
                <w:sz w:val="16"/>
              </w:rPr>
              <w:t>Not Sandisk’s lead responsibility</w:t>
            </w:r>
          </w:p>
        </w:tc>
      </w:tr>
      <w:tr>
        <w:trPr>
          <w:cantSplit/>
        </w:trPr>
        <w:tc>
          <w:tcPr>
            <w:tcW w:type="dxa" w:w="5184"/>
            <w:vAlign w:val="center"/>
            <w:tcMar>
              <w:top w:w="90" w:type="dxa"/>
              <w:start w:w="100" w:type="dxa"/>
              <w:bottom w:w="90" w:type="dxa"/>
              <w:end w:w="100" w:type="dxa"/>
            </w:tcMar>
          </w:tcPr>
          <w:p>
            <w:pPr>
              <w:spacing w:after="20" w:line="245" w:lineRule="auto"/>
            </w:pPr>
            <w:r>
              <w:rPr>
                <w:color w:val="1F2933"/>
                <w:sz w:val="16"/>
              </w:rPr>
              <w:t>HBF media architecture, controller, ECC, reliability and telemetry</w:t>
            </w:r>
          </w:p>
        </w:tc>
        <w:tc>
          <w:tcPr>
            <w:tcW w:type="dxa" w:w="5184"/>
            <w:vAlign w:val="center"/>
            <w:tcMar>
              <w:top w:w="90" w:type="dxa"/>
              <w:start w:w="100" w:type="dxa"/>
              <w:bottom w:w="90" w:type="dxa"/>
              <w:end w:w="100" w:type="dxa"/>
            </w:tcMar>
          </w:tcPr>
          <w:p>
            <w:pPr>
              <w:spacing w:after="20" w:line="245" w:lineRule="auto"/>
            </w:pPr>
            <w:r>
              <w:rPr>
                <w:color w:val="1F2933"/>
                <w:sz w:val="16"/>
              </w:rPr>
              <w:t>Customer-facing RAG or search API</w:t>
            </w:r>
          </w:p>
        </w:tc>
      </w:tr>
      <w:tr>
        <w:trPr>
          <w:cantSplit/>
        </w:trPr>
        <w:tc>
          <w:tcPr>
            <w:tcW w:type="dxa" w:w="5184"/>
            <w:vAlign w:val="center"/>
            <w:tcMar>
              <w:top w:w="90" w:type="dxa"/>
              <w:start w:w="100" w:type="dxa"/>
              <w:bottom w:w="90" w:type="dxa"/>
              <w:end w:w="100" w:type="dxa"/>
            </w:tcMar>
            <w:shd w:fill="F4F7F9"/>
          </w:tcPr>
          <w:p>
            <w:pPr>
              <w:spacing w:after="20" w:line="245" w:lineRule="auto"/>
            </w:pPr>
            <w:r>
              <w:rPr>
                <w:color w:val="1F2933"/>
                <w:sz w:val="16"/>
              </w:rPr>
              <w:t>E3.S electrical/mechanical/thermal device</w:t>
            </w:r>
          </w:p>
        </w:tc>
        <w:tc>
          <w:tcPr>
            <w:tcW w:type="dxa" w:w="5184"/>
            <w:vAlign w:val="center"/>
            <w:tcMar>
              <w:top w:w="90" w:type="dxa"/>
              <w:start w:w="100" w:type="dxa"/>
              <w:bottom w:w="90" w:type="dxa"/>
              <w:end w:w="100" w:type="dxa"/>
            </w:tcMar>
            <w:shd w:fill="F4F7F9"/>
          </w:tcPr>
          <w:p>
            <w:pPr>
              <w:spacing w:after="20" w:line="245" w:lineRule="auto"/>
            </w:pPr>
            <w:r>
              <w:rPr>
                <w:color w:val="1F2933"/>
                <w:sz w:val="16"/>
              </w:rPr>
              <w:t>Replacement for Milvus or a cloud search control plane</w:t>
            </w:r>
          </w:p>
        </w:tc>
      </w:tr>
      <w:tr>
        <w:trPr>
          <w:cantSplit/>
        </w:trPr>
        <w:tc>
          <w:tcPr>
            <w:tcW w:type="dxa" w:w="5184"/>
            <w:vAlign w:val="center"/>
            <w:tcMar>
              <w:top w:w="90" w:type="dxa"/>
              <w:start w:w="100" w:type="dxa"/>
              <w:bottom w:w="90" w:type="dxa"/>
              <w:end w:w="100" w:type="dxa"/>
            </w:tcMar>
          </w:tcPr>
          <w:p>
            <w:pPr>
              <w:spacing w:after="20" w:line="245" w:lineRule="auto"/>
            </w:pPr>
            <w:r>
              <w:rPr>
                <w:color w:val="1F2933"/>
                <w:sz w:val="16"/>
              </w:rPr>
              <w:t>Linux driver, queues, DMA, firmware lifecycle and health</w:t>
            </w:r>
          </w:p>
        </w:tc>
        <w:tc>
          <w:tcPr>
            <w:tcW w:type="dxa" w:w="5184"/>
            <w:vAlign w:val="center"/>
            <w:tcMar>
              <w:top w:w="90" w:type="dxa"/>
              <w:start w:w="100" w:type="dxa"/>
              <w:bottom w:w="90" w:type="dxa"/>
              <w:end w:w="100" w:type="dxa"/>
            </w:tcMar>
          </w:tcPr>
          <w:p>
            <w:pPr>
              <w:spacing w:after="20" w:line="245" w:lineRule="auto"/>
            </w:pPr>
            <w:r>
              <w:rPr>
                <w:color w:val="1F2933"/>
                <w:sz w:val="16"/>
              </w:rPr>
              <w:t>Workflow orchestration such as LangGraph</w:t>
            </w:r>
          </w:p>
        </w:tc>
      </w:tr>
      <w:tr>
        <w:trPr>
          <w:cantSplit/>
        </w:trPr>
        <w:tc>
          <w:tcPr>
            <w:tcW w:type="dxa" w:w="5184"/>
            <w:vAlign w:val="center"/>
            <w:tcMar>
              <w:top w:w="90" w:type="dxa"/>
              <w:start w:w="100" w:type="dxa"/>
              <w:bottom w:w="90" w:type="dxa"/>
              <w:end w:w="100" w:type="dxa"/>
            </w:tcMar>
            <w:shd w:fill="F4F7F9"/>
          </w:tcPr>
          <w:p>
            <w:pPr>
              <w:spacing w:after="20" w:line="245" w:lineRule="auto"/>
            </w:pPr>
            <w:r>
              <w:rPr>
                <w:color w:val="1F2933"/>
                <w:sz w:val="16"/>
              </w:rPr>
              <w:t>NPU runtime and supported low-level primitives</w:t>
            </w:r>
          </w:p>
        </w:tc>
        <w:tc>
          <w:tcPr>
            <w:tcW w:type="dxa" w:w="5184"/>
            <w:vAlign w:val="center"/>
            <w:tcMar>
              <w:top w:w="90" w:type="dxa"/>
              <w:start w:w="100" w:type="dxa"/>
              <w:bottom w:w="90" w:type="dxa"/>
              <w:end w:w="100" w:type="dxa"/>
            </w:tcMar>
            <w:shd w:fill="F4F7F9"/>
          </w:tcPr>
          <w:p>
            <w:pPr>
              <w:spacing w:after="20" w:line="245" w:lineRule="auto"/>
            </w:pPr>
            <w:r>
              <w:rPr>
                <w:color w:val="1F2933"/>
                <w:sz w:val="16"/>
              </w:rPr>
              <w:t>Document parsing, chunking and application logic</w:t>
            </w:r>
          </w:p>
        </w:tc>
      </w:tr>
      <w:tr>
        <w:trPr>
          <w:cantSplit/>
        </w:trPr>
        <w:tc>
          <w:tcPr>
            <w:tcW w:type="dxa" w:w="5184"/>
            <w:vAlign w:val="center"/>
            <w:tcMar>
              <w:top w:w="90" w:type="dxa"/>
              <w:start w:w="100" w:type="dxa"/>
              <w:bottom w:w="90" w:type="dxa"/>
              <w:end w:w="100" w:type="dxa"/>
            </w:tcMar>
          </w:tcPr>
          <w:p>
            <w:pPr>
              <w:spacing w:after="20" w:line="245" w:lineRule="auto"/>
            </w:pPr>
            <w:r>
              <w:rPr>
                <w:color w:val="1F2933"/>
                <w:sz w:val="16"/>
              </w:rPr>
              <w:t>Reference integration and partner enablement kit</w:t>
            </w:r>
          </w:p>
        </w:tc>
        <w:tc>
          <w:tcPr>
            <w:tcW w:type="dxa" w:w="5184"/>
            <w:vAlign w:val="center"/>
            <w:tcMar>
              <w:top w:w="90" w:type="dxa"/>
              <w:start w:w="100" w:type="dxa"/>
              <w:bottom w:w="90" w:type="dxa"/>
              <w:end w:w="100" w:type="dxa"/>
            </w:tcMar>
          </w:tcPr>
          <w:p>
            <w:pPr>
              <w:spacing w:after="20" w:line="245" w:lineRule="auto"/>
            </w:pPr>
            <w:r>
              <w:rPr>
                <w:color w:val="1F2933"/>
                <w:sz w:val="16"/>
              </w:rPr>
              <w:t>A universal model-serving framework on day one</w:t>
            </w:r>
          </w:p>
        </w:tc>
      </w:tr>
      <w:tr>
        <w:trPr>
          <w:cantSplit/>
        </w:trPr>
        <w:tc>
          <w:tcPr>
            <w:tcW w:type="dxa" w:w="5184"/>
            <w:vAlign w:val="center"/>
            <w:tcMar>
              <w:top w:w="90" w:type="dxa"/>
              <w:start w:w="100" w:type="dxa"/>
              <w:bottom w:w="90" w:type="dxa"/>
              <w:end w:w="100" w:type="dxa"/>
            </w:tcMar>
            <w:shd w:fill="F4F7F9"/>
          </w:tcPr>
          <w:p>
            <w:pPr>
              <w:spacing w:after="20" w:line="245" w:lineRule="auto"/>
            </w:pPr>
            <w:r>
              <w:rPr>
                <w:color w:val="1F2933"/>
                <w:sz w:val="16"/>
              </w:rPr>
              <w:t>Measured workloads, reference designs and claims governance</w:t>
            </w:r>
          </w:p>
        </w:tc>
        <w:tc>
          <w:tcPr>
            <w:tcW w:type="dxa" w:w="5184"/>
            <w:vAlign w:val="center"/>
            <w:tcMar>
              <w:top w:w="90" w:type="dxa"/>
              <w:start w:w="100" w:type="dxa"/>
              <w:bottom w:w="90" w:type="dxa"/>
              <w:end w:w="100" w:type="dxa"/>
            </w:tcMar>
            <w:shd w:fill="F4F7F9"/>
          </w:tcPr>
          <w:p>
            <w:pPr>
              <w:spacing w:after="20" w:line="245" w:lineRule="auto"/>
            </w:pPr>
            <w:r>
              <w:rPr>
                <w:color w:val="1F2933"/>
                <w:sz w:val="16"/>
              </w:rPr>
              <w:t>Training, large-scale fine-tuning or frontier-model replacement</w:t>
            </w:r>
          </w:p>
        </w:tc>
      </w:tr>
    </w:tbl>
    <w:p>
      <w:pPr>
        <w:spacing w:after="20"/>
      </w:pPr>
    </w:p>
    <w:p>
      <w:r>
        <w:br w:type="page"/>
      </w:r>
    </w:p>
    <w:p>
      <w:pPr>
        <w:pStyle w:val="Title"/>
      </w:pPr>
      <w:r>
        <w:t>2. Current State Without ATMOS and the Change Hypothesis</w:t>
      </w:r>
    </w:p>
    <w:p>
      <w:r>
        <w:t>Today, enterprise and cloud retrieval stacks combine CPU/DRAM query nodes, NVMe or object storage, optional GPUs for ANN and reranking, and GPU/TPU/custom accelerators for heavy ranking or generation. Milvus separates storage, coordination and query execution, which provides a natural integration point for a specialized data-plane backend. GPU indexes can improve throughput, but Milvus documentation cautions that GPU use does not automatically improve single-query latency and is most beneficial under high request pressure or larger query batches. [S1][S2][S3]</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5"/>
              </w:rPr>
              <w:t>Dimension</w:t>
            </w:r>
          </w:p>
        </w:tc>
        <w:tc>
          <w:tcPr>
            <w:tcW w:type="dxa" w:w="2541"/>
            <w:shd w:fill="13263D"/>
            <w:vAlign w:val="center"/>
            <w:tcMar>
              <w:top w:w="90" w:type="dxa"/>
              <w:start w:w="100" w:type="dxa"/>
              <w:bottom w:w="90" w:type="dxa"/>
              <w:end w:w="100" w:type="dxa"/>
            </w:tcMar>
          </w:tcPr>
          <w:p>
            <w:r>
              <w:rPr>
                <w:b/>
                <w:color w:val="FFFFFF"/>
                <w:sz w:val="15"/>
              </w:rPr>
              <w:t>Typical state today</w:t>
            </w:r>
          </w:p>
        </w:tc>
        <w:tc>
          <w:tcPr>
            <w:tcW w:type="dxa" w:w="2541"/>
            <w:shd w:fill="13263D"/>
            <w:vAlign w:val="center"/>
            <w:tcMar>
              <w:top w:w="90" w:type="dxa"/>
              <w:start w:w="100" w:type="dxa"/>
              <w:bottom w:w="90" w:type="dxa"/>
              <w:end w:w="100" w:type="dxa"/>
            </w:tcMar>
          </w:tcPr>
          <w:p>
            <w:r>
              <w:rPr>
                <w:b/>
                <w:color w:val="FFFFFF"/>
                <w:sz w:val="15"/>
              </w:rPr>
              <w:t>ATMOS change hypothesis</w:t>
            </w:r>
          </w:p>
        </w:tc>
        <w:tc>
          <w:tcPr>
            <w:tcW w:type="dxa" w:w="2541"/>
            <w:shd w:fill="13263D"/>
            <w:vAlign w:val="center"/>
            <w:tcMar>
              <w:top w:w="90" w:type="dxa"/>
              <w:start w:w="100" w:type="dxa"/>
              <w:bottom w:w="90" w:type="dxa"/>
              <w:end w:w="100" w:type="dxa"/>
            </w:tcMar>
          </w:tcPr>
          <w:p>
            <w:r>
              <w:rPr>
                <w:b/>
                <w:color w:val="FFFFFF"/>
                <w:sz w:val="15"/>
              </w:rPr>
              <w:t>Proof required</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Index capacity</w:t>
            </w:r>
          </w:p>
        </w:tc>
        <w:tc>
          <w:tcPr>
            <w:tcW w:type="dxa" w:w="2880"/>
            <w:vAlign w:val="center"/>
            <w:tcMar>
              <w:top w:w="90" w:type="dxa"/>
              <w:start w:w="100" w:type="dxa"/>
              <w:bottom w:w="90" w:type="dxa"/>
              <w:end w:w="100" w:type="dxa"/>
            </w:tcMar>
          </w:tcPr>
          <w:p>
            <w:pPr>
              <w:spacing w:after="20" w:line="245" w:lineRule="auto"/>
            </w:pPr>
            <w:r>
              <w:rPr>
                <w:color w:val="1F2933"/>
                <w:sz w:val="15"/>
              </w:rPr>
              <w:t>Hot index in host DRAM or GPU memory; full vectors may live on SSD</w:t>
            </w:r>
          </w:p>
        </w:tc>
        <w:tc>
          <w:tcPr>
            <w:tcW w:type="dxa" w:w="3240"/>
            <w:vAlign w:val="center"/>
            <w:tcMar>
              <w:top w:w="90" w:type="dxa"/>
              <w:start w:w="100" w:type="dxa"/>
              <w:bottom w:w="90" w:type="dxa"/>
              <w:end w:w="100" w:type="dxa"/>
            </w:tcMar>
          </w:tcPr>
          <w:p>
            <w:pPr>
              <w:spacing w:after="20" w:line="245" w:lineRule="auto"/>
            </w:pPr>
            <w:r>
              <w:rPr>
                <w:color w:val="1F2933"/>
                <w:sz w:val="15"/>
              </w:rPr>
              <w:t>Keep richer 50–110 GB shard local and persistent</w:t>
            </w:r>
          </w:p>
        </w:tc>
        <w:tc>
          <w:tcPr>
            <w:tcW w:type="dxa" w:w="2592"/>
            <w:vAlign w:val="center"/>
            <w:tcMar>
              <w:top w:w="90" w:type="dxa"/>
              <w:start w:w="100" w:type="dxa"/>
              <w:bottom w:w="90" w:type="dxa"/>
              <w:end w:w="100" w:type="dxa"/>
            </w:tcMar>
          </w:tcPr>
          <w:p>
            <w:pPr>
              <w:spacing w:after="20" w:line="245" w:lineRule="auto"/>
            </w:pPr>
            <w:r>
              <w:rPr>
                <w:color w:val="1F2933"/>
                <w:sz w:val="15"/>
              </w:rPr>
              <w:t>Usable capacity, recovery and update model</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Latency</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ANN may be fast; refinement/reranking adds stages and queueing</w:t>
            </w:r>
          </w:p>
        </w:tc>
        <w:tc>
          <w:tcPr>
            <w:tcW w:type="dxa" w:w="3240"/>
            <w:vAlign w:val="center"/>
            <w:tcMar>
              <w:top w:w="90" w:type="dxa"/>
              <w:start w:w="100" w:type="dxa"/>
              <w:bottom w:w="90" w:type="dxa"/>
              <w:end w:w="100" w:type="dxa"/>
            </w:tcMar>
            <w:shd w:fill="F4F7F9"/>
          </w:tcPr>
          <w:p>
            <w:pPr>
              <w:spacing w:after="20" w:line="245" w:lineRule="auto"/>
            </w:pPr>
            <w:r>
              <w:rPr>
                <w:color w:val="1F2933"/>
                <w:sz w:val="15"/>
              </w:rPr>
              <w:t>Do selective reads and scoring in one device</w:t>
            </w:r>
          </w:p>
        </w:tc>
        <w:tc>
          <w:tcPr>
            <w:tcW w:type="dxa" w:w="2592"/>
            <w:vAlign w:val="center"/>
            <w:tcMar>
              <w:top w:w="90" w:type="dxa"/>
              <w:start w:w="100" w:type="dxa"/>
              <w:bottom w:w="90" w:type="dxa"/>
              <w:end w:w="100" w:type="dxa"/>
            </w:tcMar>
            <w:shd w:fill="F4F7F9"/>
          </w:tcPr>
          <w:p>
            <w:pPr>
              <w:spacing w:after="20" w:line="245" w:lineRule="auto"/>
            </w:pPr>
            <w:r>
              <w:rPr>
                <w:color w:val="1F2933"/>
                <w:sz w:val="15"/>
              </w:rPr>
              <w:t>End-to-end p99, not media-only latency</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Throughput</w:t>
            </w:r>
          </w:p>
        </w:tc>
        <w:tc>
          <w:tcPr>
            <w:tcW w:type="dxa" w:w="2880"/>
            <w:vAlign w:val="center"/>
            <w:tcMar>
              <w:top w:w="90" w:type="dxa"/>
              <w:start w:w="100" w:type="dxa"/>
              <w:bottom w:w="90" w:type="dxa"/>
              <w:end w:w="100" w:type="dxa"/>
            </w:tcMar>
          </w:tcPr>
          <w:p>
            <w:pPr>
              <w:spacing w:after="20" w:line="245" w:lineRule="auto"/>
            </w:pPr>
            <w:r>
              <w:rPr>
                <w:color w:val="1F2933"/>
                <w:sz w:val="15"/>
              </w:rPr>
              <w:t>Scale by CPU cores, replicas, GPUs or distributed shards</w:t>
            </w:r>
          </w:p>
        </w:tc>
        <w:tc>
          <w:tcPr>
            <w:tcW w:type="dxa" w:w="3240"/>
            <w:vAlign w:val="center"/>
            <w:tcMar>
              <w:top w:w="90" w:type="dxa"/>
              <w:start w:w="100" w:type="dxa"/>
              <w:bottom w:w="90" w:type="dxa"/>
              <w:end w:w="100" w:type="dxa"/>
            </w:tcMar>
          </w:tcPr>
          <w:p>
            <w:pPr>
              <w:spacing w:after="20" w:line="245" w:lineRule="auto"/>
            </w:pPr>
            <w:r>
              <w:rPr>
                <w:color w:val="1F2933"/>
                <w:sz w:val="15"/>
              </w:rPr>
              <w:t>Add independent E3.S refinement shards</w:t>
            </w:r>
          </w:p>
        </w:tc>
        <w:tc>
          <w:tcPr>
            <w:tcW w:type="dxa" w:w="2592"/>
            <w:vAlign w:val="center"/>
            <w:tcMar>
              <w:top w:w="90" w:type="dxa"/>
              <w:start w:w="100" w:type="dxa"/>
              <w:bottom w:w="90" w:type="dxa"/>
              <w:end w:w="100" w:type="dxa"/>
            </w:tcMar>
          </w:tcPr>
          <w:p>
            <w:pPr>
              <w:spacing w:after="20" w:line="245" w:lineRule="auto"/>
            </w:pPr>
            <w:r>
              <w:rPr>
                <w:color w:val="1F2933"/>
                <w:sz w:val="15"/>
              </w:rPr>
              <w:t>Linear scaling and no PCIe/backplane bottleneck</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Quality</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Compression and small candidate counts can reduce recall</w:t>
            </w:r>
          </w:p>
        </w:tc>
        <w:tc>
          <w:tcPr>
            <w:tcW w:type="dxa" w:w="3240"/>
            <w:vAlign w:val="center"/>
            <w:tcMar>
              <w:top w:w="90" w:type="dxa"/>
              <w:start w:w="100" w:type="dxa"/>
              <w:bottom w:w="90" w:type="dxa"/>
              <w:end w:w="100" w:type="dxa"/>
            </w:tcMar>
            <w:shd w:fill="F4F7F9"/>
          </w:tcPr>
          <w:p>
            <w:pPr>
              <w:spacing w:after="20" w:line="245" w:lineRule="auto"/>
            </w:pPr>
            <w:r>
              <w:rPr>
                <w:color w:val="1F2933"/>
                <w:sz w:val="15"/>
              </w:rPr>
              <w:t>Keep richer vectors and more candidates</w:t>
            </w:r>
          </w:p>
        </w:tc>
        <w:tc>
          <w:tcPr>
            <w:tcW w:type="dxa" w:w="2592"/>
            <w:vAlign w:val="center"/>
            <w:tcMar>
              <w:top w:w="90" w:type="dxa"/>
              <w:start w:w="100" w:type="dxa"/>
              <w:bottom w:w="90" w:type="dxa"/>
              <w:end w:w="100" w:type="dxa"/>
            </w:tcMar>
            <w:shd w:fill="F4F7F9"/>
          </w:tcPr>
          <w:p>
            <w:pPr>
              <w:spacing w:after="20" w:line="245" w:lineRule="auto"/>
            </w:pPr>
            <w:r>
              <w:rPr>
                <w:color w:val="1F2933"/>
                <w:sz w:val="15"/>
              </w:rPr>
              <w:t>Recall/NDCG at fixed p99 and power</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Cost</w:t>
            </w:r>
          </w:p>
        </w:tc>
        <w:tc>
          <w:tcPr>
            <w:tcW w:type="dxa" w:w="2880"/>
            <w:vAlign w:val="center"/>
            <w:tcMar>
              <w:top w:w="90" w:type="dxa"/>
              <w:start w:w="100" w:type="dxa"/>
              <w:bottom w:w="90" w:type="dxa"/>
              <w:end w:w="100" w:type="dxa"/>
            </w:tcMar>
          </w:tcPr>
          <w:p>
            <w:pPr>
              <w:spacing w:after="20" w:line="245" w:lineRule="auto"/>
            </w:pPr>
            <w:r>
              <w:rPr>
                <w:color w:val="1F2933"/>
                <w:sz w:val="15"/>
              </w:rPr>
              <w:t>DRAM-heavy nodes or GPU memory reserved for retrieval</w:t>
            </w:r>
          </w:p>
        </w:tc>
        <w:tc>
          <w:tcPr>
            <w:tcW w:type="dxa" w:w="3240"/>
            <w:vAlign w:val="center"/>
            <w:tcMar>
              <w:top w:w="90" w:type="dxa"/>
              <w:start w:w="100" w:type="dxa"/>
              <w:bottom w:w="90" w:type="dxa"/>
              <w:end w:w="100" w:type="dxa"/>
            </w:tcMar>
          </w:tcPr>
          <w:p>
            <w:pPr>
              <w:spacing w:after="20" w:line="245" w:lineRule="auto"/>
            </w:pPr>
            <w:r>
              <w:rPr>
                <w:color w:val="1F2933"/>
                <w:sz w:val="15"/>
              </w:rPr>
              <w:t>Reduce DRAM, SSD I/O and expensive ranker work</w:t>
            </w:r>
          </w:p>
        </w:tc>
        <w:tc>
          <w:tcPr>
            <w:tcW w:type="dxa" w:w="2592"/>
            <w:vAlign w:val="center"/>
            <w:tcMar>
              <w:top w:w="90" w:type="dxa"/>
              <w:start w:w="100" w:type="dxa"/>
              <w:bottom w:w="90" w:type="dxa"/>
              <w:end w:w="100" w:type="dxa"/>
            </w:tcMar>
          </w:tcPr>
          <w:p>
            <w:pPr>
              <w:spacing w:after="20" w:line="245" w:lineRule="auto"/>
            </w:pPr>
            <w:r>
              <w:rPr>
                <w:color w:val="1F2933"/>
                <w:sz w:val="15"/>
              </w:rPr>
              <w:t>TCO at customer load and HA reserve</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Power</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CPU/GPU fleets often overprovisioned for tail latency</w:t>
            </w:r>
          </w:p>
        </w:tc>
        <w:tc>
          <w:tcPr>
            <w:tcW w:type="dxa" w:w="3240"/>
            <w:vAlign w:val="center"/>
            <w:tcMar>
              <w:top w:w="90" w:type="dxa"/>
              <w:start w:w="100" w:type="dxa"/>
              <w:bottom w:w="90" w:type="dxa"/>
              <w:end w:w="100" w:type="dxa"/>
            </w:tcMar>
            <w:shd w:fill="F4F7F9"/>
          </w:tcPr>
          <w:p>
            <w:pPr>
              <w:spacing w:after="20" w:line="245" w:lineRule="auto"/>
            </w:pPr>
            <w:r>
              <w:rPr>
                <w:color w:val="1F2933"/>
                <w:sz w:val="15"/>
              </w:rPr>
              <w:t>Use lower-power role-specific devices</w:t>
            </w:r>
          </w:p>
        </w:tc>
        <w:tc>
          <w:tcPr>
            <w:tcW w:type="dxa" w:w="2592"/>
            <w:vAlign w:val="center"/>
            <w:tcMar>
              <w:top w:w="90" w:type="dxa"/>
              <w:start w:w="100" w:type="dxa"/>
              <w:bottom w:w="90" w:type="dxa"/>
              <w:end w:w="100" w:type="dxa"/>
            </w:tcMar>
            <w:shd w:fill="F4F7F9"/>
          </w:tcPr>
          <w:p>
            <w:pPr>
              <w:spacing w:after="20" w:line="245" w:lineRule="auto"/>
            </w:pPr>
            <w:r>
              <w:rPr>
                <w:color w:val="1F2933"/>
                <w:sz w:val="15"/>
              </w:rPr>
              <w:t>Accepted queries/W and rack thermal impact</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Recovery</w:t>
            </w:r>
          </w:p>
        </w:tc>
        <w:tc>
          <w:tcPr>
            <w:tcW w:type="dxa" w:w="2880"/>
            <w:vAlign w:val="center"/>
            <w:tcMar>
              <w:top w:w="90" w:type="dxa"/>
              <w:start w:w="100" w:type="dxa"/>
              <w:bottom w:w="90" w:type="dxa"/>
              <w:end w:w="100" w:type="dxa"/>
            </w:tcMar>
          </w:tcPr>
          <w:p>
            <w:pPr>
              <w:spacing w:after="20" w:line="245" w:lineRule="auto"/>
            </w:pPr>
            <w:r>
              <w:rPr>
                <w:color w:val="1F2933"/>
                <w:sz w:val="15"/>
              </w:rPr>
              <w:t>Indexes/models are read from persistent storage into DRAM/VRAM</w:t>
            </w:r>
          </w:p>
        </w:tc>
        <w:tc>
          <w:tcPr>
            <w:tcW w:type="dxa" w:w="3240"/>
            <w:vAlign w:val="center"/>
            <w:tcMar>
              <w:top w:w="90" w:type="dxa"/>
              <w:start w:w="100" w:type="dxa"/>
              <w:bottom w:w="90" w:type="dxa"/>
              <w:end w:w="100" w:type="dxa"/>
            </w:tcMar>
          </w:tcPr>
          <w:p>
            <w:pPr>
              <w:spacing w:after="20" w:line="245" w:lineRule="auto"/>
            </w:pPr>
            <w:r>
              <w:rPr>
                <w:color w:val="1F2933"/>
                <w:sz w:val="15"/>
              </w:rPr>
              <w:t>Restart with data already resident on HBF</w:t>
            </w:r>
          </w:p>
        </w:tc>
        <w:tc>
          <w:tcPr>
            <w:tcW w:type="dxa" w:w="2592"/>
            <w:vAlign w:val="center"/>
            <w:tcMar>
              <w:top w:w="90" w:type="dxa"/>
              <w:start w:w="100" w:type="dxa"/>
              <w:bottom w:w="90" w:type="dxa"/>
              <w:end w:w="100" w:type="dxa"/>
            </w:tcMar>
          </w:tcPr>
          <w:p>
            <w:pPr>
              <w:spacing w:after="20" w:line="245" w:lineRule="auto"/>
            </w:pPr>
            <w:r>
              <w:rPr>
                <w:color w:val="1F2933"/>
                <w:sz w:val="15"/>
              </w:rPr>
              <w:t>Time to ready and operational simplicity</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Data movement</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Full vectors/features cross DDR, PCIe or network boundaries</w:t>
            </w:r>
          </w:p>
        </w:tc>
        <w:tc>
          <w:tcPr>
            <w:tcW w:type="dxa" w:w="3240"/>
            <w:vAlign w:val="center"/>
            <w:tcMar>
              <w:top w:w="90" w:type="dxa"/>
              <w:start w:w="100" w:type="dxa"/>
              <w:bottom w:w="90" w:type="dxa"/>
              <w:end w:w="100" w:type="dxa"/>
            </w:tcMar>
            <w:shd w:fill="F4F7F9"/>
          </w:tcPr>
          <w:p>
            <w:pPr>
              <w:spacing w:after="20" w:line="245" w:lineRule="auto"/>
            </w:pPr>
            <w:r>
              <w:rPr>
                <w:color w:val="1F2933"/>
                <w:sz w:val="15"/>
              </w:rPr>
              <w:t>Return only IDs, scores and compact top-k</w:t>
            </w:r>
          </w:p>
        </w:tc>
        <w:tc>
          <w:tcPr>
            <w:tcW w:type="dxa" w:w="2592"/>
            <w:vAlign w:val="center"/>
            <w:tcMar>
              <w:top w:w="90" w:type="dxa"/>
              <w:start w:w="100" w:type="dxa"/>
              <w:bottom w:w="90" w:type="dxa"/>
              <w:end w:w="100" w:type="dxa"/>
            </w:tcMar>
            <w:shd w:fill="F4F7F9"/>
          </w:tcPr>
          <w:p>
            <w:pPr>
              <w:spacing w:after="20" w:line="245" w:lineRule="auto"/>
            </w:pPr>
            <w:r>
              <w:rPr>
                <w:color w:val="1F2933"/>
                <w:sz w:val="15"/>
              </w:rPr>
              <w:t>Bytes/query and CPU/GPU interconnect relief</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CE8E6"/>
            <w:tcMar>
              <w:top w:w="150" w:type="dxa"/>
              <w:start w:w="180" w:type="dxa"/>
              <w:bottom w:w="150" w:type="dxa"/>
              <w:end w:w="180" w:type="dxa"/>
            </w:tcMar>
          </w:tcPr>
          <w:p>
            <w:pPr>
              <w:pStyle w:val="Callout"/>
            </w:pPr>
            <w:r>
              <w:t>No generic numerical latency or cost promise is credible before fixing dataset size, dimensions, datatype, index, recall target, candidate count, filter selectivity, concurrency, model, power and hardware. All POCs must compare at equal quality and equal SLO.</w:t>
            </w:r>
          </w:p>
        </w:tc>
      </w:tr>
    </w:tbl>
    <w:p>
      <w:pPr>
        <w:spacing w:after="20"/>
      </w:pPr>
    </w:p>
    <w:p>
      <w:pPr>
        <w:pStyle w:val="Title"/>
      </w:pPr>
      <w:r>
        <w:t>3. Enterprise Use-Case Portfolio</w:t>
      </w:r>
    </w:p>
    <w:p>
      <w:pPr>
        <w:pStyle w:val="Heading1"/>
      </w:pPr>
      <w:r>
        <w:t>3.1 Use Case E1: HBF-Resident Candidate Refinement</w:t>
      </w:r>
    </w:p>
    <w:p>
      <w:r>
        <w:t>Best-fit customer: a bank, healthcare network, insurer, legal firm, manufacturer or government organization with a moderate but high-value corpus. Milvus performs metadata filtering and coarse ANN retrieval. ATMOS holds full or lightly compressed document vectors for selected candidates, performs exact scoring and local top-k, and returns only compact IDs and scores.</w:t>
      </w:r>
    </w:p>
    <w:tbl>
      <w:tblPr>
        <w:tblW w:type="auto" w:w="0"/>
        <w:jc w:val="center"/>
        <w:tblLook w:firstColumn="1" w:firstRow="1" w:lastColumn="0" w:lastRow="0" w:noHBand="0" w:noVBand="1" w:val="04A0"/>
      </w:tblPr>
      <w:tblGrid>
        <w:gridCol w:w="10166"/>
      </w:tblGrid>
      <w:tr>
        <w:trPr>
          <w:cantSplit/>
        </w:trPr>
        <w:tc>
          <w:tcPr>
            <w:tcW w:type="dxa" w:w="10166"/>
            <w:shd w:fill="EAF1F5"/>
            <w:tcMar>
              <w:top w:w="150" w:type="dxa"/>
              <w:start w:w="180" w:type="dxa"/>
              <w:bottom w:w="150" w:type="dxa"/>
              <w:end w:w="180" w:type="dxa"/>
            </w:tcMar>
          </w:tcPr>
          <w:p>
            <w:pPr>
              <w:pStyle w:val="Callout"/>
            </w:pPr>
            <w:r>
              <w:t>Why HBF is active: every query fetches the rich representation of 1,000–10,000 candidates from HBF. The data is reused continuously, not loaded once.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Element</w:t>
            </w:r>
          </w:p>
        </w:tc>
        <w:tc>
          <w:tcPr>
            <w:tcW w:type="dxa" w:w="5083"/>
            <w:shd w:fill="13263D"/>
            <w:vAlign w:val="center"/>
            <w:tcMar>
              <w:top w:w="90" w:type="dxa"/>
              <w:start w:w="100" w:type="dxa"/>
              <w:bottom w:w="90" w:type="dxa"/>
              <w:end w:w="100" w:type="dxa"/>
            </w:tcMar>
          </w:tcPr>
          <w:p>
            <w:r>
              <w:rPr>
                <w:b/>
                <w:color w:val="FFFFFF"/>
                <w:sz w:val="16"/>
              </w:rPr>
              <w:t>Example design</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Corpus</w:t>
            </w:r>
          </w:p>
        </w:tc>
        <w:tc>
          <w:tcPr>
            <w:tcW w:type="dxa" w:w="8280"/>
            <w:vAlign w:val="center"/>
            <w:tcMar>
              <w:top w:w="90" w:type="dxa"/>
              <w:start w:w="100" w:type="dxa"/>
              <w:bottom w:w="90" w:type="dxa"/>
              <w:end w:w="100" w:type="dxa"/>
            </w:tcMar>
          </w:tcPr>
          <w:p>
            <w:pPr>
              <w:spacing w:after="20" w:line="245" w:lineRule="auto"/>
            </w:pPr>
            <w:r>
              <w:rPr>
                <w:color w:val="1F2933"/>
                <w:sz w:val="16"/>
              </w:rPr>
              <w:t>5–30 million chunks, depending on representation and replication</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Milvus role</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Collection lifecycle, metadata, filters, coarse ANN, consistency, routing and result assembly</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ATMOS HBF</w:t>
            </w:r>
          </w:p>
        </w:tc>
        <w:tc>
          <w:tcPr>
            <w:tcW w:type="dxa" w:w="8280"/>
            <w:vAlign w:val="center"/>
            <w:tcMar>
              <w:top w:w="90" w:type="dxa"/>
              <w:start w:w="100" w:type="dxa"/>
              <w:bottom w:w="90" w:type="dxa"/>
              <w:end w:w="100" w:type="dxa"/>
            </w:tcMar>
          </w:tcPr>
          <w:p>
            <w:pPr>
              <w:spacing w:after="20" w:line="245" w:lineRule="auto"/>
            </w:pPr>
            <w:r>
              <w:rPr>
                <w:color w:val="1F2933"/>
                <w:sz w:val="16"/>
              </w:rPr>
              <w:t>Full vectors, refinement vectors, codebooks, document-side model features</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NPU work</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Gather, normalization, inner product/cosine, top-k, optional lightweight rerank</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LPDDR/SRAM</w:t>
            </w:r>
          </w:p>
        </w:tc>
        <w:tc>
          <w:tcPr>
            <w:tcW w:type="dxa" w:w="8280"/>
            <w:vAlign w:val="center"/>
            <w:tcMar>
              <w:top w:w="90" w:type="dxa"/>
              <w:start w:w="100" w:type="dxa"/>
              <w:bottom w:w="90" w:type="dxa"/>
              <w:end w:w="100" w:type="dxa"/>
            </w:tcMar>
          </w:tcPr>
          <w:p>
            <w:pPr>
              <w:spacing w:after="20" w:line="245" w:lineRule="auto"/>
            </w:pPr>
            <w:r>
              <w:rPr>
                <w:color w:val="1F2933"/>
                <w:sz w:val="16"/>
              </w:rPr>
              <w:t>Query vectors, candidate lists, temporary score buffers and reductions</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Result</w:t>
            </w:r>
          </w:p>
        </w:tc>
        <w:tc>
          <w:tcPr>
            <w:tcW w:type="dxa" w:w="8280"/>
            <w:vAlign w:val="center"/>
            <w:tcMar>
              <w:top w:w="90" w:type="dxa"/>
              <w:start w:w="100" w:type="dxa"/>
              <w:bottom w:w="90" w:type="dxa"/>
              <w:end w:w="100" w:type="dxa"/>
            </w:tcMar>
            <w:shd w:fill="F4F7F9"/>
          </w:tcPr>
          <w:p>
            <w:pPr>
              <w:spacing w:after="20" w:line="245" w:lineRule="auto"/>
            </w:pPr>
            <w:r>
              <w:rPr>
                <w:color w:val="1F2933"/>
                <w:sz w:val="16"/>
              </w:rPr>
              <w:t>Top 50–200 IDs and scores returned to Milvus or the application tier</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Business outcome</w:t>
            </w:r>
          </w:p>
        </w:tc>
        <w:tc>
          <w:tcPr>
            <w:tcW w:type="dxa" w:w="8280"/>
            <w:vAlign w:val="center"/>
            <w:tcMar>
              <w:top w:w="90" w:type="dxa"/>
              <w:start w:w="100" w:type="dxa"/>
              <w:bottom w:w="90" w:type="dxa"/>
              <w:end w:w="100" w:type="dxa"/>
            </w:tcMar>
          </w:tcPr>
          <w:p>
            <w:pPr>
              <w:spacing w:after="20" w:line="245" w:lineRule="auto"/>
            </w:pPr>
            <w:r>
              <w:rPr>
                <w:color w:val="1F2933"/>
                <w:sz w:val="16"/>
              </w:rPr>
              <w:t>Higher recall at fixed p99; less DRAM/GPU memory; fewer weak candidates sent to the LLM</w:t>
            </w:r>
          </w:p>
        </w:tc>
      </w:tr>
    </w:tbl>
    <w:p>
      <w:pPr>
        <w:spacing w:after="20"/>
      </w:pPr>
    </w:p>
    <w:p>
      <w:r>
        <w:t>Illustrative sizing: 5,000 candidates × 1,024 dimensions × 2 bytes is 10.24 MB per query. The media-transfer floor at 200 GB/s is about 0.051 ms, but real latency will be dominated by access pattern, queueing, scoring, top-k, host overhead and software. The POC must measure useful goodput and p99 rather than quote the arithmetic floor.</w:t>
      </w:r>
    </w:p>
    <w:p>
      <w:pPr>
        <w:pStyle w:val="Heading1"/>
      </w:pPr>
      <w:r>
        <w:t>3.2 Use Case E2: Late-Interaction / Multi-Vector Retrieval</w:t>
      </w:r>
    </w:p>
    <w:p>
      <w:r>
        <w:t>Best-fit customer: regulated or technical search in which terminology and clause-level distinctions matter. Instead of one vector per chunk, the system uses multiple token-level or sub-passage vectors. Milvus narrows the corpus, and ATMOS scores richer document-side representations using max-sim or related aggregation.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Vertical</w:t>
            </w:r>
          </w:p>
        </w:tc>
        <w:tc>
          <w:tcPr>
            <w:tcW w:type="dxa" w:w="3389"/>
            <w:shd w:fill="13263D"/>
            <w:vAlign w:val="center"/>
            <w:tcMar>
              <w:top w:w="90" w:type="dxa"/>
              <w:start w:w="100" w:type="dxa"/>
              <w:bottom w:w="90" w:type="dxa"/>
              <w:end w:w="100" w:type="dxa"/>
            </w:tcMar>
          </w:tcPr>
          <w:p>
            <w:r>
              <w:rPr>
                <w:b/>
                <w:color w:val="FFFFFF"/>
                <w:sz w:val="16"/>
              </w:rPr>
              <w:t>Real workflow</w:t>
            </w:r>
          </w:p>
        </w:tc>
        <w:tc>
          <w:tcPr>
            <w:tcW w:type="dxa" w:w="3389"/>
            <w:shd w:fill="13263D"/>
            <w:vAlign w:val="center"/>
            <w:tcMar>
              <w:top w:w="90" w:type="dxa"/>
              <w:start w:w="100" w:type="dxa"/>
              <w:bottom w:w="90" w:type="dxa"/>
              <w:end w:w="100" w:type="dxa"/>
            </w:tcMar>
          </w:tcPr>
          <w:p>
            <w:r>
              <w:rPr>
                <w:b/>
                <w:color w:val="FFFFFF"/>
                <w:sz w:val="16"/>
              </w:rPr>
              <w:t>Why richer retrieval matters</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6"/>
              </w:rPr>
              <w:t>Financial services</w:t>
            </w:r>
          </w:p>
        </w:tc>
        <w:tc>
          <w:tcPr>
            <w:tcW w:type="dxa" w:w="4032"/>
            <w:vAlign w:val="center"/>
            <w:tcMar>
              <w:top w:w="90" w:type="dxa"/>
              <w:start w:w="100" w:type="dxa"/>
              <w:bottom w:w="90" w:type="dxa"/>
              <w:end w:w="100" w:type="dxa"/>
            </w:tcMar>
          </w:tcPr>
          <w:p>
            <w:pPr>
              <w:spacing w:after="20" w:line="245" w:lineRule="auto"/>
            </w:pPr>
            <w:r>
              <w:rPr>
                <w:color w:val="1F2933"/>
                <w:sz w:val="16"/>
              </w:rPr>
              <w:t>Policy, regulation, audit, investigation and communication search</w:t>
            </w:r>
          </w:p>
        </w:tc>
        <w:tc>
          <w:tcPr>
            <w:tcW w:type="dxa" w:w="4608"/>
            <w:vAlign w:val="center"/>
            <w:tcMar>
              <w:top w:w="90" w:type="dxa"/>
              <w:start w:w="100" w:type="dxa"/>
              <w:bottom w:w="90" w:type="dxa"/>
              <w:end w:w="100" w:type="dxa"/>
            </w:tcMar>
          </w:tcPr>
          <w:p>
            <w:pPr>
              <w:spacing w:after="20" w:line="245" w:lineRule="auto"/>
            </w:pPr>
            <w:r>
              <w:rPr>
                <w:color w:val="1F2933"/>
                <w:sz w:val="16"/>
              </w:rPr>
              <w:t>Similar terminology can represent very different obligations, exceptions and controls</w:t>
            </w:r>
          </w:p>
        </w:tc>
      </w:tr>
      <w:tr>
        <w:trPr>
          <w:cantSplit/>
        </w:trPr>
        <w:tc>
          <w:tcPr>
            <w:tcW w:type="dxa" w:w="1728"/>
            <w:vAlign w:val="center"/>
            <w:tcMar>
              <w:top w:w="90" w:type="dxa"/>
              <w:start w:w="100" w:type="dxa"/>
              <w:bottom w:w="90" w:type="dxa"/>
              <w:end w:w="100" w:type="dxa"/>
            </w:tcMar>
            <w:shd w:fill="F4F7F9"/>
          </w:tcPr>
          <w:p>
            <w:pPr>
              <w:spacing w:after="20" w:line="245" w:lineRule="auto"/>
            </w:pPr>
            <w:r>
              <w:rPr>
                <w:color w:val="1F2933"/>
                <w:sz w:val="16"/>
              </w:rPr>
              <w:t>Healthcare</w:t>
            </w:r>
          </w:p>
        </w:tc>
        <w:tc>
          <w:tcPr>
            <w:tcW w:type="dxa" w:w="4032"/>
            <w:vAlign w:val="center"/>
            <w:tcMar>
              <w:top w:w="90" w:type="dxa"/>
              <w:start w:w="100" w:type="dxa"/>
              <w:bottom w:w="90" w:type="dxa"/>
              <w:end w:w="100" w:type="dxa"/>
            </w:tcMar>
            <w:shd w:fill="F4F7F9"/>
          </w:tcPr>
          <w:p>
            <w:pPr>
              <w:spacing w:after="20" w:line="245" w:lineRule="auto"/>
            </w:pPr>
            <w:r>
              <w:rPr>
                <w:color w:val="1F2933"/>
                <w:sz w:val="16"/>
              </w:rPr>
              <w:t>Clinical policy, authorization criteria, coding guidance and care pathway search</w:t>
            </w:r>
          </w:p>
        </w:tc>
        <w:tc>
          <w:tcPr>
            <w:tcW w:type="dxa" w:w="4608"/>
            <w:vAlign w:val="center"/>
            <w:tcMar>
              <w:top w:w="90" w:type="dxa"/>
              <w:start w:w="100" w:type="dxa"/>
              <w:bottom w:w="90" w:type="dxa"/>
              <w:end w:w="100" w:type="dxa"/>
            </w:tcMar>
            <w:shd w:fill="F4F7F9"/>
          </w:tcPr>
          <w:p>
            <w:pPr>
              <w:spacing w:after="20" w:line="245" w:lineRule="auto"/>
            </w:pPr>
            <w:r>
              <w:rPr>
                <w:color w:val="1F2933"/>
                <w:sz w:val="16"/>
              </w:rPr>
              <w:t>Precise exclusions, conditions, age criteria and codes matter</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6"/>
              </w:rPr>
              <w:t>Legal</w:t>
            </w:r>
          </w:p>
        </w:tc>
        <w:tc>
          <w:tcPr>
            <w:tcW w:type="dxa" w:w="4032"/>
            <w:vAlign w:val="center"/>
            <w:tcMar>
              <w:top w:w="90" w:type="dxa"/>
              <w:start w:w="100" w:type="dxa"/>
              <w:bottom w:w="90" w:type="dxa"/>
              <w:end w:w="100" w:type="dxa"/>
            </w:tcMar>
          </w:tcPr>
          <w:p>
            <w:pPr>
              <w:spacing w:after="20" w:line="245" w:lineRule="auto"/>
            </w:pPr>
            <w:r>
              <w:rPr>
                <w:color w:val="1F2933"/>
                <w:sz w:val="16"/>
              </w:rPr>
              <w:t>Contract clause matching, discovery and precedent search</w:t>
            </w:r>
          </w:p>
        </w:tc>
        <w:tc>
          <w:tcPr>
            <w:tcW w:type="dxa" w:w="4608"/>
            <w:vAlign w:val="center"/>
            <w:tcMar>
              <w:top w:w="90" w:type="dxa"/>
              <w:start w:w="100" w:type="dxa"/>
              <w:bottom w:w="90" w:type="dxa"/>
              <w:end w:w="100" w:type="dxa"/>
            </w:tcMar>
          </w:tcPr>
          <w:p>
            <w:pPr>
              <w:spacing w:after="20" w:line="245" w:lineRule="auto"/>
            </w:pPr>
            <w:r>
              <w:rPr>
                <w:color w:val="1F2933"/>
                <w:sz w:val="16"/>
              </w:rPr>
              <w:t>Phrase-level meaning and exceptions are easily lost in one-vector compression</w:t>
            </w:r>
          </w:p>
        </w:tc>
      </w:tr>
      <w:tr>
        <w:trPr>
          <w:cantSplit/>
        </w:trPr>
        <w:tc>
          <w:tcPr>
            <w:tcW w:type="dxa" w:w="1728"/>
            <w:vAlign w:val="center"/>
            <w:tcMar>
              <w:top w:w="90" w:type="dxa"/>
              <w:start w:w="100" w:type="dxa"/>
              <w:bottom w:w="90" w:type="dxa"/>
              <w:end w:w="100" w:type="dxa"/>
            </w:tcMar>
            <w:shd w:fill="F4F7F9"/>
          </w:tcPr>
          <w:p>
            <w:pPr>
              <w:spacing w:after="20" w:line="245" w:lineRule="auto"/>
            </w:pPr>
            <w:r>
              <w:rPr>
                <w:color w:val="1F2933"/>
                <w:sz w:val="16"/>
              </w:rPr>
              <w:t>Manufacturing</w:t>
            </w:r>
          </w:p>
        </w:tc>
        <w:tc>
          <w:tcPr>
            <w:tcW w:type="dxa" w:w="4032"/>
            <w:vAlign w:val="center"/>
            <w:tcMar>
              <w:top w:w="90" w:type="dxa"/>
              <w:start w:w="100" w:type="dxa"/>
              <w:bottom w:w="90" w:type="dxa"/>
              <w:end w:w="100" w:type="dxa"/>
            </w:tcMar>
            <w:shd w:fill="F4F7F9"/>
          </w:tcPr>
          <w:p>
            <w:pPr>
              <w:spacing w:after="20" w:line="245" w:lineRule="auto"/>
            </w:pPr>
            <w:r>
              <w:rPr>
                <w:color w:val="1F2933"/>
                <w:sz w:val="16"/>
              </w:rPr>
              <w:t>Failure reports, specifications, corrective actions and procedure search</w:t>
            </w:r>
          </w:p>
        </w:tc>
        <w:tc>
          <w:tcPr>
            <w:tcW w:type="dxa" w:w="4608"/>
            <w:vAlign w:val="center"/>
            <w:tcMar>
              <w:top w:w="90" w:type="dxa"/>
              <w:start w:w="100" w:type="dxa"/>
              <w:bottom w:w="90" w:type="dxa"/>
              <w:end w:w="100" w:type="dxa"/>
            </w:tcMar>
            <w:shd w:fill="F4F7F9"/>
          </w:tcPr>
          <w:p>
            <w:pPr>
              <w:spacing w:after="20" w:line="245" w:lineRule="auto"/>
            </w:pPr>
            <w:r>
              <w:rPr>
                <w:color w:val="1F2933"/>
                <w:sz w:val="16"/>
              </w:rPr>
              <w:t>Part numbers, conditions and failure signatures require fine-grained matching</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6"/>
              </w:rPr>
              <w:t>Pharma/life sciences</w:t>
            </w:r>
          </w:p>
        </w:tc>
        <w:tc>
          <w:tcPr>
            <w:tcW w:type="dxa" w:w="4032"/>
            <w:vAlign w:val="center"/>
            <w:tcMar>
              <w:top w:w="90" w:type="dxa"/>
              <w:start w:w="100" w:type="dxa"/>
              <w:bottom w:w="90" w:type="dxa"/>
              <w:end w:w="100" w:type="dxa"/>
            </w:tcMar>
          </w:tcPr>
          <w:p>
            <w:pPr>
              <w:spacing w:after="20" w:line="245" w:lineRule="auto"/>
            </w:pPr>
            <w:r>
              <w:rPr>
                <w:color w:val="1F2933"/>
                <w:sz w:val="16"/>
              </w:rPr>
              <w:t>Trial, protocol, publication and safety-signal retrieval</w:t>
            </w:r>
          </w:p>
        </w:tc>
        <w:tc>
          <w:tcPr>
            <w:tcW w:type="dxa" w:w="4608"/>
            <w:vAlign w:val="center"/>
            <w:tcMar>
              <w:top w:w="90" w:type="dxa"/>
              <w:start w:w="100" w:type="dxa"/>
              <w:bottom w:w="90" w:type="dxa"/>
              <w:end w:w="100" w:type="dxa"/>
            </w:tcMar>
          </w:tcPr>
          <w:p>
            <w:pPr>
              <w:spacing w:after="20" w:line="245" w:lineRule="auto"/>
            </w:pPr>
            <w:r>
              <w:rPr>
                <w:color w:val="1F2933"/>
                <w:sz w:val="16"/>
              </w:rPr>
              <w:t>Entity-rich technical language benefits from token-level evidence</w:t>
            </w:r>
          </w:p>
        </w:tc>
      </w:tr>
    </w:tbl>
    <w:p>
      <w:pPr>
        <w:spacing w:after="20"/>
      </w:pPr>
    </w:p>
    <w:p>
      <w:r>
        <w:t>Illustrative candidate volume: 5,000 candidates × 32 token vectors × 128 INT8 dimensions is 20.48 MB per query. At 200 GB/s the media-transfer floor is about 0.10 ms, again excluding irregular access and compute. This is a better fit than scanning a complete 50–100 GB corpus.</w:t>
      </w:r>
    </w:p>
    <w:p>
      <w:pPr>
        <w:pStyle w:val="Heading1"/>
      </w:pPr>
      <w:r>
        <w:t>3.3 Use Case E3: Reusable Document and VLM Feature Store</w:t>
      </w:r>
    </w:p>
    <w:p>
      <w:r>
        <w:t>Best-fit customer: document-heavy operational processes. Original PDFs and images remain on NVMe or object storage. ATMOS stores repeatedly queried derived features such as page embeddings, layout vectors, table representations, OCR-derived features and image-region embeddings.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5"/>
              </w:rPr>
              <w:t>Industry</w:t>
            </w:r>
          </w:p>
        </w:tc>
        <w:tc>
          <w:tcPr>
            <w:tcW w:type="dxa" w:w="3389"/>
            <w:shd w:fill="13263D"/>
            <w:vAlign w:val="center"/>
            <w:tcMar>
              <w:top w:w="90" w:type="dxa"/>
              <w:start w:w="100" w:type="dxa"/>
              <w:bottom w:w="90" w:type="dxa"/>
              <w:end w:w="100" w:type="dxa"/>
            </w:tcMar>
          </w:tcPr>
          <w:p>
            <w:r>
              <w:rPr>
                <w:b/>
                <w:color w:val="FFFFFF"/>
                <w:sz w:val="15"/>
              </w:rPr>
              <w:t>Example</w:t>
            </w:r>
          </w:p>
        </w:tc>
        <w:tc>
          <w:tcPr>
            <w:tcW w:type="dxa" w:w="3389"/>
            <w:shd w:fill="13263D"/>
            <w:vAlign w:val="center"/>
            <w:tcMar>
              <w:top w:w="90" w:type="dxa"/>
              <w:start w:w="100" w:type="dxa"/>
              <w:bottom w:w="90" w:type="dxa"/>
              <w:end w:w="100" w:type="dxa"/>
            </w:tcMar>
          </w:tcPr>
          <w:p>
            <w:r>
              <w:rPr>
                <w:b/>
                <w:color w:val="FFFFFF"/>
                <w:sz w:val="15"/>
              </w:rPr>
              <w:t>Steady-state HBF access</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5"/>
              </w:rPr>
              <w:t>Insurance</w:t>
            </w:r>
          </w:p>
        </w:tc>
        <w:tc>
          <w:tcPr>
            <w:tcW w:type="dxa" w:w="4320"/>
            <w:vAlign w:val="center"/>
            <w:tcMar>
              <w:top w:w="90" w:type="dxa"/>
              <w:start w:w="100" w:type="dxa"/>
              <w:bottom w:w="90" w:type="dxa"/>
              <w:end w:w="100" w:type="dxa"/>
            </w:tcMar>
          </w:tcPr>
          <w:p>
            <w:pPr>
              <w:spacing w:after="20" w:line="245" w:lineRule="auto"/>
            </w:pPr>
            <w:r>
              <w:rPr>
                <w:color w:val="1F2933"/>
                <w:sz w:val="15"/>
              </w:rPr>
              <w:t>Find similar claims, repair patterns, policy exceptions and fraud evidence</w:t>
            </w:r>
          </w:p>
        </w:tc>
        <w:tc>
          <w:tcPr>
            <w:tcW w:type="dxa" w:w="4320"/>
            <w:vAlign w:val="center"/>
            <w:tcMar>
              <w:top w:w="90" w:type="dxa"/>
              <w:start w:w="100" w:type="dxa"/>
              <w:bottom w:w="90" w:type="dxa"/>
              <w:end w:w="100" w:type="dxa"/>
            </w:tcMar>
          </w:tcPr>
          <w:p>
            <w:pPr>
              <w:spacing w:after="20" w:line="245" w:lineRule="auto"/>
            </w:pPr>
            <w:r>
              <w:rPr>
                <w:color w:val="1F2933"/>
                <w:sz w:val="15"/>
              </w:rPr>
              <w:t>Read page/image/claim features for candidate cases</w:t>
            </w:r>
          </w:p>
        </w:tc>
      </w:tr>
      <w:tr>
        <w:trPr>
          <w:cantSplit/>
        </w:trPr>
        <w:tc>
          <w:tcPr>
            <w:tcW w:type="dxa" w:w="1728"/>
            <w:vAlign w:val="center"/>
            <w:tcMar>
              <w:top w:w="90" w:type="dxa"/>
              <w:start w:w="100" w:type="dxa"/>
              <w:bottom w:w="90" w:type="dxa"/>
              <w:end w:w="100" w:type="dxa"/>
            </w:tcMar>
            <w:shd w:fill="F4F7F9"/>
          </w:tcPr>
          <w:p>
            <w:pPr>
              <w:spacing w:after="20" w:line="245" w:lineRule="auto"/>
            </w:pPr>
            <w:r>
              <w:rPr>
                <w:color w:val="1F2933"/>
                <w:sz w:val="15"/>
              </w:rPr>
              <w:t>Banking/mortgage</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Compare forms, detect missing evidence, match clauses and review exceptions</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Read layout, field and document vectors repeatedly</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5"/>
              </w:rPr>
              <w:t>Healthcare</w:t>
            </w:r>
          </w:p>
        </w:tc>
        <w:tc>
          <w:tcPr>
            <w:tcW w:type="dxa" w:w="4320"/>
            <w:vAlign w:val="center"/>
            <w:tcMar>
              <w:top w:w="90" w:type="dxa"/>
              <w:start w:w="100" w:type="dxa"/>
              <w:bottom w:w="90" w:type="dxa"/>
              <w:end w:w="100" w:type="dxa"/>
            </w:tcMar>
          </w:tcPr>
          <w:p>
            <w:pPr>
              <w:spacing w:after="20" w:line="245" w:lineRule="auto"/>
            </w:pPr>
            <w:r>
              <w:rPr>
                <w:color w:val="1F2933"/>
                <w:sz w:val="15"/>
              </w:rPr>
              <w:t>Retrieve similar cases and policy evidence; search tables and scans</w:t>
            </w:r>
          </w:p>
        </w:tc>
        <w:tc>
          <w:tcPr>
            <w:tcW w:type="dxa" w:w="4320"/>
            <w:vAlign w:val="center"/>
            <w:tcMar>
              <w:top w:w="90" w:type="dxa"/>
              <w:start w:w="100" w:type="dxa"/>
              <w:bottom w:w="90" w:type="dxa"/>
              <w:end w:w="100" w:type="dxa"/>
            </w:tcMar>
          </w:tcPr>
          <w:p>
            <w:pPr>
              <w:spacing w:after="20" w:line="245" w:lineRule="auto"/>
            </w:pPr>
            <w:r>
              <w:rPr>
                <w:color w:val="1F2933"/>
                <w:sz w:val="15"/>
              </w:rPr>
              <w:t>Read multimodal page and clinical representations</w:t>
            </w:r>
          </w:p>
        </w:tc>
      </w:tr>
      <w:tr>
        <w:trPr>
          <w:cantSplit/>
        </w:trPr>
        <w:tc>
          <w:tcPr>
            <w:tcW w:type="dxa" w:w="1728"/>
            <w:vAlign w:val="center"/>
            <w:tcMar>
              <w:top w:w="90" w:type="dxa"/>
              <w:start w:w="100" w:type="dxa"/>
              <w:bottom w:w="90" w:type="dxa"/>
              <w:end w:w="100" w:type="dxa"/>
            </w:tcMar>
            <w:shd w:fill="F4F7F9"/>
          </w:tcPr>
          <w:p>
            <w:pPr>
              <w:spacing w:after="20" w:line="245" w:lineRule="auto"/>
            </w:pPr>
            <w:r>
              <w:rPr>
                <w:color w:val="1F2933"/>
                <w:sz w:val="15"/>
              </w:rPr>
              <w:t>Semiconductor/manufacturing</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Find similar defects, microscope images, reports and root causes</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Read image and document features for every investigation</w:t>
            </w:r>
          </w:p>
        </w:tc>
      </w:tr>
      <w:tr>
        <w:trPr>
          <w:cantSplit/>
        </w:trPr>
        <w:tc>
          <w:tcPr>
            <w:tcW w:type="dxa" w:w="1728"/>
            <w:vAlign w:val="center"/>
            <w:tcMar>
              <w:top w:w="90" w:type="dxa"/>
              <w:start w:w="100" w:type="dxa"/>
              <w:bottom w:w="90" w:type="dxa"/>
              <w:end w:w="100" w:type="dxa"/>
            </w:tcMar>
          </w:tcPr>
          <w:p>
            <w:pPr>
              <w:spacing w:after="20" w:line="245" w:lineRule="auto"/>
            </w:pPr>
            <w:r>
              <w:rPr>
                <w:color w:val="1F2933"/>
                <w:sz w:val="15"/>
              </w:rPr>
              <w:t>Legal/compliance</w:t>
            </w:r>
          </w:p>
        </w:tc>
        <w:tc>
          <w:tcPr>
            <w:tcW w:type="dxa" w:w="4320"/>
            <w:vAlign w:val="center"/>
            <w:tcMar>
              <w:top w:w="90" w:type="dxa"/>
              <w:start w:w="100" w:type="dxa"/>
              <w:bottom w:w="90" w:type="dxa"/>
              <w:end w:w="100" w:type="dxa"/>
            </w:tcMar>
          </w:tcPr>
          <w:p>
            <w:pPr>
              <w:spacing w:after="20" w:line="245" w:lineRule="auto"/>
            </w:pPr>
            <w:r>
              <w:rPr>
                <w:color w:val="1F2933"/>
                <w:sz w:val="15"/>
              </w:rPr>
              <w:t>Search tables, clauses, exhibits and scanned attachments</w:t>
            </w:r>
          </w:p>
        </w:tc>
        <w:tc>
          <w:tcPr>
            <w:tcW w:type="dxa" w:w="4320"/>
            <w:vAlign w:val="center"/>
            <w:tcMar>
              <w:top w:w="90" w:type="dxa"/>
              <w:start w:w="100" w:type="dxa"/>
              <w:bottom w:w="90" w:type="dxa"/>
              <w:end w:w="100" w:type="dxa"/>
            </w:tcMar>
          </w:tcPr>
          <w:p>
            <w:pPr>
              <w:spacing w:after="20" w:line="245" w:lineRule="auto"/>
            </w:pPr>
            <w:r>
              <w:rPr>
                <w:color w:val="1F2933"/>
                <w:sz w:val="15"/>
              </w:rPr>
              <w:t>Read rich features after textual candidate generation</w:t>
            </w:r>
          </w:p>
        </w:tc>
      </w:tr>
    </w:tbl>
    <w:p>
      <w:pPr>
        <w:spacing w:after="20"/>
      </w:pPr>
    </w:p>
    <w:p>
      <w:r>
        <w:t>The HBF value disappears if each document is processed only once. The product must target repeated search, comparison and rescoring of reusable features.</w:t>
      </w:r>
    </w:p>
    <w:p>
      <w:pPr>
        <w:pStyle w:val="Heading1"/>
      </w:pPr>
      <w:r>
        <w:t>3.4 Use Case E4: Dense Model Weight Streaming</w:t>
      </w:r>
    </w:p>
    <w:p>
      <w:r>
        <w:t>Best-fit customer: private, low-concurrency or background inference where a 20B–32B quantized model must run without dedicating a large GPU. Model weights remain in HBF and are streamed layer by layer; LPDDR holds activations, KV cache, current tiles and workspace.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6"/>
              </w:rPr>
              <w:t>INT8 model</w:t>
            </w:r>
          </w:p>
        </w:tc>
        <w:tc>
          <w:tcPr>
            <w:tcW w:type="dxa" w:w="2541"/>
            <w:shd w:fill="13263D"/>
            <w:vAlign w:val="center"/>
            <w:tcMar>
              <w:top w:w="90" w:type="dxa"/>
              <w:start w:w="100" w:type="dxa"/>
              <w:bottom w:w="90" w:type="dxa"/>
              <w:end w:w="100" w:type="dxa"/>
            </w:tcMar>
          </w:tcPr>
          <w:p>
            <w:r>
              <w:rPr>
                <w:b/>
                <w:color w:val="FFFFFF"/>
                <w:sz w:val="16"/>
              </w:rPr>
              <w:t>Approx. weight size</w:t>
            </w:r>
          </w:p>
        </w:tc>
        <w:tc>
          <w:tcPr>
            <w:tcW w:type="dxa" w:w="2541"/>
            <w:shd w:fill="13263D"/>
            <w:vAlign w:val="center"/>
            <w:tcMar>
              <w:top w:w="90" w:type="dxa"/>
              <w:start w:w="100" w:type="dxa"/>
              <w:bottom w:w="90" w:type="dxa"/>
              <w:end w:w="100" w:type="dxa"/>
            </w:tcMar>
          </w:tcPr>
          <w:p>
            <w:r>
              <w:rPr>
                <w:b/>
                <w:color w:val="FFFFFF"/>
                <w:sz w:val="16"/>
              </w:rPr>
              <w:t>Ideal bandwidth ceiling at 200 GB/s</w:t>
            </w:r>
          </w:p>
        </w:tc>
        <w:tc>
          <w:tcPr>
            <w:tcW w:type="dxa" w:w="2541"/>
            <w:shd w:fill="13263D"/>
            <w:vAlign w:val="center"/>
            <w:tcMar>
              <w:top w:w="90" w:type="dxa"/>
              <w:start w:w="100" w:type="dxa"/>
              <w:bottom w:w="90" w:type="dxa"/>
              <w:end w:w="100" w:type="dxa"/>
            </w:tcMar>
          </w:tcPr>
          <w:p>
            <w:r>
              <w:rPr>
                <w:b/>
                <w:color w:val="FFFFFF"/>
                <w:sz w:val="16"/>
              </w:rPr>
              <w:t>Position</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8B</w:t>
            </w:r>
          </w:p>
        </w:tc>
        <w:tc>
          <w:tcPr>
            <w:tcW w:type="dxa" w:w="1944"/>
            <w:vAlign w:val="center"/>
            <w:tcMar>
              <w:top w:w="90" w:type="dxa"/>
              <w:start w:w="100" w:type="dxa"/>
              <w:bottom w:w="90" w:type="dxa"/>
              <w:end w:w="100" w:type="dxa"/>
            </w:tcMar>
          </w:tcPr>
          <w:p>
            <w:pPr>
              <w:spacing w:after="20" w:line="245" w:lineRule="auto"/>
            </w:pPr>
            <w:r>
              <w:rPr>
                <w:color w:val="1F2933"/>
                <w:sz w:val="16"/>
              </w:rPr>
              <w:t>8 GB</w:t>
            </w:r>
          </w:p>
        </w:tc>
        <w:tc>
          <w:tcPr>
            <w:tcW w:type="dxa" w:w="2880"/>
            <w:vAlign w:val="center"/>
            <w:tcMar>
              <w:top w:w="90" w:type="dxa"/>
              <w:start w:w="100" w:type="dxa"/>
              <w:bottom w:w="90" w:type="dxa"/>
              <w:end w:w="100" w:type="dxa"/>
            </w:tcMar>
          </w:tcPr>
          <w:p>
            <w:pPr>
              <w:spacing w:after="20" w:line="245" w:lineRule="auto"/>
            </w:pPr>
            <w:r>
              <w:rPr>
                <w:color w:val="1F2933"/>
                <w:sz w:val="16"/>
              </w:rPr>
              <w:t>25 tokens/s</w:t>
            </w:r>
          </w:p>
        </w:tc>
        <w:tc>
          <w:tcPr>
            <w:tcW w:type="dxa" w:w="3312"/>
            <w:vAlign w:val="center"/>
            <w:tcMar>
              <w:top w:w="90" w:type="dxa"/>
              <w:start w:w="100" w:type="dxa"/>
              <w:bottom w:w="90" w:type="dxa"/>
              <w:end w:w="100" w:type="dxa"/>
            </w:tcMar>
          </w:tcPr>
          <w:p>
            <w:pPr>
              <w:spacing w:after="20" w:line="245" w:lineRule="auto"/>
            </w:pPr>
            <w:r>
              <w:rPr>
                <w:color w:val="1F2933"/>
                <w:sz w:val="16"/>
              </w:rPr>
              <w:t>Usually fits LPDDR; HBF value weak after warm-up</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6"/>
              </w:rPr>
              <w:t>13B</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13 GB</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15.4 tokens/s</w:t>
            </w:r>
          </w:p>
        </w:tc>
        <w:tc>
          <w:tcPr>
            <w:tcW w:type="dxa" w:w="3312"/>
            <w:vAlign w:val="center"/>
            <w:tcMar>
              <w:top w:w="90" w:type="dxa"/>
              <w:start w:w="100" w:type="dxa"/>
              <w:bottom w:w="90" w:type="dxa"/>
              <w:end w:w="100" w:type="dxa"/>
            </w:tcMar>
            <w:shd w:fill="F4F7F9"/>
          </w:tcPr>
          <w:p>
            <w:pPr>
              <w:spacing w:after="20" w:line="245" w:lineRule="auto"/>
            </w:pPr>
            <w:r>
              <w:rPr>
                <w:color w:val="1F2933"/>
                <w:sz w:val="16"/>
              </w:rPr>
              <w:t>May fit tightly; KV and runtime reduce feasibility</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20B</w:t>
            </w:r>
          </w:p>
        </w:tc>
        <w:tc>
          <w:tcPr>
            <w:tcW w:type="dxa" w:w="1944"/>
            <w:vAlign w:val="center"/>
            <w:tcMar>
              <w:top w:w="90" w:type="dxa"/>
              <w:start w:w="100" w:type="dxa"/>
              <w:bottom w:w="90" w:type="dxa"/>
              <w:end w:w="100" w:type="dxa"/>
            </w:tcMar>
          </w:tcPr>
          <w:p>
            <w:pPr>
              <w:spacing w:after="20" w:line="245" w:lineRule="auto"/>
            </w:pPr>
            <w:r>
              <w:rPr>
                <w:color w:val="1F2933"/>
                <w:sz w:val="16"/>
              </w:rPr>
              <w:t>20 GB</w:t>
            </w:r>
          </w:p>
        </w:tc>
        <w:tc>
          <w:tcPr>
            <w:tcW w:type="dxa" w:w="2880"/>
            <w:vAlign w:val="center"/>
            <w:tcMar>
              <w:top w:w="90" w:type="dxa"/>
              <w:start w:w="100" w:type="dxa"/>
              <w:bottom w:w="90" w:type="dxa"/>
              <w:end w:w="100" w:type="dxa"/>
            </w:tcMar>
          </w:tcPr>
          <w:p>
            <w:pPr>
              <w:spacing w:after="20" w:line="245" w:lineRule="auto"/>
            </w:pPr>
            <w:r>
              <w:rPr>
                <w:color w:val="1F2933"/>
                <w:sz w:val="16"/>
              </w:rPr>
              <w:t>10 tokens/s</w:t>
            </w:r>
          </w:p>
        </w:tc>
        <w:tc>
          <w:tcPr>
            <w:tcW w:type="dxa" w:w="3312"/>
            <w:vAlign w:val="center"/>
            <w:tcMar>
              <w:top w:w="90" w:type="dxa"/>
              <w:start w:w="100" w:type="dxa"/>
              <w:bottom w:w="90" w:type="dxa"/>
              <w:end w:w="100" w:type="dxa"/>
            </w:tcMar>
          </w:tcPr>
          <w:p>
            <w:pPr>
              <w:spacing w:after="20" w:line="245" w:lineRule="auto"/>
            </w:pPr>
            <w:r>
              <w:rPr>
                <w:color w:val="1F2933"/>
                <w:sz w:val="16"/>
              </w:rPr>
              <w:t>Possible low-concurrency target</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6"/>
              </w:rPr>
              <w:t>32B</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32 GB</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6.25 tokens/s</w:t>
            </w:r>
          </w:p>
        </w:tc>
        <w:tc>
          <w:tcPr>
            <w:tcW w:type="dxa" w:w="3312"/>
            <w:vAlign w:val="center"/>
            <w:tcMar>
              <w:top w:w="90" w:type="dxa"/>
              <w:start w:w="100" w:type="dxa"/>
              <w:bottom w:w="90" w:type="dxa"/>
              <w:end w:w="100" w:type="dxa"/>
            </w:tcMar>
            <w:shd w:fill="F4F7F9"/>
          </w:tcPr>
          <w:p>
            <w:pPr>
              <w:spacing w:after="20" w:line="245" w:lineRule="auto"/>
            </w:pPr>
            <w:r>
              <w:rPr>
                <w:color w:val="1F2933"/>
                <w:sz w:val="16"/>
              </w:rPr>
              <w:t>Background / low-volume target</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6"/>
              </w:rPr>
              <w:t>70B</w:t>
            </w:r>
          </w:p>
        </w:tc>
        <w:tc>
          <w:tcPr>
            <w:tcW w:type="dxa" w:w="1944"/>
            <w:vAlign w:val="center"/>
            <w:tcMar>
              <w:top w:w="90" w:type="dxa"/>
              <w:start w:w="100" w:type="dxa"/>
              <w:bottom w:w="90" w:type="dxa"/>
              <w:end w:w="100" w:type="dxa"/>
            </w:tcMar>
          </w:tcPr>
          <w:p>
            <w:pPr>
              <w:spacing w:after="20" w:line="245" w:lineRule="auto"/>
            </w:pPr>
            <w:r>
              <w:rPr>
                <w:color w:val="1F2933"/>
                <w:sz w:val="16"/>
              </w:rPr>
              <w:t>70 GB</w:t>
            </w:r>
          </w:p>
        </w:tc>
        <w:tc>
          <w:tcPr>
            <w:tcW w:type="dxa" w:w="2880"/>
            <w:vAlign w:val="center"/>
            <w:tcMar>
              <w:top w:w="90" w:type="dxa"/>
              <w:start w:w="100" w:type="dxa"/>
              <w:bottom w:w="90" w:type="dxa"/>
              <w:end w:w="100" w:type="dxa"/>
            </w:tcMar>
          </w:tcPr>
          <w:p>
            <w:pPr>
              <w:spacing w:after="20" w:line="245" w:lineRule="auto"/>
            </w:pPr>
            <w:r>
              <w:rPr>
                <w:color w:val="1F2933"/>
                <w:sz w:val="16"/>
              </w:rPr>
              <w:t>2.9 tokens/s</w:t>
            </w:r>
          </w:p>
        </w:tc>
        <w:tc>
          <w:tcPr>
            <w:tcW w:type="dxa" w:w="3312"/>
            <w:vAlign w:val="center"/>
            <w:tcMar>
              <w:top w:w="90" w:type="dxa"/>
              <w:start w:w="100" w:type="dxa"/>
              <w:bottom w:w="90" w:type="dxa"/>
              <w:end w:w="100" w:type="dxa"/>
            </w:tcMar>
          </w:tcPr>
          <w:p>
            <w:pPr>
              <w:spacing w:after="20" w:line="245" w:lineRule="auto"/>
            </w:pPr>
            <w:r>
              <w:rPr>
                <w:color w:val="1F2933"/>
                <w:sz w:val="16"/>
              </w:rPr>
              <w:t>Generally unattractive on one device</w:t>
            </w:r>
          </w:p>
        </w:tc>
      </w:tr>
    </w:tbl>
    <w:p>
      <w:pPr>
        <w:spacing w:after="20"/>
      </w:pPr>
    </w:p>
    <w:p>
      <w:r>
        <w:t>These are upper bounds before attention, KV traffic, controller efficiency, graph breaks, quantization, thermal throttling and NPU utilization. Dense serving is a secondary comparison workload, not the lead product thesis.</w:t>
      </w:r>
    </w:p>
    <w:p>
      <w:pPr>
        <w:pStyle w:val="Heading1"/>
      </w:pPr>
      <w:r>
        <w:t>3.5 Supporting, Low-HBF-Impact Workloads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Workload</w:t>
            </w:r>
          </w:p>
        </w:tc>
        <w:tc>
          <w:tcPr>
            <w:tcW w:type="dxa" w:w="3389"/>
            <w:shd w:fill="13263D"/>
            <w:vAlign w:val="center"/>
            <w:tcMar>
              <w:top w:w="90" w:type="dxa"/>
              <w:start w:w="100" w:type="dxa"/>
              <w:bottom w:w="90" w:type="dxa"/>
              <w:end w:w="100" w:type="dxa"/>
            </w:tcMar>
          </w:tcPr>
          <w:p>
            <w:r>
              <w:rPr>
                <w:b/>
                <w:color w:val="FFFFFF"/>
                <w:sz w:val="16"/>
              </w:rPr>
              <w:t>Value</w:t>
            </w:r>
          </w:p>
        </w:tc>
        <w:tc>
          <w:tcPr>
            <w:tcW w:type="dxa" w:w="3389"/>
            <w:shd w:fill="13263D"/>
            <w:vAlign w:val="center"/>
            <w:tcMar>
              <w:top w:w="90" w:type="dxa"/>
              <w:start w:w="100" w:type="dxa"/>
              <w:bottom w:w="90" w:type="dxa"/>
              <w:end w:w="100" w:type="dxa"/>
            </w:tcMar>
          </w:tcPr>
          <w:p>
            <w:r>
              <w:rPr>
                <w:b/>
                <w:color w:val="FFFFFF"/>
                <w:sz w:val="16"/>
              </w:rPr>
              <w:t>Why not a lead HBF story</w:t>
            </w:r>
          </w:p>
        </w:tc>
      </w:tr>
      <w:tr>
        <w:trPr>
          <w:cantSplit/>
        </w:trPr>
        <w:tc>
          <w:tcPr>
            <w:tcW w:type="dxa" w:w="2232"/>
            <w:vAlign w:val="center"/>
            <w:tcMar>
              <w:top w:w="90" w:type="dxa"/>
              <w:start w:w="100" w:type="dxa"/>
              <w:bottom w:w="90" w:type="dxa"/>
              <w:end w:w="100" w:type="dxa"/>
            </w:tcMar>
          </w:tcPr>
          <w:p>
            <w:pPr>
              <w:spacing w:after="20" w:line="245" w:lineRule="auto"/>
            </w:pPr>
            <w:r>
              <w:rPr>
                <w:color w:val="1F2933"/>
                <w:sz w:val="16"/>
              </w:rPr>
              <w:t>Query embedding</w:t>
            </w:r>
          </w:p>
        </w:tc>
        <w:tc>
          <w:tcPr>
            <w:tcW w:type="dxa" w:w="3960"/>
            <w:vAlign w:val="center"/>
            <w:tcMar>
              <w:top w:w="90" w:type="dxa"/>
              <w:start w:w="100" w:type="dxa"/>
              <w:bottom w:w="90" w:type="dxa"/>
              <w:end w:w="100" w:type="dxa"/>
            </w:tcMar>
          </w:tcPr>
          <w:p>
            <w:pPr>
              <w:spacing w:after="20" w:line="245" w:lineRule="auto"/>
            </w:pPr>
            <w:r>
              <w:rPr>
                <w:color w:val="1F2933"/>
                <w:sz w:val="16"/>
              </w:rPr>
              <w:t>Frees GPU and isolates p99</w:t>
            </w:r>
          </w:p>
        </w:tc>
        <w:tc>
          <w:tcPr>
            <w:tcW w:type="dxa" w:w="4320"/>
            <w:vAlign w:val="center"/>
            <w:tcMar>
              <w:top w:w="90" w:type="dxa"/>
              <w:start w:w="100" w:type="dxa"/>
              <w:bottom w:w="90" w:type="dxa"/>
              <w:end w:w="100" w:type="dxa"/>
            </w:tcMar>
          </w:tcPr>
          <w:p>
            <w:pPr>
              <w:spacing w:after="20" w:line="245" w:lineRule="auto"/>
            </w:pPr>
            <w:r>
              <w:rPr>
                <w:color w:val="1F2933"/>
                <w:sz w:val="16"/>
              </w:rPr>
              <w:t>Model usually fits in LPDDR and remains resident</w:t>
            </w:r>
          </w:p>
        </w:tc>
      </w:tr>
      <w:tr>
        <w:trPr>
          <w:cantSplit/>
        </w:trPr>
        <w:tc>
          <w:tcPr>
            <w:tcW w:type="dxa" w:w="2232"/>
            <w:vAlign w:val="center"/>
            <w:tcMar>
              <w:top w:w="90" w:type="dxa"/>
              <w:start w:w="100" w:type="dxa"/>
              <w:bottom w:w="90" w:type="dxa"/>
              <w:end w:w="100" w:type="dxa"/>
            </w:tcMar>
            <w:shd w:fill="F4F7F9"/>
          </w:tcPr>
          <w:p>
            <w:pPr>
              <w:spacing w:after="20" w:line="245" w:lineRule="auto"/>
            </w:pPr>
            <w:r>
              <w:rPr>
                <w:color w:val="1F2933"/>
                <w:sz w:val="16"/>
              </w:rPr>
              <w:t>Batch document embedding</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Separates ingestion from interactive workloads</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Data streams from host; 128 GB capacity is not central</w:t>
            </w:r>
          </w:p>
        </w:tc>
      </w:tr>
      <w:tr>
        <w:trPr>
          <w:cantSplit/>
        </w:trPr>
        <w:tc>
          <w:tcPr>
            <w:tcW w:type="dxa" w:w="2232"/>
            <w:vAlign w:val="center"/>
            <w:tcMar>
              <w:top w:w="90" w:type="dxa"/>
              <w:start w:w="100" w:type="dxa"/>
              <w:bottom w:w="90" w:type="dxa"/>
              <w:end w:w="100" w:type="dxa"/>
            </w:tcMar>
          </w:tcPr>
          <w:p>
            <w:pPr>
              <w:spacing w:after="20" w:line="245" w:lineRule="auto"/>
            </w:pPr>
            <w:r>
              <w:rPr>
                <w:color w:val="1F2933"/>
                <w:sz w:val="16"/>
              </w:rPr>
              <w:t>Guard/classifier</w:t>
            </w:r>
          </w:p>
        </w:tc>
        <w:tc>
          <w:tcPr>
            <w:tcW w:type="dxa" w:w="3960"/>
            <w:vAlign w:val="center"/>
            <w:tcMar>
              <w:top w:w="90" w:type="dxa"/>
              <w:start w:w="100" w:type="dxa"/>
              <w:bottom w:w="90" w:type="dxa"/>
              <w:end w:w="100" w:type="dxa"/>
            </w:tcMar>
          </w:tcPr>
          <w:p>
            <w:pPr>
              <w:spacing w:after="20" w:line="245" w:lineRule="auto"/>
            </w:pPr>
            <w:r>
              <w:rPr>
                <w:color w:val="1F2933"/>
                <w:sz w:val="16"/>
              </w:rPr>
              <w:t>Physical isolation and predictable capacity</w:t>
            </w:r>
          </w:p>
        </w:tc>
        <w:tc>
          <w:tcPr>
            <w:tcW w:type="dxa" w:w="4320"/>
            <w:vAlign w:val="center"/>
            <w:tcMar>
              <w:top w:w="90" w:type="dxa"/>
              <w:start w:w="100" w:type="dxa"/>
              <w:bottom w:w="90" w:type="dxa"/>
              <w:end w:w="100" w:type="dxa"/>
            </w:tcMar>
          </w:tcPr>
          <w:p>
            <w:pPr>
              <w:spacing w:after="20" w:line="245" w:lineRule="auto"/>
            </w:pPr>
            <w:r>
              <w:rPr>
                <w:color w:val="1F2933"/>
                <w:sz w:val="16"/>
              </w:rPr>
              <w:t>Small model and small working set</w:t>
            </w:r>
          </w:p>
        </w:tc>
      </w:tr>
      <w:tr>
        <w:trPr>
          <w:cantSplit/>
        </w:trPr>
        <w:tc>
          <w:tcPr>
            <w:tcW w:type="dxa" w:w="2232"/>
            <w:vAlign w:val="center"/>
            <w:tcMar>
              <w:top w:w="90" w:type="dxa"/>
              <w:start w:w="100" w:type="dxa"/>
              <w:bottom w:w="90" w:type="dxa"/>
              <w:end w:w="100" w:type="dxa"/>
            </w:tcMar>
            <w:shd w:fill="F4F7F9"/>
          </w:tcPr>
          <w:p>
            <w:pPr>
              <w:spacing w:after="20" w:line="245" w:lineRule="auto"/>
            </w:pPr>
            <w:r>
              <w:rPr>
                <w:color w:val="1F2933"/>
                <w:sz w:val="16"/>
              </w:rPr>
              <w:t>Standalone cross-encoder reranker</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Dedicated NPU avoids GPU contention</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Weights are small; value improves only with resident features</w:t>
            </w:r>
          </w:p>
        </w:tc>
      </w:tr>
      <w:tr>
        <w:trPr>
          <w:cantSplit/>
        </w:trPr>
        <w:tc>
          <w:tcPr>
            <w:tcW w:type="dxa" w:w="2232"/>
            <w:vAlign w:val="center"/>
            <w:tcMar>
              <w:top w:w="90" w:type="dxa"/>
              <w:start w:w="100" w:type="dxa"/>
              <w:bottom w:w="90" w:type="dxa"/>
              <w:end w:w="100" w:type="dxa"/>
            </w:tcMar>
          </w:tcPr>
          <w:p>
            <w:pPr>
              <w:spacing w:after="20" w:line="245" w:lineRule="auto"/>
            </w:pPr>
            <w:r>
              <w:rPr>
                <w:color w:val="1F2933"/>
                <w:sz w:val="16"/>
              </w:rPr>
              <w:t>Speech ASR/TTS</w:t>
            </w:r>
          </w:p>
        </w:tc>
        <w:tc>
          <w:tcPr>
            <w:tcW w:type="dxa" w:w="3960"/>
            <w:vAlign w:val="center"/>
            <w:tcMar>
              <w:top w:w="90" w:type="dxa"/>
              <w:start w:w="100" w:type="dxa"/>
              <w:bottom w:w="90" w:type="dxa"/>
              <w:end w:w="100" w:type="dxa"/>
            </w:tcMar>
          </w:tcPr>
          <w:p>
            <w:pPr>
              <w:spacing w:after="20" w:line="245" w:lineRule="auto"/>
            </w:pPr>
            <w:r>
              <w:rPr>
                <w:color w:val="1F2933"/>
                <w:sz w:val="16"/>
              </w:rPr>
              <w:t>Potential private, low-power service</w:t>
            </w:r>
          </w:p>
        </w:tc>
        <w:tc>
          <w:tcPr>
            <w:tcW w:type="dxa" w:w="4320"/>
            <w:vAlign w:val="center"/>
            <w:tcMar>
              <w:top w:w="90" w:type="dxa"/>
              <w:start w:w="100" w:type="dxa"/>
              <w:bottom w:w="90" w:type="dxa"/>
              <w:end w:w="100" w:type="dxa"/>
            </w:tcMar>
          </w:tcPr>
          <w:p>
            <w:pPr>
              <w:spacing w:after="20" w:line="245" w:lineRule="auto"/>
            </w:pPr>
            <w:r>
              <w:rPr>
                <w:color w:val="1F2933"/>
                <w:sz w:val="16"/>
              </w:rPr>
              <w:t>Primarily compute and operator support, not HBF capacity</w:t>
            </w:r>
          </w:p>
        </w:tc>
      </w:tr>
      <w:tr>
        <w:trPr>
          <w:cantSplit/>
        </w:trPr>
        <w:tc>
          <w:tcPr>
            <w:tcW w:type="dxa" w:w="2232"/>
            <w:vAlign w:val="center"/>
            <w:tcMar>
              <w:top w:w="90" w:type="dxa"/>
              <w:start w:w="100" w:type="dxa"/>
              <w:bottom w:w="90" w:type="dxa"/>
              <w:end w:w="100" w:type="dxa"/>
            </w:tcMar>
            <w:shd w:fill="F4F7F9"/>
          </w:tcPr>
          <w:p>
            <w:pPr>
              <w:spacing w:after="20" w:line="245" w:lineRule="auto"/>
            </w:pPr>
            <w:r>
              <w:rPr>
                <w:color w:val="1F2933"/>
                <w:sz w:val="16"/>
              </w:rPr>
              <w:t>Inactive model repository</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Fast activation and persistence</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NVMe solves infrequent loading more economically</w:t>
            </w:r>
          </w:p>
        </w:tc>
      </w:tr>
    </w:tbl>
    <w:p>
      <w:pPr>
        <w:spacing w:after="20"/>
      </w:pPr>
    </w:p>
    <w:p>
      <w:r>
        <w:br w:type="page"/>
      </w:r>
    </w:p>
    <w:p>
      <w:pPr>
        <w:pStyle w:val="Title"/>
      </w:pPr>
      <w:r>
        <w:t>4. Industry Vertical Plays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13263D"/>
            <w:vAlign w:val="center"/>
            <w:tcMar>
              <w:top w:w="90" w:type="dxa"/>
              <w:start w:w="100" w:type="dxa"/>
              <w:bottom w:w="90" w:type="dxa"/>
              <w:end w:w="100" w:type="dxa"/>
            </w:tcMar>
          </w:tcPr>
          <w:p>
            <w:r>
              <w:rPr>
                <w:b/>
                <w:color w:val="FFFFFF"/>
                <w:sz w:val="14"/>
              </w:rPr>
              <w:t>Vertical</w:t>
            </w:r>
          </w:p>
        </w:tc>
        <w:tc>
          <w:tcPr>
            <w:tcW w:type="dxa" w:w="2033"/>
            <w:shd w:fill="13263D"/>
            <w:vAlign w:val="center"/>
            <w:tcMar>
              <w:top w:w="90" w:type="dxa"/>
              <w:start w:w="100" w:type="dxa"/>
              <w:bottom w:w="90" w:type="dxa"/>
              <w:end w:w="100" w:type="dxa"/>
            </w:tcMar>
          </w:tcPr>
          <w:p>
            <w:r>
              <w:rPr>
                <w:b/>
                <w:color w:val="FFFFFF"/>
                <w:sz w:val="14"/>
              </w:rPr>
              <w:t>Priority workloads</w:t>
            </w:r>
          </w:p>
        </w:tc>
        <w:tc>
          <w:tcPr>
            <w:tcW w:type="dxa" w:w="2033"/>
            <w:shd w:fill="13263D"/>
            <w:vAlign w:val="center"/>
            <w:tcMar>
              <w:top w:w="90" w:type="dxa"/>
              <w:start w:w="100" w:type="dxa"/>
              <w:bottom w:w="90" w:type="dxa"/>
              <w:end w:w="100" w:type="dxa"/>
            </w:tcMar>
          </w:tcPr>
          <w:p>
            <w:r>
              <w:rPr>
                <w:b/>
                <w:color w:val="FFFFFF"/>
                <w:sz w:val="14"/>
              </w:rPr>
              <w:t>ATMOS pattern</w:t>
            </w:r>
          </w:p>
        </w:tc>
        <w:tc>
          <w:tcPr>
            <w:tcW w:type="dxa" w:w="2033"/>
            <w:shd w:fill="13263D"/>
            <w:vAlign w:val="center"/>
            <w:tcMar>
              <w:top w:w="90" w:type="dxa"/>
              <w:start w:w="100" w:type="dxa"/>
              <w:bottom w:w="90" w:type="dxa"/>
              <w:end w:w="100" w:type="dxa"/>
            </w:tcMar>
          </w:tcPr>
          <w:p>
            <w:r>
              <w:rPr>
                <w:b/>
                <w:color w:val="FFFFFF"/>
                <w:sz w:val="14"/>
              </w:rPr>
              <w:t>Primary KPIs</w:t>
            </w:r>
          </w:p>
        </w:tc>
        <w:tc>
          <w:tcPr>
            <w:tcW w:type="dxa" w:w="2033"/>
            <w:shd w:fill="13263D"/>
            <w:vAlign w:val="center"/>
            <w:tcMar>
              <w:top w:w="90" w:type="dxa"/>
              <w:start w:w="100" w:type="dxa"/>
              <w:bottom w:w="90" w:type="dxa"/>
              <w:end w:w="100" w:type="dxa"/>
            </w:tcMar>
          </w:tcPr>
          <w:p>
            <w:r>
              <w:rPr>
                <w:b/>
                <w:color w:val="FFFFFF"/>
                <w:sz w:val="14"/>
              </w:rPr>
              <w:t>Key qualification</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4"/>
              </w:rPr>
              <w:t>Financial Services</w:t>
            </w:r>
          </w:p>
        </w:tc>
        <w:tc>
          <w:tcPr>
            <w:tcW w:type="dxa" w:w="2592"/>
            <w:vAlign w:val="center"/>
            <w:tcMar>
              <w:top w:w="90" w:type="dxa"/>
              <w:start w:w="100" w:type="dxa"/>
              <w:bottom w:w="90" w:type="dxa"/>
              <w:end w:w="100" w:type="dxa"/>
            </w:tcMar>
          </w:tcPr>
          <w:p>
            <w:pPr>
              <w:spacing w:after="20" w:line="245" w:lineRule="auto"/>
            </w:pPr>
            <w:r>
              <w:rPr>
                <w:color w:val="1F2933"/>
                <w:sz w:val="14"/>
              </w:rPr>
              <w:t>Compliance/evidence retrieval; fraud and investigation similarity; research and policy search</w:t>
            </w:r>
          </w:p>
        </w:tc>
        <w:tc>
          <w:tcPr>
            <w:tcW w:type="dxa" w:w="2160"/>
            <w:vAlign w:val="center"/>
            <w:tcMar>
              <w:top w:w="90" w:type="dxa"/>
              <w:start w:w="100" w:type="dxa"/>
              <w:bottom w:w="90" w:type="dxa"/>
              <w:end w:w="100" w:type="dxa"/>
            </w:tcMar>
          </w:tcPr>
          <w:p>
            <w:pPr>
              <w:spacing w:after="20" w:line="245" w:lineRule="auto"/>
            </w:pPr>
            <w:r>
              <w:rPr>
                <w:color w:val="1F2933"/>
                <w:sz w:val="14"/>
              </w:rPr>
              <w:t>Candidate refinement + late interaction</w:t>
            </w:r>
          </w:p>
        </w:tc>
        <w:tc>
          <w:tcPr>
            <w:tcW w:type="dxa" w:w="2592"/>
            <w:vAlign w:val="center"/>
            <w:tcMar>
              <w:top w:w="90" w:type="dxa"/>
              <w:start w:w="100" w:type="dxa"/>
              <w:bottom w:w="90" w:type="dxa"/>
              <w:end w:w="100" w:type="dxa"/>
            </w:tcMar>
          </w:tcPr>
          <w:p>
            <w:pPr>
              <w:spacing w:after="20" w:line="245" w:lineRule="auto"/>
            </w:pPr>
            <w:r>
              <w:rPr>
                <w:color w:val="1F2933"/>
                <w:sz w:val="14"/>
              </w:rPr>
              <w:t>NDCG/Recall, evidence precision, p99, prompt-token reduction, analyst review time</w:t>
            </w:r>
          </w:p>
        </w:tc>
        <w:tc>
          <w:tcPr>
            <w:tcW w:type="dxa" w:w="2376"/>
            <w:vAlign w:val="center"/>
            <w:tcMar>
              <w:top w:w="90" w:type="dxa"/>
              <w:start w:w="100" w:type="dxa"/>
              <w:bottom w:w="90" w:type="dxa"/>
              <w:end w:w="100" w:type="dxa"/>
            </w:tcMar>
          </w:tcPr>
          <w:p>
            <w:pPr>
              <w:spacing w:after="20" w:line="245" w:lineRule="auto"/>
            </w:pPr>
            <w:r>
              <w:rPr>
                <w:color w:val="1F2933"/>
                <w:sz w:val="14"/>
              </w:rPr>
              <w:t>Security, tenant isolation, signed firmware, deterministic audit trace</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4"/>
              </w:rPr>
              <w:t>Healthcare</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Clinical-policy search; prior authorization evidence; coding guidance; similar-case retrieval</w:t>
            </w:r>
          </w:p>
        </w:tc>
        <w:tc>
          <w:tcPr>
            <w:tcW w:type="dxa" w:w="2160"/>
            <w:vAlign w:val="center"/>
            <w:tcMar>
              <w:top w:w="90" w:type="dxa"/>
              <w:start w:w="100" w:type="dxa"/>
              <w:bottom w:w="90" w:type="dxa"/>
              <w:end w:w="100" w:type="dxa"/>
            </w:tcMar>
            <w:shd w:fill="F4F7F9"/>
          </w:tcPr>
          <w:p>
            <w:pPr>
              <w:spacing w:after="20" w:line="245" w:lineRule="auto"/>
            </w:pPr>
            <w:r>
              <w:rPr>
                <w:color w:val="1F2933"/>
                <w:sz w:val="14"/>
              </w:rPr>
              <w:t>Late interaction + reusable document features</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Recall of qualifying criteria, unsupported-answer rate, p99, clinician review time</w:t>
            </w:r>
          </w:p>
        </w:tc>
        <w:tc>
          <w:tcPr>
            <w:tcW w:type="dxa" w:w="2376"/>
            <w:vAlign w:val="center"/>
            <w:tcMar>
              <w:top w:w="90" w:type="dxa"/>
              <w:start w:w="100" w:type="dxa"/>
              <w:bottom w:w="90" w:type="dxa"/>
              <w:end w:w="100" w:type="dxa"/>
            </w:tcMar>
            <w:shd w:fill="F4F7F9"/>
          </w:tcPr>
          <w:p>
            <w:pPr>
              <w:spacing w:after="20" w:line="245" w:lineRule="auto"/>
            </w:pPr>
            <w:r>
              <w:rPr>
                <w:color w:val="1F2933"/>
                <w:sz w:val="14"/>
              </w:rPr>
              <w:t>Data residency, access filtering, validation and careful workflow boundaries</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4"/>
              </w:rPr>
              <w:t>Insurance</w:t>
            </w:r>
          </w:p>
        </w:tc>
        <w:tc>
          <w:tcPr>
            <w:tcW w:type="dxa" w:w="2592"/>
            <w:vAlign w:val="center"/>
            <w:tcMar>
              <w:top w:w="90" w:type="dxa"/>
              <w:start w:w="100" w:type="dxa"/>
              <w:bottom w:w="90" w:type="dxa"/>
              <w:end w:w="100" w:type="dxa"/>
            </w:tcMar>
          </w:tcPr>
          <w:p>
            <w:pPr>
              <w:spacing w:after="20" w:line="245" w:lineRule="auto"/>
            </w:pPr>
            <w:r>
              <w:rPr>
                <w:color w:val="1F2933"/>
                <w:sz w:val="14"/>
              </w:rPr>
              <w:t>Claims similarity; policy interpretation; fraud triage; document completeness</w:t>
            </w:r>
          </w:p>
        </w:tc>
        <w:tc>
          <w:tcPr>
            <w:tcW w:type="dxa" w:w="2160"/>
            <w:vAlign w:val="center"/>
            <w:tcMar>
              <w:top w:w="90" w:type="dxa"/>
              <w:start w:w="100" w:type="dxa"/>
              <w:bottom w:w="90" w:type="dxa"/>
              <w:end w:w="100" w:type="dxa"/>
            </w:tcMar>
          </w:tcPr>
          <w:p>
            <w:pPr>
              <w:spacing w:after="20" w:line="245" w:lineRule="auto"/>
            </w:pPr>
            <w:r>
              <w:rPr>
                <w:color w:val="1F2933"/>
                <w:sz w:val="14"/>
              </w:rPr>
              <w:t>VLM/document feature store + refinement</w:t>
            </w:r>
          </w:p>
        </w:tc>
        <w:tc>
          <w:tcPr>
            <w:tcW w:type="dxa" w:w="2592"/>
            <w:vAlign w:val="center"/>
            <w:tcMar>
              <w:top w:w="90" w:type="dxa"/>
              <w:start w:w="100" w:type="dxa"/>
              <w:bottom w:w="90" w:type="dxa"/>
              <w:end w:w="100" w:type="dxa"/>
            </w:tcMar>
          </w:tcPr>
          <w:p>
            <w:pPr>
              <w:spacing w:after="20" w:line="245" w:lineRule="auto"/>
            </w:pPr>
            <w:r>
              <w:rPr>
                <w:color w:val="1F2933"/>
                <w:sz w:val="14"/>
              </w:rPr>
              <w:t>Case retrieval precision, manual touch reduction, throughput per watt</w:t>
            </w:r>
          </w:p>
        </w:tc>
        <w:tc>
          <w:tcPr>
            <w:tcW w:type="dxa" w:w="2376"/>
            <w:vAlign w:val="center"/>
            <w:tcMar>
              <w:top w:w="90" w:type="dxa"/>
              <w:start w:w="100" w:type="dxa"/>
              <w:bottom w:w="90" w:type="dxa"/>
              <w:end w:w="100" w:type="dxa"/>
            </w:tcMar>
          </w:tcPr>
          <w:p>
            <w:pPr>
              <w:spacing w:after="20" w:line="245" w:lineRule="auto"/>
            </w:pPr>
            <w:r>
              <w:rPr>
                <w:color w:val="1F2933"/>
                <w:sz w:val="14"/>
              </w:rPr>
              <w:t>Image/document feature support and frequent reuse</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4"/>
              </w:rPr>
              <w:t>Legal</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Clause matching; discovery; precedent retrieval; contract comparison</w:t>
            </w:r>
          </w:p>
        </w:tc>
        <w:tc>
          <w:tcPr>
            <w:tcW w:type="dxa" w:w="2160"/>
            <w:vAlign w:val="center"/>
            <w:tcMar>
              <w:top w:w="90" w:type="dxa"/>
              <w:start w:w="100" w:type="dxa"/>
              <w:bottom w:w="90" w:type="dxa"/>
              <w:end w:w="100" w:type="dxa"/>
            </w:tcMar>
            <w:shd w:fill="F4F7F9"/>
          </w:tcPr>
          <w:p>
            <w:pPr>
              <w:spacing w:after="20" w:line="245" w:lineRule="auto"/>
            </w:pPr>
            <w:r>
              <w:rPr>
                <w:color w:val="1F2933"/>
                <w:sz w:val="14"/>
              </w:rPr>
              <w:t>Multi-vector retrieval + neural reranking</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NDCG/MRR, evidence precision, missed-clause rate, p99</w:t>
            </w:r>
          </w:p>
        </w:tc>
        <w:tc>
          <w:tcPr>
            <w:tcW w:type="dxa" w:w="2376"/>
            <w:vAlign w:val="center"/>
            <w:tcMar>
              <w:top w:w="90" w:type="dxa"/>
              <w:start w:w="100" w:type="dxa"/>
              <w:bottom w:w="90" w:type="dxa"/>
              <w:end w:w="100" w:type="dxa"/>
            </w:tcMar>
            <w:shd w:fill="F4F7F9"/>
          </w:tcPr>
          <w:p>
            <w:pPr>
              <w:spacing w:after="20" w:line="245" w:lineRule="auto"/>
            </w:pPr>
            <w:r>
              <w:rPr>
                <w:color w:val="1F2933"/>
                <w:sz w:val="14"/>
              </w:rPr>
              <w:t>High-quality dataset and domain evaluation</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4"/>
              </w:rPr>
              <w:t>Manufacturing &amp; Semiconductor</w:t>
            </w:r>
          </w:p>
        </w:tc>
        <w:tc>
          <w:tcPr>
            <w:tcW w:type="dxa" w:w="2592"/>
            <w:vAlign w:val="center"/>
            <w:tcMar>
              <w:top w:w="90" w:type="dxa"/>
              <w:start w:w="100" w:type="dxa"/>
              <w:bottom w:w="90" w:type="dxa"/>
              <w:end w:w="100" w:type="dxa"/>
            </w:tcMar>
          </w:tcPr>
          <w:p>
            <w:pPr>
              <w:spacing w:after="20" w:line="245" w:lineRule="auto"/>
            </w:pPr>
            <w:r>
              <w:rPr>
                <w:color w:val="1F2933"/>
                <w:sz w:val="14"/>
              </w:rPr>
              <w:t>Failure analysis; corrective-action search; spec/procedure retrieval; image similarity</w:t>
            </w:r>
          </w:p>
        </w:tc>
        <w:tc>
          <w:tcPr>
            <w:tcW w:type="dxa" w:w="2160"/>
            <w:vAlign w:val="center"/>
            <w:tcMar>
              <w:top w:w="90" w:type="dxa"/>
              <w:start w:w="100" w:type="dxa"/>
              <w:bottom w:w="90" w:type="dxa"/>
              <w:end w:w="100" w:type="dxa"/>
            </w:tcMar>
          </w:tcPr>
          <w:p>
            <w:pPr>
              <w:spacing w:after="20" w:line="245" w:lineRule="auto"/>
            </w:pPr>
            <w:r>
              <w:rPr>
                <w:color w:val="1F2933"/>
                <w:sz w:val="14"/>
              </w:rPr>
              <w:t>Document/VLM features + late interaction</w:t>
            </w:r>
          </w:p>
        </w:tc>
        <w:tc>
          <w:tcPr>
            <w:tcW w:type="dxa" w:w="2592"/>
            <w:vAlign w:val="center"/>
            <w:tcMar>
              <w:top w:w="90" w:type="dxa"/>
              <w:start w:w="100" w:type="dxa"/>
              <w:bottom w:w="90" w:type="dxa"/>
              <w:end w:w="100" w:type="dxa"/>
            </w:tcMar>
          </w:tcPr>
          <w:p>
            <w:pPr>
              <w:spacing w:after="20" w:line="245" w:lineRule="auto"/>
            </w:pPr>
            <w:r>
              <w:rPr>
                <w:color w:val="1F2933"/>
                <w:sz w:val="14"/>
              </w:rPr>
              <w:t>Top-k root-cause evidence, time-to-find, false match rate</w:t>
            </w:r>
          </w:p>
        </w:tc>
        <w:tc>
          <w:tcPr>
            <w:tcW w:type="dxa" w:w="2376"/>
            <w:vAlign w:val="center"/>
            <w:tcMar>
              <w:top w:w="90" w:type="dxa"/>
              <w:start w:w="100" w:type="dxa"/>
              <w:bottom w:w="90" w:type="dxa"/>
              <w:end w:w="100" w:type="dxa"/>
            </w:tcMar>
          </w:tcPr>
          <w:p>
            <w:pPr>
              <w:spacing w:after="20" w:line="245" w:lineRule="auto"/>
            </w:pPr>
            <w:r>
              <w:rPr>
                <w:color w:val="1F2933"/>
                <w:sz w:val="14"/>
              </w:rPr>
              <w:t>Multimodal operators and domain-specific embeddings</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4"/>
              </w:rPr>
              <w:t>Pharma &amp; Life Sciences</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Protocol, trial, publication and safety-signal retrieval</w:t>
            </w:r>
          </w:p>
        </w:tc>
        <w:tc>
          <w:tcPr>
            <w:tcW w:type="dxa" w:w="2160"/>
            <w:vAlign w:val="center"/>
            <w:tcMar>
              <w:top w:w="90" w:type="dxa"/>
              <w:start w:w="100" w:type="dxa"/>
              <w:bottom w:w="90" w:type="dxa"/>
              <w:end w:w="100" w:type="dxa"/>
            </w:tcMar>
            <w:shd w:fill="F4F7F9"/>
          </w:tcPr>
          <w:p>
            <w:pPr>
              <w:spacing w:after="20" w:line="245" w:lineRule="auto"/>
            </w:pPr>
            <w:r>
              <w:rPr>
                <w:color w:val="1F2933"/>
                <w:sz w:val="14"/>
              </w:rPr>
              <w:t>Late interaction + entity-rich features</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Evidence recall, entity fidelity, review efficiency</w:t>
            </w:r>
          </w:p>
        </w:tc>
        <w:tc>
          <w:tcPr>
            <w:tcW w:type="dxa" w:w="2376"/>
            <w:vAlign w:val="center"/>
            <w:tcMar>
              <w:top w:w="90" w:type="dxa"/>
              <w:start w:w="100" w:type="dxa"/>
              <w:bottom w:w="90" w:type="dxa"/>
              <w:end w:w="100" w:type="dxa"/>
            </w:tcMar>
            <w:shd w:fill="F4F7F9"/>
          </w:tcPr>
          <w:p>
            <w:pPr>
              <w:spacing w:after="20" w:line="245" w:lineRule="auto"/>
            </w:pPr>
            <w:r>
              <w:rPr>
                <w:color w:val="1F2933"/>
                <w:sz w:val="14"/>
              </w:rPr>
              <w:t>Regulatory validation and provenance</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4"/>
              </w:rPr>
              <w:t>Retail &amp; E-commerce</w:t>
            </w:r>
          </w:p>
        </w:tc>
        <w:tc>
          <w:tcPr>
            <w:tcW w:type="dxa" w:w="2592"/>
            <w:vAlign w:val="center"/>
            <w:tcMar>
              <w:top w:w="90" w:type="dxa"/>
              <w:start w:w="100" w:type="dxa"/>
              <w:bottom w:w="90" w:type="dxa"/>
              <w:end w:w="100" w:type="dxa"/>
            </w:tcMar>
          </w:tcPr>
          <w:p>
            <w:pPr>
              <w:spacing w:after="20" w:line="245" w:lineRule="auto"/>
            </w:pPr>
            <w:r>
              <w:rPr>
                <w:color w:val="1F2933"/>
                <w:sz w:val="14"/>
              </w:rPr>
              <w:t>Product similarity, catalog search, attribute matching and recommendation features</w:t>
            </w:r>
          </w:p>
        </w:tc>
        <w:tc>
          <w:tcPr>
            <w:tcW w:type="dxa" w:w="2160"/>
            <w:vAlign w:val="center"/>
            <w:tcMar>
              <w:top w:w="90" w:type="dxa"/>
              <w:start w:w="100" w:type="dxa"/>
              <w:bottom w:w="90" w:type="dxa"/>
              <w:end w:w="100" w:type="dxa"/>
            </w:tcMar>
          </w:tcPr>
          <w:p>
            <w:pPr>
              <w:spacing w:after="20" w:line="245" w:lineRule="auto"/>
            </w:pPr>
            <w:r>
              <w:rPr>
                <w:color w:val="1F2933"/>
                <w:sz w:val="14"/>
              </w:rPr>
              <w:t>Vector refinement + embedding tables</w:t>
            </w:r>
          </w:p>
        </w:tc>
        <w:tc>
          <w:tcPr>
            <w:tcW w:type="dxa" w:w="2592"/>
            <w:vAlign w:val="center"/>
            <w:tcMar>
              <w:top w:w="90" w:type="dxa"/>
              <w:start w:w="100" w:type="dxa"/>
              <w:bottom w:w="90" w:type="dxa"/>
              <w:end w:w="100" w:type="dxa"/>
            </w:tcMar>
          </w:tcPr>
          <w:p>
            <w:pPr>
              <w:spacing w:after="20" w:line="245" w:lineRule="auto"/>
            </w:pPr>
            <w:r>
              <w:rPr>
                <w:color w:val="1F2933"/>
                <w:sz w:val="14"/>
              </w:rPr>
              <w:t>Conversion proxy, recall, QPS/W, candidates reduced</w:t>
            </w:r>
          </w:p>
        </w:tc>
        <w:tc>
          <w:tcPr>
            <w:tcW w:type="dxa" w:w="2376"/>
            <w:vAlign w:val="center"/>
            <w:tcMar>
              <w:top w:w="90" w:type="dxa"/>
              <w:start w:w="100" w:type="dxa"/>
              <w:bottom w:w="90" w:type="dxa"/>
              <w:end w:w="100" w:type="dxa"/>
            </w:tcMar>
          </w:tcPr>
          <w:p>
            <w:pPr>
              <w:spacing w:after="20" w:line="245" w:lineRule="auto"/>
            </w:pPr>
            <w:r>
              <w:rPr>
                <w:color w:val="1F2933"/>
                <w:sz w:val="14"/>
              </w:rPr>
              <w:t>Frequent updates and write/endurance design</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4"/>
              </w:rPr>
              <w:t>Media &amp; Entertainment</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Video scene, image and audio retrieval; duplicate detection</w:t>
            </w:r>
          </w:p>
        </w:tc>
        <w:tc>
          <w:tcPr>
            <w:tcW w:type="dxa" w:w="2160"/>
            <w:vAlign w:val="center"/>
            <w:tcMar>
              <w:top w:w="90" w:type="dxa"/>
              <w:start w:w="100" w:type="dxa"/>
              <w:bottom w:w="90" w:type="dxa"/>
              <w:end w:w="100" w:type="dxa"/>
            </w:tcMar>
            <w:shd w:fill="F4F7F9"/>
          </w:tcPr>
          <w:p>
            <w:pPr>
              <w:spacing w:after="20" w:line="245" w:lineRule="auto"/>
            </w:pPr>
            <w:r>
              <w:rPr>
                <w:color w:val="1F2933"/>
                <w:sz w:val="14"/>
              </w:rPr>
              <w:t>Reusable multimodal feature shards</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Search quality, clip/frame retrieval latency, cost per million queries</w:t>
            </w:r>
          </w:p>
        </w:tc>
        <w:tc>
          <w:tcPr>
            <w:tcW w:type="dxa" w:w="2376"/>
            <w:vAlign w:val="center"/>
            <w:tcMar>
              <w:top w:w="90" w:type="dxa"/>
              <w:start w:w="100" w:type="dxa"/>
              <w:bottom w:w="90" w:type="dxa"/>
              <w:end w:w="100" w:type="dxa"/>
            </w:tcMar>
            <w:shd w:fill="F4F7F9"/>
          </w:tcPr>
          <w:p>
            <w:pPr>
              <w:spacing w:after="20" w:line="245" w:lineRule="auto"/>
            </w:pPr>
            <w:r>
              <w:rPr>
                <w:color w:val="1F2933"/>
                <w:sz w:val="14"/>
              </w:rPr>
              <w:t>Large feature footprint and offline ingestion pipeline</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4"/>
              </w:rPr>
              <w:t>Cybersecurity</w:t>
            </w:r>
          </w:p>
        </w:tc>
        <w:tc>
          <w:tcPr>
            <w:tcW w:type="dxa" w:w="2592"/>
            <w:vAlign w:val="center"/>
            <w:tcMar>
              <w:top w:w="90" w:type="dxa"/>
              <w:start w:w="100" w:type="dxa"/>
              <w:bottom w:w="90" w:type="dxa"/>
              <w:end w:w="100" w:type="dxa"/>
            </w:tcMar>
          </w:tcPr>
          <w:p>
            <w:pPr>
              <w:spacing w:after="20" w:line="245" w:lineRule="auto"/>
            </w:pPr>
            <w:r>
              <w:rPr>
                <w:color w:val="1F2933"/>
                <w:sz w:val="14"/>
              </w:rPr>
              <w:t>Alert, threat, malware and incident similarity; threat-intel retrieval</w:t>
            </w:r>
          </w:p>
        </w:tc>
        <w:tc>
          <w:tcPr>
            <w:tcW w:type="dxa" w:w="2160"/>
            <w:vAlign w:val="center"/>
            <w:tcMar>
              <w:top w:w="90" w:type="dxa"/>
              <w:start w:w="100" w:type="dxa"/>
              <w:bottom w:w="90" w:type="dxa"/>
              <w:end w:w="100" w:type="dxa"/>
            </w:tcMar>
          </w:tcPr>
          <w:p>
            <w:pPr>
              <w:spacing w:after="20" w:line="245" w:lineRule="auto"/>
            </w:pPr>
            <w:r>
              <w:rPr>
                <w:color w:val="1F2933"/>
                <w:sz w:val="14"/>
              </w:rPr>
              <w:t>Candidate refinement + multi-vector search</w:t>
            </w:r>
          </w:p>
        </w:tc>
        <w:tc>
          <w:tcPr>
            <w:tcW w:type="dxa" w:w="2592"/>
            <w:vAlign w:val="center"/>
            <w:tcMar>
              <w:top w:w="90" w:type="dxa"/>
              <w:start w:w="100" w:type="dxa"/>
              <w:bottom w:w="90" w:type="dxa"/>
              <w:end w:w="100" w:type="dxa"/>
            </w:tcMar>
          </w:tcPr>
          <w:p>
            <w:pPr>
              <w:spacing w:after="20" w:line="245" w:lineRule="auto"/>
            </w:pPr>
            <w:r>
              <w:rPr>
                <w:color w:val="1F2933"/>
                <w:sz w:val="14"/>
              </w:rPr>
              <w:t>Detection recall, analyst time, p99, false positives</w:t>
            </w:r>
          </w:p>
        </w:tc>
        <w:tc>
          <w:tcPr>
            <w:tcW w:type="dxa" w:w="2376"/>
            <w:vAlign w:val="center"/>
            <w:tcMar>
              <w:top w:w="90" w:type="dxa"/>
              <w:start w:w="100" w:type="dxa"/>
              <w:bottom w:w="90" w:type="dxa"/>
              <w:end w:w="100" w:type="dxa"/>
            </w:tcMar>
          </w:tcPr>
          <w:p>
            <w:pPr>
              <w:spacing w:after="20" w:line="245" w:lineRule="auto"/>
            </w:pPr>
            <w:r>
              <w:rPr>
                <w:color w:val="1F2933"/>
                <w:sz w:val="14"/>
              </w:rPr>
              <w:t>Rapid updates, tenant isolation and freshness</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4"/>
              </w:rPr>
              <w:t>Government / Sovereign</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Private records search; policy evidence; air-gapped knowledge systems</w:t>
            </w:r>
          </w:p>
        </w:tc>
        <w:tc>
          <w:tcPr>
            <w:tcW w:type="dxa" w:w="2160"/>
            <w:vAlign w:val="center"/>
            <w:tcMar>
              <w:top w:w="90" w:type="dxa"/>
              <w:start w:w="100" w:type="dxa"/>
              <w:bottom w:w="90" w:type="dxa"/>
              <w:end w:w="100" w:type="dxa"/>
            </w:tcMar>
            <w:shd w:fill="F4F7F9"/>
          </w:tcPr>
          <w:p>
            <w:pPr>
              <w:spacing w:after="20" w:line="245" w:lineRule="auto"/>
            </w:pPr>
            <w:r>
              <w:rPr>
                <w:color w:val="1F2933"/>
                <w:sz w:val="14"/>
              </w:rPr>
              <w:t>HBF retrieval + optional dense specialist model</w:t>
            </w:r>
          </w:p>
        </w:tc>
        <w:tc>
          <w:tcPr>
            <w:tcW w:type="dxa" w:w="2592"/>
            <w:vAlign w:val="center"/>
            <w:tcMar>
              <w:top w:w="90" w:type="dxa"/>
              <w:start w:w="100" w:type="dxa"/>
              <w:bottom w:w="90" w:type="dxa"/>
              <w:end w:w="100" w:type="dxa"/>
            </w:tcMar>
            <w:shd w:fill="F4F7F9"/>
          </w:tcPr>
          <w:p>
            <w:pPr>
              <w:spacing w:after="20" w:line="245" w:lineRule="auto"/>
            </w:pPr>
            <w:r>
              <w:rPr>
                <w:color w:val="1F2933"/>
                <w:sz w:val="14"/>
              </w:rPr>
              <w:t>Data-residency compliance, evidence precision, availability</w:t>
            </w:r>
          </w:p>
        </w:tc>
        <w:tc>
          <w:tcPr>
            <w:tcW w:type="dxa" w:w="2376"/>
            <w:vAlign w:val="center"/>
            <w:tcMar>
              <w:top w:w="90" w:type="dxa"/>
              <w:start w:w="100" w:type="dxa"/>
              <w:bottom w:w="90" w:type="dxa"/>
              <w:end w:w="100" w:type="dxa"/>
            </w:tcMar>
            <w:shd w:fill="F4F7F9"/>
          </w:tcPr>
          <w:p>
            <w:pPr>
              <w:spacing w:after="20" w:line="245" w:lineRule="auto"/>
            </w:pPr>
            <w:r>
              <w:rPr>
                <w:color w:val="1F2933"/>
                <w:sz w:val="14"/>
              </w:rPr>
              <w:t>Long lifecycle, secure update and offline operations</w:t>
            </w:r>
          </w:p>
        </w:tc>
      </w:tr>
    </w:tbl>
    <w:p>
      <w:pPr>
        <w:spacing w:after="20"/>
      </w:pPr>
    </w:p>
    <w:p>
      <w:pPr>
        <w:pStyle w:val="Heading1"/>
      </w:pPr>
      <w:r>
        <w:t>4.1 Vertical ranking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Rank</w:t>
            </w:r>
          </w:p>
        </w:tc>
        <w:tc>
          <w:tcPr>
            <w:tcW w:type="dxa" w:w="3389"/>
            <w:shd w:fill="13263D"/>
            <w:vAlign w:val="center"/>
            <w:tcMar>
              <w:top w:w="90" w:type="dxa"/>
              <w:start w:w="100" w:type="dxa"/>
              <w:bottom w:w="90" w:type="dxa"/>
              <w:end w:w="100" w:type="dxa"/>
            </w:tcMar>
          </w:tcPr>
          <w:p>
            <w:r>
              <w:rPr>
                <w:b/>
                <w:color w:val="FFFFFF"/>
                <w:sz w:val="16"/>
              </w:rPr>
              <w:t>Vertical</w:t>
            </w:r>
          </w:p>
        </w:tc>
        <w:tc>
          <w:tcPr>
            <w:tcW w:type="dxa" w:w="3389"/>
            <w:shd w:fill="13263D"/>
            <w:vAlign w:val="center"/>
            <w:tcMar>
              <w:top w:w="90" w:type="dxa"/>
              <w:start w:w="100" w:type="dxa"/>
              <w:bottom w:w="90" w:type="dxa"/>
              <w:end w:w="100" w:type="dxa"/>
            </w:tcMar>
          </w:tcPr>
          <w:p>
            <w:r>
              <w:rPr>
                <w:b/>
                <w:color w:val="FFFFFF"/>
                <w:sz w:val="16"/>
              </w:rPr>
              <w:t>Reason to lead</w:t>
            </w:r>
          </w:p>
        </w:tc>
      </w:tr>
      <w:tr>
        <w:trPr>
          <w:cantSplit/>
        </w:trPr>
        <w:tc>
          <w:tcPr>
            <w:tcW w:type="dxa" w:w="792"/>
            <w:vAlign w:val="center"/>
            <w:tcMar>
              <w:top w:w="90" w:type="dxa"/>
              <w:start w:w="100" w:type="dxa"/>
              <w:bottom w:w="90" w:type="dxa"/>
              <w:end w:w="100" w:type="dxa"/>
            </w:tcMar>
          </w:tcPr>
          <w:p>
            <w:pPr>
              <w:spacing w:after="20" w:line="245" w:lineRule="auto"/>
            </w:pPr>
            <w:r>
              <w:rPr>
                <w:color w:val="1F2933"/>
                <w:sz w:val="16"/>
              </w:rPr>
              <w:t>1</w:t>
            </w:r>
          </w:p>
        </w:tc>
        <w:tc>
          <w:tcPr>
            <w:tcW w:type="dxa" w:w="2880"/>
            <w:vAlign w:val="center"/>
            <w:tcMar>
              <w:top w:w="90" w:type="dxa"/>
              <w:start w:w="100" w:type="dxa"/>
              <w:bottom w:w="90" w:type="dxa"/>
              <w:end w:w="100" w:type="dxa"/>
            </w:tcMar>
          </w:tcPr>
          <w:p>
            <w:pPr>
              <w:spacing w:after="20" w:line="245" w:lineRule="auto"/>
            </w:pPr>
            <w:r>
              <w:rPr>
                <w:color w:val="1F2933"/>
                <w:sz w:val="16"/>
              </w:rPr>
              <w:t>Financial services</w:t>
            </w:r>
          </w:p>
        </w:tc>
        <w:tc>
          <w:tcPr>
            <w:tcW w:type="dxa" w:w="6624"/>
            <w:vAlign w:val="center"/>
            <w:tcMar>
              <w:top w:w="90" w:type="dxa"/>
              <w:start w:w="100" w:type="dxa"/>
              <w:bottom w:w="90" w:type="dxa"/>
              <w:end w:w="100" w:type="dxa"/>
            </w:tcMar>
          </w:tcPr>
          <w:p>
            <w:pPr>
              <w:spacing w:after="20" w:line="245" w:lineRule="auto"/>
            </w:pPr>
            <w:r>
              <w:rPr>
                <w:color w:val="1F2933"/>
                <w:sz w:val="16"/>
              </w:rPr>
              <w:t>High value per correct result, moderate-to-large corpora, private infrastructure and strong evidence requirements</w:t>
            </w:r>
          </w:p>
        </w:tc>
      </w:tr>
      <w:tr>
        <w:trPr>
          <w:cantSplit/>
        </w:trPr>
        <w:tc>
          <w:tcPr>
            <w:tcW w:type="dxa" w:w="792"/>
            <w:vAlign w:val="center"/>
            <w:tcMar>
              <w:top w:w="90" w:type="dxa"/>
              <w:start w:w="100" w:type="dxa"/>
              <w:bottom w:w="90" w:type="dxa"/>
              <w:end w:w="100" w:type="dxa"/>
            </w:tcMar>
            <w:shd w:fill="F4F7F9"/>
          </w:tcPr>
          <w:p>
            <w:pPr>
              <w:spacing w:after="20" w:line="245" w:lineRule="auto"/>
            </w:pPr>
            <w:r>
              <w:rPr>
                <w:color w:val="1F2933"/>
                <w:sz w:val="16"/>
              </w:rPr>
              <w:t>2</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Legal and compliance</w:t>
            </w:r>
          </w:p>
        </w:tc>
        <w:tc>
          <w:tcPr>
            <w:tcW w:type="dxa" w:w="6624"/>
            <w:vAlign w:val="center"/>
            <w:tcMar>
              <w:top w:w="90" w:type="dxa"/>
              <w:start w:w="100" w:type="dxa"/>
              <w:bottom w:w="90" w:type="dxa"/>
              <w:end w:w="100" w:type="dxa"/>
            </w:tcMar>
            <w:shd w:fill="F4F7F9"/>
          </w:tcPr>
          <w:p>
            <w:pPr>
              <w:spacing w:after="20" w:line="245" w:lineRule="auto"/>
            </w:pPr>
            <w:r>
              <w:rPr>
                <w:color w:val="1F2933"/>
                <w:sz w:val="16"/>
              </w:rPr>
              <w:t>Retrieval quality and phrase-level matching matter more than raw scale</w:t>
            </w:r>
          </w:p>
        </w:tc>
      </w:tr>
      <w:tr>
        <w:trPr>
          <w:cantSplit/>
        </w:trPr>
        <w:tc>
          <w:tcPr>
            <w:tcW w:type="dxa" w:w="792"/>
            <w:vAlign w:val="center"/>
            <w:tcMar>
              <w:top w:w="90" w:type="dxa"/>
              <w:start w:w="100" w:type="dxa"/>
              <w:bottom w:w="90" w:type="dxa"/>
              <w:end w:w="100" w:type="dxa"/>
            </w:tcMar>
          </w:tcPr>
          <w:p>
            <w:pPr>
              <w:spacing w:after="20" w:line="245" w:lineRule="auto"/>
            </w:pPr>
            <w:r>
              <w:rPr>
                <w:color w:val="1F2933"/>
                <w:sz w:val="16"/>
              </w:rPr>
              <w:t>3</w:t>
            </w:r>
          </w:p>
        </w:tc>
        <w:tc>
          <w:tcPr>
            <w:tcW w:type="dxa" w:w="2880"/>
            <w:vAlign w:val="center"/>
            <w:tcMar>
              <w:top w:w="90" w:type="dxa"/>
              <w:start w:w="100" w:type="dxa"/>
              <w:bottom w:w="90" w:type="dxa"/>
              <w:end w:w="100" w:type="dxa"/>
            </w:tcMar>
          </w:tcPr>
          <w:p>
            <w:pPr>
              <w:spacing w:after="20" w:line="245" w:lineRule="auto"/>
            </w:pPr>
            <w:r>
              <w:rPr>
                <w:color w:val="1F2933"/>
                <w:sz w:val="16"/>
              </w:rPr>
              <w:t>Manufacturing / semiconductor</w:t>
            </w:r>
          </w:p>
        </w:tc>
        <w:tc>
          <w:tcPr>
            <w:tcW w:type="dxa" w:w="6624"/>
            <w:vAlign w:val="center"/>
            <w:tcMar>
              <w:top w:w="90" w:type="dxa"/>
              <w:start w:w="100" w:type="dxa"/>
              <w:bottom w:w="90" w:type="dxa"/>
              <w:end w:w="100" w:type="dxa"/>
            </w:tcMar>
          </w:tcPr>
          <w:p>
            <w:pPr>
              <w:spacing w:after="20" w:line="245" w:lineRule="auto"/>
            </w:pPr>
            <w:r>
              <w:rPr>
                <w:color w:val="1F2933"/>
                <w:sz w:val="16"/>
              </w:rPr>
              <w:t>Rich technical documents and images; strong internal design-partner potential</w:t>
            </w:r>
          </w:p>
        </w:tc>
      </w:tr>
      <w:tr>
        <w:trPr>
          <w:cantSplit/>
        </w:trPr>
        <w:tc>
          <w:tcPr>
            <w:tcW w:type="dxa" w:w="792"/>
            <w:vAlign w:val="center"/>
            <w:tcMar>
              <w:top w:w="90" w:type="dxa"/>
              <w:start w:w="100" w:type="dxa"/>
              <w:bottom w:w="90" w:type="dxa"/>
              <w:end w:w="100" w:type="dxa"/>
            </w:tcMar>
            <w:shd w:fill="F4F7F9"/>
          </w:tcPr>
          <w:p>
            <w:pPr>
              <w:spacing w:after="20" w:line="245" w:lineRule="auto"/>
            </w:pPr>
            <w:r>
              <w:rPr>
                <w:color w:val="1F2933"/>
                <w:sz w:val="16"/>
              </w:rPr>
              <w:t>4</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Healthcare</w:t>
            </w:r>
          </w:p>
        </w:tc>
        <w:tc>
          <w:tcPr>
            <w:tcW w:type="dxa" w:w="6624"/>
            <w:vAlign w:val="center"/>
            <w:tcMar>
              <w:top w:w="90" w:type="dxa"/>
              <w:start w:w="100" w:type="dxa"/>
              <w:bottom w:w="90" w:type="dxa"/>
              <w:end w:w="100" w:type="dxa"/>
            </w:tcMar>
            <w:shd w:fill="F4F7F9"/>
          </w:tcPr>
          <w:p>
            <w:pPr>
              <w:spacing w:after="20" w:line="245" w:lineRule="auto"/>
            </w:pPr>
            <w:r>
              <w:rPr>
                <w:color w:val="1F2933"/>
                <w:sz w:val="16"/>
              </w:rPr>
              <w:t>High need, but qualification, governance and workflow integration are demanding</w:t>
            </w:r>
          </w:p>
        </w:tc>
      </w:tr>
      <w:tr>
        <w:trPr>
          <w:cantSplit/>
        </w:trPr>
        <w:tc>
          <w:tcPr>
            <w:tcW w:type="dxa" w:w="792"/>
            <w:vAlign w:val="center"/>
            <w:tcMar>
              <w:top w:w="90" w:type="dxa"/>
              <w:start w:w="100" w:type="dxa"/>
              <w:bottom w:w="90" w:type="dxa"/>
              <w:end w:w="100" w:type="dxa"/>
            </w:tcMar>
          </w:tcPr>
          <w:p>
            <w:pPr>
              <w:spacing w:after="20" w:line="245" w:lineRule="auto"/>
            </w:pPr>
            <w:r>
              <w:rPr>
                <w:color w:val="1F2933"/>
                <w:sz w:val="16"/>
              </w:rPr>
              <w:t>5</w:t>
            </w:r>
          </w:p>
        </w:tc>
        <w:tc>
          <w:tcPr>
            <w:tcW w:type="dxa" w:w="2880"/>
            <w:vAlign w:val="center"/>
            <w:tcMar>
              <w:top w:w="90" w:type="dxa"/>
              <w:start w:w="100" w:type="dxa"/>
              <w:bottom w:w="90" w:type="dxa"/>
              <w:end w:w="100" w:type="dxa"/>
            </w:tcMar>
          </w:tcPr>
          <w:p>
            <w:pPr>
              <w:spacing w:after="20" w:line="245" w:lineRule="auto"/>
            </w:pPr>
            <w:r>
              <w:rPr>
                <w:color w:val="1F2933"/>
                <w:sz w:val="16"/>
              </w:rPr>
              <w:t>Insurance</w:t>
            </w:r>
          </w:p>
        </w:tc>
        <w:tc>
          <w:tcPr>
            <w:tcW w:type="dxa" w:w="6624"/>
            <w:vAlign w:val="center"/>
            <w:tcMar>
              <w:top w:w="90" w:type="dxa"/>
              <w:start w:w="100" w:type="dxa"/>
              <w:bottom w:w="90" w:type="dxa"/>
              <w:end w:w="100" w:type="dxa"/>
            </w:tcMar>
          </w:tcPr>
          <w:p>
            <w:pPr>
              <w:spacing w:after="20" w:line="245" w:lineRule="auto"/>
            </w:pPr>
            <w:r>
              <w:rPr>
                <w:color w:val="1F2933"/>
                <w:sz w:val="16"/>
              </w:rPr>
              <w:t>Multimodal claims workflow offers reusable feature-store value</w:t>
            </w:r>
          </w:p>
        </w:tc>
      </w:tr>
      <w:tr>
        <w:trPr>
          <w:cantSplit/>
        </w:trPr>
        <w:tc>
          <w:tcPr>
            <w:tcW w:type="dxa" w:w="792"/>
            <w:vAlign w:val="center"/>
            <w:tcMar>
              <w:top w:w="90" w:type="dxa"/>
              <w:start w:w="100" w:type="dxa"/>
              <w:bottom w:w="90" w:type="dxa"/>
              <w:end w:w="100" w:type="dxa"/>
            </w:tcMar>
            <w:shd w:fill="F4F7F9"/>
          </w:tcPr>
          <w:p>
            <w:pPr>
              <w:spacing w:after="20" w:line="245" w:lineRule="auto"/>
            </w:pPr>
            <w:r>
              <w:rPr>
                <w:color w:val="1F2933"/>
                <w:sz w:val="16"/>
              </w:rPr>
              <w:t>6</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Retail / commerce</w:t>
            </w:r>
          </w:p>
        </w:tc>
        <w:tc>
          <w:tcPr>
            <w:tcW w:type="dxa" w:w="6624"/>
            <w:vAlign w:val="center"/>
            <w:tcMar>
              <w:top w:w="90" w:type="dxa"/>
              <w:start w:w="100" w:type="dxa"/>
              <w:bottom w:w="90" w:type="dxa"/>
              <w:end w:w="100" w:type="dxa"/>
            </w:tcMar>
            <w:shd w:fill="F4F7F9"/>
          </w:tcPr>
          <w:p>
            <w:pPr>
              <w:spacing w:after="20" w:line="245" w:lineRule="auto"/>
            </w:pPr>
            <w:r>
              <w:rPr>
                <w:color w:val="1F2933"/>
                <w:sz w:val="16"/>
              </w:rPr>
              <w:t>Strong scale, but update rate and incumbent custom infrastructure raise the bar</w:t>
            </w:r>
          </w:p>
        </w:tc>
      </w:tr>
      <w:tr>
        <w:trPr>
          <w:cantSplit/>
        </w:trPr>
        <w:tc>
          <w:tcPr>
            <w:tcW w:type="dxa" w:w="792"/>
            <w:vAlign w:val="center"/>
            <w:tcMar>
              <w:top w:w="90" w:type="dxa"/>
              <w:start w:w="100" w:type="dxa"/>
              <w:bottom w:w="90" w:type="dxa"/>
              <w:end w:w="100" w:type="dxa"/>
            </w:tcMar>
          </w:tcPr>
          <w:p>
            <w:pPr>
              <w:spacing w:after="20" w:line="245" w:lineRule="auto"/>
            </w:pPr>
            <w:r>
              <w:rPr>
                <w:color w:val="1F2933"/>
                <w:sz w:val="16"/>
              </w:rPr>
              <w:t>7</w:t>
            </w:r>
          </w:p>
        </w:tc>
        <w:tc>
          <w:tcPr>
            <w:tcW w:type="dxa" w:w="2880"/>
            <w:vAlign w:val="center"/>
            <w:tcMar>
              <w:top w:w="90" w:type="dxa"/>
              <w:start w:w="100" w:type="dxa"/>
              <w:bottom w:w="90" w:type="dxa"/>
              <w:end w:w="100" w:type="dxa"/>
            </w:tcMar>
          </w:tcPr>
          <w:p>
            <w:pPr>
              <w:spacing w:after="20" w:line="245" w:lineRule="auto"/>
            </w:pPr>
            <w:r>
              <w:rPr>
                <w:color w:val="1F2933"/>
                <w:sz w:val="16"/>
              </w:rPr>
              <w:t>Media</w:t>
            </w:r>
          </w:p>
        </w:tc>
        <w:tc>
          <w:tcPr>
            <w:tcW w:type="dxa" w:w="6624"/>
            <w:vAlign w:val="center"/>
            <w:tcMar>
              <w:top w:w="90" w:type="dxa"/>
              <w:start w:w="100" w:type="dxa"/>
              <w:bottom w:w="90" w:type="dxa"/>
              <w:end w:w="100" w:type="dxa"/>
            </w:tcMar>
          </w:tcPr>
          <w:p>
            <w:pPr>
              <w:spacing w:after="20" w:line="245" w:lineRule="auto"/>
            </w:pPr>
            <w:r>
              <w:rPr>
                <w:color w:val="1F2933"/>
                <w:sz w:val="16"/>
              </w:rPr>
              <w:t>Large multimodal features fit HBF, but ingestion and indexing are complex</w:t>
            </w:r>
          </w:p>
        </w:tc>
      </w:tr>
      <w:tr>
        <w:trPr>
          <w:cantSplit/>
        </w:trPr>
        <w:tc>
          <w:tcPr>
            <w:tcW w:type="dxa" w:w="792"/>
            <w:vAlign w:val="center"/>
            <w:tcMar>
              <w:top w:w="90" w:type="dxa"/>
              <w:start w:w="100" w:type="dxa"/>
              <w:bottom w:w="90" w:type="dxa"/>
              <w:end w:w="100" w:type="dxa"/>
            </w:tcMar>
            <w:shd w:fill="F4F7F9"/>
          </w:tcPr>
          <w:p>
            <w:pPr>
              <w:spacing w:after="20" w:line="245" w:lineRule="auto"/>
            </w:pPr>
            <w:r>
              <w:rPr>
                <w:color w:val="1F2933"/>
                <w:sz w:val="16"/>
              </w:rPr>
              <w:t>8</w:t>
            </w:r>
          </w:p>
        </w:tc>
        <w:tc>
          <w:tcPr>
            <w:tcW w:type="dxa" w:w="2880"/>
            <w:vAlign w:val="center"/>
            <w:tcMar>
              <w:top w:w="90" w:type="dxa"/>
              <w:start w:w="100" w:type="dxa"/>
              <w:bottom w:w="90" w:type="dxa"/>
              <w:end w:w="100" w:type="dxa"/>
            </w:tcMar>
            <w:shd w:fill="F4F7F9"/>
          </w:tcPr>
          <w:p>
            <w:pPr>
              <w:spacing w:after="20" w:line="245" w:lineRule="auto"/>
            </w:pPr>
            <w:r>
              <w:rPr>
                <w:color w:val="1F2933"/>
                <w:sz w:val="16"/>
              </w:rPr>
              <w:t>Cybersecurity</w:t>
            </w:r>
          </w:p>
        </w:tc>
        <w:tc>
          <w:tcPr>
            <w:tcW w:type="dxa" w:w="6624"/>
            <w:vAlign w:val="center"/>
            <w:tcMar>
              <w:top w:w="90" w:type="dxa"/>
              <w:start w:w="100" w:type="dxa"/>
              <w:bottom w:w="90" w:type="dxa"/>
              <w:end w:w="100" w:type="dxa"/>
            </w:tcMar>
            <w:shd w:fill="F4F7F9"/>
          </w:tcPr>
          <w:p>
            <w:pPr>
              <w:spacing w:after="20" w:line="245" w:lineRule="auto"/>
            </w:pPr>
            <w:r>
              <w:rPr>
                <w:color w:val="1F2933"/>
                <w:sz w:val="16"/>
              </w:rPr>
              <w:t>Promising repeated similarity workloads, but freshness and update rates must be proven</w:t>
            </w:r>
          </w:p>
        </w:tc>
      </w:tr>
    </w:tbl>
    <w:p>
      <w:pPr>
        <w:spacing w:after="20"/>
      </w:pPr>
    </w:p>
    <w:p>
      <w:r>
        <w:br w:type="page"/>
      </w:r>
    </w:p>
    <w:p>
      <w:pPr>
        <w:pStyle w:val="Title"/>
      </w:pPr>
      <w:r>
        <w:t>5. Hyperscaler, Cloud Search and Neocloud Portfolio</w:t>
      </w:r>
    </w:p>
    <w:p>
      <w:r>
        <w:t>At hyperscaler scale, ATMOS is not an appliance. The device becomes a fleet-level data-reduction tier. Each module owns a 128 GB shard and locally converts a large representation set into a small ranked result set before data reaches expensive GPU/TPU/custom-ASIC stages. Search systems naturally use staged retrieval and ranking because ranking the entire corpus is computationally prohibitive. [S4]</w:t>
      </w:r>
    </w:p>
    <w:p>
      <w:pPr>
        <w:pStyle w:val="Heading1"/>
      </w:pPr>
      <w:r>
        <w:t>5.1 H1: Full-Vector Refinement After Compressed ANN</w:t>
      </w:r>
    </w:p>
    <w:p>
      <w:r>
        <w:t>Compressed or approximate retrieval selects candidates; ATMOS stores full or lightly compressed vectors and performs exact rescoring. This directly attacks the movement of full vectors from SSD/DRAM into GPU memory. Recent HBF-augmented vector-engine research models this architecture and reports substantial latency/throughput gains, but those results are simulations and must not be used as ATMOS claims. [S5]</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Current tier</w:t>
            </w:r>
          </w:p>
        </w:tc>
        <w:tc>
          <w:tcPr>
            <w:tcW w:type="dxa" w:w="3389"/>
            <w:shd w:fill="13263D"/>
            <w:vAlign w:val="center"/>
            <w:tcMar>
              <w:top w:w="90" w:type="dxa"/>
              <w:start w:w="100" w:type="dxa"/>
              <w:bottom w:w="90" w:type="dxa"/>
              <w:end w:w="100" w:type="dxa"/>
            </w:tcMar>
          </w:tcPr>
          <w:p>
            <w:r>
              <w:rPr>
                <w:b/>
                <w:color w:val="FFFFFF"/>
                <w:sz w:val="16"/>
              </w:rPr>
              <w:t>ATMOS insertion</w:t>
            </w:r>
          </w:p>
        </w:tc>
        <w:tc>
          <w:tcPr>
            <w:tcW w:type="dxa" w:w="3389"/>
            <w:shd w:fill="13263D"/>
            <w:vAlign w:val="center"/>
            <w:tcMar>
              <w:top w:w="90" w:type="dxa"/>
              <w:start w:w="100" w:type="dxa"/>
              <w:bottom w:w="90" w:type="dxa"/>
              <w:end w:w="100" w:type="dxa"/>
            </w:tcMar>
          </w:tcPr>
          <w:p>
            <w:r>
              <w:rPr>
                <w:b/>
                <w:color w:val="FFFFFF"/>
                <w:sz w:val="16"/>
              </w:rPr>
              <w:t>Fleet outcome hypothesis</w:t>
            </w:r>
          </w:p>
        </w:tc>
      </w:tr>
      <w:tr>
        <w:trPr>
          <w:cantSplit/>
        </w:trPr>
        <w:tc>
          <w:tcPr>
            <w:tcW w:type="dxa" w:w="2448"/>
            <w:vAlign w:val="center"/>
            <w:tcMar>
              <w:top w:w="90" w:type="dxa"/>
              <w:start w:w="100" w:type="dxa"/>
              <w:bottom w:w="90" w:type="dxa"/>
              <w:end w:w="100" w:type="dxa"/>
            </w:tcMar>
          </w:tcPr>
          <w:p>
            <w:pPr>
              <w:spacing w:after="20" w:line="245" w:lineRule="auto"/>
            </w:pPr>
            <w:r>
              <w:rPr>
                <w:color w:val="1F2933"/>
                <w:sz w:val="16"/>
              </w:rPr>
              <w:t>CPU/DRAM or GPU ANN</w:t>
            </w:r>
          </w:p>
        </w:tc>
        <w:tc>
          <w:tcPr>
            <w:tcW w:type="dxa" w:w="3744"/>
            <w:vAlign w:val="center"/>
            <w:tcMar>
              <w:top w:w="90" w:type="dxa"/>
              <w:start w:w="100" w:type="dxa"/>
              <w:bottom w:w="90" w:type="dxa"/>
              <w:end w:w="100" w:type="dxa"/>
            </w:tcMar>
          </w:tcPr>
          <w:p>
            <w:pPr>
              <w:spacing w:after="20" w:line="245" w:lineRule="auto"/>
            </w:pPr>
            <w:r>
              <w:rPr>
                <w:color w:val="1F2933"/>
                <w:sz w:val="16"/>
              </w:rPr>
              <w:t>Candidate IDs routed to matching HBF shards</w:t>
            </w:r>
          </w:p>
        </w:tc>
        <w:tc>
          <w:tcPr>
            <w:tcW w:type="dxa" w:w="3888"/>
            <w:vAlign w:val="center"/>
            <w:tcMar>
              <w:top w:w="90" w:type="dxa"/>
              <w:start w:w="100" w:type="dxa"/>
              <w:bottom w:w="90" w:type="dxa"/>
              <w:end w:w="100" w:type="dxa"/>
            </w:tcMar>
          </w:tcPr>
          <w:p>
            <w:pPr>
              <w:spacing w:after="20" w:line="245" w:lineRule="auto"/>
            </w:pPr>
            <w:r>
              <w:rPr>
                <w:color w:val="1F2933"/>
                <w:sz w:val="16"/>
              </w:rPr>
              <w:t>Higher recall without expanding GPU memory</w:t>
            </w:r>
          </w:p>
        </w:tc>
      </w:tr>
      <w:tr>
        <w:trPr>
          <w:cantSplit/>
        </w:trPr>
        <w:tc>
          <w:tcPr>
            <w:tcW w:type="dxa" w:w="2448"/>
            <w:vAlign w:val="center"/>
            <w:tcMar>
              <w:top w:w="90" w:type="dxa"/>
              <w:start w:w="100" w:type="dxa"/>
              <w:bottom w:w="90" w:type="dxa"/>
              <w:end w:w="100" w:type="dxa"/>
            </w:tcMar>
            <w:shd w:fill="F4F7F9"/>
          </w:tcPr>
          <w:p>
            <w:pPr>
              <w:spacing w:after="20" w:line="245" w:lineRule="auto"/>
            </w:pPr>
            <w:r>
              <w:rPr>
                <w:color w:val="1F2933"/>
                <w:sz w:val="16"/>
              </w:rPr>
              <w:t>SSD full vectors</w:t>
            </w:r>
          </w:p>
        </w:tc>
        <w:tc>
          <w:tcPr>
            <w:tcW w:type="dxa" w:w="3744"/>
            <w:vAlign w:val="center"/>
            <w:tcMar>
              <w:top w:w="90" w:type="dxa"/>
              <w:start w:w="100" w:type="dxa"/>
              <w:bottom w:w="90" w:type="dxa"/>
              <w:end w:w="100" w:type="dxa"/>
            </w:tcMar>
            <w:shd w:fill="F4F7F9"/>
          </w:tcPr>
          <w:p>
            <w:pPr>
              <w:spacing w:after="20" w:line="245" w:lineRule="auto"/>
            </w:pPr>
            <w:r>
              <w:rPr>
                <w:color w:val="1F2933"/>
                <w:sz w:val="16"/>
              </w:rPr>
              <w:t>Full vectors persist on ATMOS HBF</w:t>
            </w:r>
          </w:p>
        </w:tc>
        <w:tc>
          <w:tcPr>
            <w:tcW w:type="dxa" w:w="3888"/>
            <w:vAlign w:val="center"/>
            <w:tcMar>
              <w:top w:w="90" w:type="dxa"/>
              <w:start w:w="100" w:type="dxa"/>
              <w:bottom w:w="90" w:type="dxa"/>
              <w:end w:w="100" w:type="dxa"/>
            </w:tcMar>
            <w:shd w:fill="F4F7F9"/>
          </w:tcPr>
          <w:p>
            <w:pPr>
              <w:spacing w:after="20" w:line="245" w:lineRule="auto"/>
            </w:pPr>
            <w:r>
              <w:rPr>
                <w:color w:val="1F2933"/>
                <w:sz w:val="16"/>
              </w:rPr>
              <w:t>Fewer SSD reads and less data movement</w:t>
            </w:r>
          </w:p>
        </w:tc>
      </w:tr>
      <w:tr>
        <w:trPr>
          <w:cantSplit/>
        </w:trPr>
        <w:tc>
          <w:tcPr>
            <w:tcW w:type="dxa" w:w="2448"/>
            <w:vAlign w:val="center"/>
            <w:tcMar>
              <w:top w:w="90" w:type="dxa"/>
              <w:start w:w="100" w:type="dxa"/>
              <w:bottom w:w="90" w:type="dxa"/>
              <w:end w:w="100" w:type="dxa"/>
            </w:tcMar>
          </w:tcPr>
          <w:p>
            <w:pPr>
              <w:spacing w:after="20" w:line="245" w:lineRule="auto"/>
            </w:pPr>
            <w:r>
              <w:rPr>
                <w:color w:val="1F2933"/>
                <w:sz w:val="16"/>
              </w:rPr>
              <w:t>GPU exact rerank</w:t>
            </w:r>
          </w:p>
        </w:tc>
        <w:tc>
          <w:tcPr>
            <w:tcW w:type="dxa" w:w="3744"/>
            <w:vAlign w:val="center"/>
            <w:tcMar>
              <w:top w:w="90" w:type="dxa"/>
              <w:start w:w="100" w:type="dxa"/>
              <w:bottom w:w="90" w:type="dxa"/>
              <w:end w:w="100" w:type="dxa"/>
            </w:tcMar>
          </w:tcPr>
          <w:p>
            <w:pPr>
              <w:spacing w:after="20" w:line="245" w:lineRule="auto"/>
            </w:pPr>
            <w:r>
              <w:rPr>
                <w:color w:val="1F2933"/>
                <w:sz w:val="16"/>
              </w:rPr>
              <w:t>NPU performs exact scoring and local top-k</w:t>
            </w:r>
          </w:p>
        </w:tc>
        <w:tc>
          <w:tcPr>
            <w:tcW w:type="dxa" w:w="3888"/>
            <w:vAlign w:val="center"/>
            <w:tcMar>
              <w:top w:w="90" w:type="dxa"/>
              <w:start w:w="100" w:type="dxa"/>
              <w:bottom w:w="90" w:type="dxa"/>
              <w:end w:w="100" w:type="dxa"/>
            </w:tcMar>
          </w:tcPr>
          <w:p>
            <w:pPr>
              <w:spacing w:after="20" w:line="245" w:lineRule="auto"/>
            </w:pPr>
            <w:r>
              <w:rPr>
                <w:color w:val="1F2933"/>
                <w:sz w:val="16"/>
              </w:rPr>
              <w:t>GPU reserved for heavier rankers</w:t>
            </w:r>
          </w:p>
        </w:tc>
      </w:tr>
      <w:tr>
        <w:trPr>
          <w:cantSplit/>
        </w:trPr>
        <w:tc>
          <w:tcPr>
            <w:tcW w:type="dxa" w:w="2448"/>
            <w:vAlign w:val="center"/>
            <w:tcMar>
              <w:top w:w="90" w:type="dxa"/>
              <w:start w:w="100" w:type="dxa"/>
              <w:bottom w:w="90" w:type="dxa"/>
              <w:end w:w="100" w:type="dxa"/>
            </w:tcMar>
            <w:shd w:fill="F4F7F9"/>
          </w:tcPr>
          <w:p>
            <w:pPr>
              <w:spacing w:after="20" w:line="245" w:lineRule="auto"/>
            </w:pPr>
            <w:r>
              <w:rPr>
                <w:color w:val="1F2933"/>
                <w:sz w:val="16"/>
              </w:rPr>
              <w:t>Network result fan-in</w:t>
            </w:r>
          </w:p>
        </w:tc>
        <w:tc>
          <w:tcPr>
            <w:tcW w:type="dxa" w:w="3744"/>
            <w:vAlign w:val="center"/>
            <w:tcMar>
              <w:top w:w="90" w:type="dxa"/>
              <w:start w:w="100" w:type="dxa"/>
              <w:bottom w:w="90" w:type="dxa"/>
              <w:end w:w="100" w:type="dxa"/>
            </w:tcMar>
            <w:shd w:fill="F4F7F9"/>
          </w:tcPr>
          <w:p>
            <w:pPr>
              <w:spacing w:after="20" w:line="245" w:lineRule="auto"/>
            </w:pPr>
            <w:r>
              <w:rPr>
                <w:color w:val="1F2933"/>
                <w:sz w:val="16"/>
              </w:rPr>
              <w:t>Only local top-k returned</w:t>
            </w:r>
          </w:p>
        </w:tc>
        <w:tc>
          <w:tcPr>
            <w:tcW w:type="dxa" w:w="3888"/>
            <w:vAlign w:val="center"/>
            <w:tcMar>
              <w:top w:w="90" w:type="dxa"/>
              <w:start w:w="100" w:type="dxa"/>
              <w:bottom w:w="90" w:type="dxa"/>
              <w:end w:w="100" w:type="dxa"/>
            </w:tcMar>
            <w:shd w:fill="F4F7F9"/>
          </w:tcPr>
          <w:p>
            <w:pPr>
              <w:spacing w:after="20" w:line="245" w:lineRule="auto"/>
            </w:pPr>
            <w:r>
              <w:rPr>
                <w:color w:val="1F2933"/>
                <w:sz w:val="16"/>
              </w:rPr>
              <w:t>Lower east-west bytes per query</w:t>
            </w:r>
          </w:p>
        </w:tc>
      </w:tr>
    </w:tbl>
    <w:p>
      <w:pPr>
        <w:spacing w:after="20"/>
      </w:pPr>
    </w:p>
    <w:p>
      <w:pPr>
        <w:pStyle w:val="Heading1"/>
      </w:pPr>
      <w:r>
        <w:t>5.2 H2: Search Ranking Funnel</w:t>
      </w:r>
    </w:p>
    <w:p>
      <w:r>
        <w:t>ATMOS can sit between broad retrieval and expensive neural ranking. The economic unit is not “ATMOS QPS”; it is expensive candidates eliminated per watt and per dollar.</w:t>
      </w:r>
    </w:p>
    <w:tbl>
      <w:tblPr>
        <w:tblW w:type="auto" w:w="0"/>
        <w:jc w:val="center"/>
        <w:tblLook w:firstColumn="1" w:firstRow="1" w:lastColumn="0" w:lastRow="0" w:noHBand="0" w:noVBand="1" w:val="04A0"/>
      </w:tblPr>
      <w:tblGrid>
        <w:gridCol w:w="10166"/>
      </w:tblGrid>
      <w:tr>
        <w:trPr>
          <w:cantSplit/>
        </w:trPr>
        <w:tc>
          <w:tcPr>
            <w:tcW w:type="dxa" w:w="10166"/>
            <w:shd w:fill="EAF1F5"/>
            <w:tcMar>
              <w:top w:w="150" w:type="dxa"/>
              <w:start w:w="180" w:type="dxa"/>
              <w:bottom w:w="150" w:type="dxa"/>
              <w:end w:w="180" w:type="dxa"/>
            </w:tcMar>
          </w:tcPr>
          <w:p>
            <w:pPr>
              <w:pStyle w:val="Callout"/>
            </w:pPr>
            <w:r>
              <w:t>Millions/billions of items → coarse retrieval → 10,000 candidates → ATMOS refinement/late interaction → 300–1,000 candidates → GPU/TPU heavy ranker → final results</w:t>
            </w:r>
          </w:p>
        </w:tc>
      </w:tr>
    </w:tbl>
    <w:p>
      <w:pPr>
        <w:spacing w:after="20"/>
      </w:pPr>
    </w:p>
    <w:p>
      <w:pPr>
        <w:pStyle w:val="Heading1"/>
      </w:pPr>
      <w:r>
        <w:t>5.3 H3: Image, Video and Product Representation Search</w:t>
      </w:r>
    </w:p>
    <w:p>
      <w:r>
        <w:t>Offline GPU pipelines generate embeddings, while ATMOS stores persistent image, frame, product and region representations for online refinement. This is relevant to reverse-image search, visual product search, duplicate detection, copyright matching, scene retrieval and safety candidate retrieval. Large-scale visual-search pipelines already demonstrate that optimization of preprocessing and embedding can materially change throughput and TCO, but ATMOS’s niche is the persistent online representation tier rather than media decoding. [S6]</w:t>
      </w:r>
    </w:p>
    <w:p>
      <w:pPr>
        <w:pStyle w:val="Heading1"/>
      </w:pPr>
      <w:r>
        <w:t>5.4 H4: Recommendation and Advertising Embedding Tables</w:t>
      </w:r>
    </w:p>
    <w:p>
      <w:r>
        <w:t>Recommendation services perform frequent sparse gathers from user, item, ad and contextual embedding tables. These tables are memory-capacity and bandwidth intensive. Processing-in-memory research reports that local aggregate bandwidth can reduce DLRM latency relative to CPU-only and CPU-GPU baselines. [S7]</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Requirement</w:t>
            </w:r>
          </w:p>
        </w:tc>
        <w:tc>
          <w:tcPr>
            <w:tcW w:type="dxa" w:w="5083"/>
            <w:shd w:fill="13263D"/>
            <w:vAlign w:val="center"/>
            <w:tcMar>
              <w:top w:w="90" w:type="dxa"/>
              <w:start w:w="100" w:type="dxa"/>
              <w:bottom w:w="90" w:type="dxa"/>
              <w:end w:w="100" w:type="dxa"/>
            </w:tcMar>
          </w:tcPr>
          <w:p>
            <w:r>
              <w:rPr>
                <w:b/>
                <w:color w:val="FFFFFF"/>
                <w:sz w:val="16"/>
              </w:rPr>
              <w:t>Why critical</w:t>
            </w:r>
          </w:p>
        </w:tc>
      </w:tr>
      <w:tr>
        <w:trPr>
          <w:cantSplit/>
        </w:trPr>
        <w:tc>
          <w:tcPr>
            <w:tcW w:type="dxa" w:w="3240"/>
            <w:vAlign w:val="center"/>
            <w:tcMar>
              <w:top w:w="90" w:type="dxa"/>
              <w:start w:w="100" w:type="dxa"/>
              <w:bottom w:w="90" w:type="dxa"/>
              <w:end w:w="100" w:type="dxa"/>
            </w:tcMar>
          </w:tcPr>
          <w:p>
            <w:pPr>
              <w:spacing w:after="20" w:line="245" w:lineRule="auto"/>
            </w:pPr>
            <w:r>
              <w:rPr>
                <w:color w:val="1F2933"/>
                <w:sz w:val="16"/>
              </w:rPr>
              <w:t>Fine-grained, highly concurrent HBF reads</w:t>
            </w:r>
          </w:p>
        </w:tc>
        <w:tc>
          <w:tcPr>
            <w:tcW w:type="dxa" w:w="6912"/>
            <w:vAlign w:val="center"/>
            <w:tcMar>
              <w:top w:w="90" w:type="dxa"/>
              <w:start w:w="100" w:type="dxa"/>
              <w:bottom w:w="90" w:type="dxa"/>
              <w:end w:w="100" w:type="dxa"/>
            </w:tcMar>
          </w:tcPr>
          <w:p>
            <w:pPr>
              <w:spacing w:after="20" w:line="245" w:lineRule="auto"/>
            </w:pPr>
            <w:r>
              <w:rPr>
                <w:color w:val="1F2933"/>
                <w:sz w:val="16"/>
              </w:rPr>
              <w:t>Embedding access is irregular, not a sequential weight stream</w:t>
            </w:r>
          </w:p>
        </w:tc>
      </w:tr>
      <w:tr>
        <w:trPr>
          <w:cantSplit/>
        </w:trPr>
        <w:tc>
          <w:tcPr>
            <w:tcW w:type="dxa" w:w="3240"/>
            <w:vAlign w:val="center"/>
            <w:tcMar>
              <w:top w:w="90" w:type="dxa"/>
              <w:start w:w="100" w:type="dxa"/>
              <w:bottom w:w="90" w:type="dxa"/>
              <w:end w:w="100" w:type="dxa"/>
            </w:tcMar>
            <w:shd w:fill="F4F7F9"/>
          </w:tcPr>
          <w:p>
            <w:pPr>
              <w:spacing w:after="20" w:line="245" w:lineRule="auto"/>
            </w:pPr>
            <w:r>
              <w:rPr>
                <w:color w:val="1F2933"/>
                <w:sz w:val="16"/>
              </w:rPr>
              <w:t>Gather, pool and reduction operators</w:t>
            </w:r>
          </w:p>
        </w:tc>
        <w:tc>
          <w:tcPr>
            <w:tcW w:type="dxa" w:w="6912"/>
            <w:vAlign w:val="center"/>
            <w:tcMar>
              <w:top w:w="90" w:type="dxa"/>
              <w:start w:w="100" w:type="dxa"/>
              <w:bottom w:w="90" w:type="dxa"/>
              <w:end w:w="100" w:type="dxa"/>
            </w:tcMar>
            <w:shd w:fill="F4F7F9"/>
          </w:tcPr>
          <w:p>
            <w:pPr>
              <w:spacing w:after="20" w:line="245" w:lineRule="auto"/>
            </w:pPr>
            <w:r>
              <w:rPr>
                <w:color w:val="1F2933"/>
                <w:sz w:val="16"/>
              </w:rPr>
              <w:t>A dense matrix NPU alone will not accelerate the table path</w:t>
            </w:r>
          </w:p>
        </w:tc>
      </w:tr>
      <w:tr>
        <w:trPr>
          <w:cantSplit/>
        </w:trPr>
        <w:tc>
          <w:tcPr>
            <w:tcW w:type="dxa" w:w="3240"/>
            <w:vAlign w:val="center"/>
            <w:tcMar>
              <w:top w:w="90" w:type="dxa"/>
              <w:start w:w="100" w:type="dxa"/>
              <w:bottom w:w="90" w:type="dxa"/>
              <w:end w:w="100" w:type="dxa"/>
            </w:tcMar>
          </w:tcPr>
          <w:p>
            <w:pPr>
              <w:spacing w:after="20" w:line="245" w:lineRule="auto"/>
            </w:pPr>
            <w:r>
              <w:rPr>
                <w:color w:val="1F2933"/>
                <w:sz w:val="16"/>
              </w:rPr>
              <w:t>Hot-key management and load balancing</w:t>
            </w:r>
          </w:p>
        </w:tc>
        <w:tc>
          <w:tcPr>
            <w:tcW w:type="dxa" w:w="6912"/>
            <w:vAlign w:val="center"/>
            <w:tcMar>
              <w:top w:w="90" w:type="dxa"/>
              <w:start w:w="100" w:type="dxa"/>
              <w:bottom w:w="90" w:type="dxa"/>
              <w:end w:w="100" w:type="dxa"/>
            </w:tcMar>
          </w:tcPr>
          <w:p>
            <w:pPr>
              <w:spacing w:after="20" w:line="245" w:lineRule="auto"/>
            </w:pPr>
            <w:r>
              <w:rPr>
                <w:color w:val="1F2933"/>
                <w:sz w:val="16"/>
              </w:rPr>
              <w:t>Skew can create hot devices and tail latency</w:t>
            </w:r>
          </w:p>
        </w:tc>
      </w:tr>
      <w:tr>
        <w:trPr>
          <w:cantSplit/>
        </w:trPr>
        <w:tc>
          <w:tcPr>
            <w:tcW w:type="dxa" w:w="3240"/>
            <w:vAlign w:val="center"/>
            <w:tcMar>
              <w:top w:w="90" w:type="dxa"/>
              <w:start w:w="100" w:type="dxa"/>
              <w:bottom w:w="90" w:type="dxa"/>
              <w:end w:w="100" w:type="dxa"/>
            </w:tcMar>
            <w:shd w:fill="F4F7F9"/>
          </w:tcPr>
          <w:p>
            <w:pPr>
              <w:spacing w:after="20" w:line="245" w:lineRule="auto"/>
            </w:pPr>
            <w:r>
              <w:rPr>
                <w:color w:val="1F2933"/>
                <w:sz w:val="16"/>
              </w:rPr>
              <w:t>Fast update/refresh path</w:t>
            </w:r>
          </w:p>
        </w:tc>
        <w:tc>
          <w:tcPr>
            <w:tcW w:type="dxa" w:w="6912"/>
            <w:vAlign w:val="center"/>
            <w:tcMar>
              <w:top w:w="90" w:type="dxa"/>
              <w:start w:w="100" w:type="dxa"/>
              <w:bottom w:w="90" w:type="dxa"/>
              <w:end w:w="100" w:type="dxa"/>
            </w:tcMar>
            <w:shd w:fill="F4F7F9"/>
          </w:tcPr>
          <w:p>
            <w:pPr>
              <w:spacing w:after="20" w:line="245" w:lineRule="auto"/>
            </w:pPr>
            <w:r>
              <w:rPr>
                <w:color w:val="1F2933"/>
                <w:sz w:val="16"/>
              </w:rPr>
              <w:t>User/item embeddings change more frequently than search documents</w:t>
            </w:r>
          </w:p>
        </w:tc>
      </w:tr>
      <w:tr>
        <w:trPr>
          <w:cantSplit/>
        </w:trPr>
        <w:tc>
          <w:tcPr>
            <w:tcW w:type="dxa" w:w="3240"/>
            <w:vAlign w:val="center"/>
            <w:tcMar>
              <w:top w:w="90" w:type="dxa"/>
              <w:start w:w="100" w:type="dxa"/>
              <w:bottom w:w="90" w:type="dxa"/>
              <w:end w:w="100" w:type="dxa"/>
            </w:tcMar>
          </w:tcPr>
          <w:p>
            <w:pPr>
              <w:spacing w:after="20" w:line="245" w:lineRule="auto"/>
            </w:pPr>
            <w:r>
              <w:rPr>
                <w:color w:val="1F2933"/>
                <w:sz w:val="16"/>
              </w:rPr>
              <w:t>Endurance and write-amplification model</w:t>
            </w:r>
          </w:p>
        </w:tc>
        <w:tc>
          <w:tcPr>
            <w:tcW w:type="dxa" w:w="6912"/>
            <w:vAlign w:val="center"/>
            <w:tcMar>
              <w:top w:w="90" w:type="dxa"/>
              <w:start w:w="100" w:type="dxa"/>
              <w:bottom w:w="90" w:type="dxa"/>
              <w:end w:w="100" w:type="dxa"/>
            </w:tcMar>
          </w:tcPr>
          <w:p>
            <w:pPr>
              <w:spacing w:after="20" w:line="245" w:lineRule="auto"/>
            </w:pPr>
            <w:r>
              <w:rPr>
                <w:color w:val="1F2933"/>
                <w:sz w:val="16"/>
              </w:rPr>
              <w:t>HBF persistence is helpful only if updates remain economically safe</w:t>
            </w:r>
          </w:p>
        </w:tc>
      </w:tr>
      <w:tr>
        <w:trPr>
          <w:cantSplit/>
        </w:trPr>
        <w:tc>
          <w:tcPr>
            <w:tcW w:type="dxa" w:w="3240"/>
            <w:vAlign w:val="center"/>
            <w:tcMar>
              <w:top w:w="90" w:type="dxa"/>
              <w:start w:w="100" w:type="dxa"/>
              <w:bottom w:w="90" w:type="dxa"/>
              <w:end w:w="100" w:type="dxa"/>
            </w:tcMar>
            <w:shd w:fill="F4F7F9"/>
          </w:tcPr>
          <w:p>
            <w:pPr>
              <w:spacing w:after="20" w:line="245" w:lineRule="auto"/>
            </w:pPr>
            <w:r>
              <w:rPr>
                <w:color w:val="1F2933"/>
                <w:sz w:val="16"/>
              </w:rPr>
              <w:t>Local lightweight ranker</w:t>
            </w:r>
          </w:p>
        </w:tc>
        <w:tc>
          <w:tcPr>
            <w:tcW w:type="dxa" w:w="6912"/>
            <w:vAlign w:val="center"/>
            <w:tcMar>
              <w:top w:w="90" w:type="dxa"/>
              <w:start w:w="100" w:type="dxa"/>
              <w:bottom w:w="90" w:type="dxa"/>
              <w:end w:w="100" w:type="dxa"/>
            </w:tcMar>
            <w:shd w:fill="F4F7F9"/>
          </w:tcPr>
          <w:p>
            <w:pPr>
              <w:spacing w:after="20" w:line="245" w:lineRule="auto"/>
            </w:pPr>
            <w:r>
              <w:rPr>
                <w:color w:val="1F2933"/>
                <w:sz w:val="16"/>
              </w:rPr>
              <w:t>Data reduction before the primary ranking ASIC creates the value</w:t>
            </w:r>
          </w:p>
        </w:tc>
      </w:tr>
    </w:tbl>
    <w:p>
      <w:pPr>
        <w:spacing w:after="20"/>
      </w:pPr>
    </w:p>
    <w:p>
      <w:pPr>
        <w:pStyle w:val="Heading1"/>
      </w:pPr>
      <w:r>
        <w:t>5.5 H5: Semantic Retrieval Cache</w:t>
      </w:r>
    </w:p>
    <w:p>
      <w:r>
        <w:t>ATMOS could store read-mostly query embeddings, retrieved evidence, validated result fragments and retrieval plans. A semantic cache hit can avoid repeated retrieval, reranking and generation. This is attractive at fleet scale, but cache freshness, permission isolation, expiration, write endurance and versioning are first-class requirements.</w:t>
      </w:r>
    </w:p>
    <w:p>
      <w:pPr>
        <w:pStyle w:val="Heading1"/>
      </w:pPr>
      <w:r>
        <w:t>5.6 H6: Query Fan-Out and Multi-Retriever Search</w:t>
      </w:r>
    </w:p>
    <w:p>
      <w:r>
        <w:t>Agentic and generative search may produce several subqueries for one user request. Fan-out creates natural parallelism across ATMOS shard groups. The aggregate bandwidth of many independent E3.S devices becomes useful, provided routing and tail-latency control are strong.</w:t>
      </w:r>
    </w:p>
    <w:p>
      <w:pPr>
        <w:pStyle w:val="Heading1"/>
      </w:pPr>
      <w:r>
        <w:t>5.7 H7: Neocloud Retrieval-as-a-Service Nodes</w:t>
      </w:r>
    </w:p>
    <w:p>
      <w:r>
        <w:t>Neocloud providers can offer retrieval-optimized bare-metal or managed nodes without competing directly in frontier GPU supply. A validated server could combine CPU/DRAM control, NVMe cold storage, 8–16 ATMOS devices for persistent retrieval shards, and a smaller GPU pool for generation or heavy ranking.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Provider type</w:t>
            </w:r>
          </w:p>
        </w:tc>
        <w:tc>
          <w:tcPr>
            <w:tcW w:type="dxa" w:w="3389"/>
            <w:shd w:fill="13263D"/>
            <w:vAlign w:val="center"/>
            <w:tcMar>
              <w:top w:w="90" w:type="dxa"/>
              <w:start w:w="100" w:type="dxa"/>
              <w:bottom w:w="90" w:type="dxa"/>
              <w:end w:w="100" w:type="dxa"/>
            </w:tcMar>
          </w:tcPr>
          <w:p>
            <w:r>
              <w:rPr>
                <w:b/>
                <w:color w:val="FFFFFF"/>
                <w:sz w:val="16"/>
              </w:rPr>
              <w:t>Potential offer</w:t>
            </w:r>
          </w:p>
        </w:tc>
        <w:tc>
          <w:tcPr>
            <w:tcW w:type="dxa" w:w="3389"/>
            <w:shd w:fill="13263D"/>
            <w:vAlign w:val="center"/>
            <w:tcMar>
              <w:top w:w="90" w:type="dxa"/>
              <w:start w:w="100" w:type="dxa"/>
              <w:bottom w:w="90" w:type="dxa"/>
              <w:end w:w="100" w:type="dxa"/>
            </w:tcMar>
          </w:tcPr>
          <w:p>
            <w:r>
              <w:rPr>
                <w:b/>
                <w:color w:val="FFFFFF"/>
                <w:sz w:val="16"/>
              </w:rPr>
              <w:t>Customer value</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6"/>
              </w:rPr>
              <w:t>GPU neocloud</w:t>
            </w:r>
          </w:p>
        </w:tc>
        <w:tc>
          <w:tcPr>
            <w:tcW w:type="dxa" w:w="3960"/>
            <w:vAlign w:val="center"/>
            <w:tcMar>
              <w:top w:w="90" w:type="dxa"/>
              <w:start w:w="100" w:type="dxa"/>
              <w:bottom w:w="90" w:type="dxa"/>
              <w:end w:w="100" w:type="dxa"/>
            </w:tcMar>
          </w:tcPr>
          <w:p>
            <w:pPr>
              <w:spacing w:after="20" w:line="245" w:lineRule="auto"/>
            </w:pPr>
            <w:r>
              <w:rPr>
                <w:color w:val="1F2933"/>
                <w:sz w:val="16"/>
              </w:rPr>
              <w:t>Retrieval sidecar attached to GPU instances</w:t>
            </w:r>
          </w:p>
        </w:tc>
        <w:tc>
          <w:tcPr>
            <w:tcW w:type="dxa" w:w="4032"/>
            <w:vAlign w:val="center"/>
            <w:tcMar>
              <w:top w:w="90" w:type="dxa"/>
              <w:start w:w="100" w:type="dxa"/>
              <w:bottom w:w="90" w:type="dxa"/>
              <w:end w:w="100" w:type="dxa"/>
            </w:tcMar>
          </w:tcPr>
          <w:p>
            <w:pPr>
              <w:spacing w:after="20" w:line="245" w:lineRule="auto"/>
            </w:pPr>
            <w:r>
              <w:rPr>
                <w:color w:val="1F2933"/>
                <w:sz w:val="16"/>
              </w:rPr>
              <w:t>More GPU memory and compute available for generation</w:t>
            </w:r>
          </w:p>
        </w:tc>
      </w:tr>
      <w:tr>
        <w:trPr>
          <w:cantSplit/>
        </w:trPr>
        <w:tc>
          <w:tcPr>
            <w:tcW w:type="dxa" w:w="2160"/>
            <w:vAlign w:val="center"/>
            <w:tcMar>
              <w:top w:w="90" w:type="dxa"/>
              <w:start w:w="100" w:type="dxa"/>
              <w:bottom w:w="90" w:type="dxa"/>
              <w:end w:w="100" w:type="dxa"/>
            </w:tcMar>
            <w:shd w:fill="F4F7F9"/>
          </w:tcPr>
          <w:p>
            <w:pPr>
              <w:spacing w:after="20" w:line="245" w:lineRule="auto"/>
            </w:pPr>
            <w:r>
              <w:rPr>
                <w:color w:val="1F2933"/>
                <w:sz w:val="16"/>
              </w:rPr>
              <w:t>Storage cloud</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HBF-backed vector refinement node</w:t>
            </w:r>
          </w:p>
        </w:tc>
        <w:tc>
          <w:tcPr>
            <w:tcW w:type="dxa" w:w="4032"/>
            <w:vAlign w:val="center"/>
            <w:tcMar>
              <w:top w:w="90" w:type="dxa"/>
              <w:start w:w="100" w:type="dxa"/>
              <w:bottom w:w="90" w:type="dxa"/>
              <w:end w:w="100" w:type="dxa"/>
            </w:tcMar>
            <w:shd w:fill="F4F7F9"/>
          </w:tcPr>
          <w:p>
            <w:pPr>
              <w:spacing w:after="20" w:line="245" w:lineRule="auto"/>
            </w:pPr>
            <w:r>
              <w:rPr>
                <w:color w:val="1F2933"/>
                <w:sz w:val="16"/>
              </w:rPr>
              <w:t>Higher-value storage and search service</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6"/>
              </w:rPr>
              <w:t>Sovereign cloud</w:t>
            </w:r>
          </w:p>
        </w:tc>
        <w:tc>
          <w:tcPr>
            <w:tcW w:type="dxa" w:w="3960"/>
            <w:vAlign w:val="center"/>
            <w:tcMar>
              <w:top w:w="90" w:type="dxa"/>
              <w:start w:w="100" w:type="dxa"/>
              <w:bottom w:w="90" w:type="dxa"/>
              <w:end w:w="100" w:type="dxa"/>
            </w:tcMar>
          </w:tcPr>
          <w:p>
            <w:pPr>
              <w:spacing w:after="20" w:line="245" w:lineRule="auto"/>
            </w:pPr>
            <w:r>
              <w:rPr>
                <w:color w:val="1F2933"/>
                <w:sz w:val="16"/>
              </w:rPr>
              <w:t>Private RAG/search node with local persistence</w:t>
            </w:r>
          </w:p>
        </w:tc>
        <w:tc>
          <w:tcPr>
            <w:tcW w:type="dxa" w:w="4032"/>
            <w:vAlign w:val="center"/>
            <w:tcMar>
              <w:top w:w="90" w:type="dxa"/>
              <w:start w:w="100" w:type="dxa"/>
              <w:bottom w:w="90" w:type="dxa"/>
              <w:end w:w="100" w:type="dxa"/>
            </w:tcMar>
          </w:tcPr>
          <w:p>
            <w:pPr>
              <w:spacing w:after="20" w:line="245" w:lineRule="auto"/>
            </w:pPr>
            <w:r>
              <w:rPr>
                <w:color w:val="1F2933"/>
                <w:sz w:val="16"/>
              </w:rPr>
              <w:t>Data residency and serviceability</w:t>
            </w:r>
          </w:p>
        </w:tc>
      </w:tr>
      <w:tr>
        <w:trPr>
          <w:cantSplit/>
        </w:trPr>
        <w:tc>
          <w:tcPr>
            <w:tcW w:type="dxa" w:w="2160"/>
            <w:vAlign w:val="center"/>
            <w:tcMar>
              <w:top w:w="90" w:type="dxa"/>
              <w:start w:w="100" w:type="dxa"/>
              <w:bottom w:w="90" w:type="dxa"/>
              <w:end w:w="100" w:type="dxa"/>
            </w:tcMar>
            <w:shd w:fill="F4F7F9"/>
          </w:tcPr>
          <w:p>
            <w:pPr>
              <w:spacing w:after="20" w:line="245" w:lineRule="auto"/>
            </w:pPr>
            <w:r>
              <w:rPr>
                <w:color w:val="1F2933"/>
                <w:sz w:val="16"/>
              </w:rPr>
              <w:t>Specialized AI cloud</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Late-interaction retrieval service</w:t>
            </w:r>
          </w:p>
        </w:tc>
        <w:tc>
          <w:tcPr>
            <w:tcW w:type="dxa" w:w="4032"/>
            <w:vAlign w:val="center"/>
            <w:tcMar>
              <w:top w:w="90" w:type="dxa"/>
              <w:start w:w="100" w:type="dxa"/>
              <w:bottom w:w="90" w:type="dxa"/>
              <w:end w:w="100" w:type="dxa"/>
            </w:tcMar>
            <w:shd w:fill="F4F7F9"/>
          </w:tcPr>
          <w:p>
            <w:pPr>
              <w:spacing w:after="20" w:line="245" w:lineRule="auto"/>
            </w:pPr>
            <w:r>
              <w:rPr>
                <w:color w:val="1F2933"/>
                <w:sz w:val="16"/>
              </w:rPr>
              <w:t>Quality-oriented differentiation</w:t>
            </w:r>
          </w:p>
        </w:tc>
      </w:tr>
      <w:tr>
        <w:trPr>
          <w:cantSplit/>
        </w:trPr>
        <w:tc>
          <w:tcPr>
            <w:tcW w:type="dxa" w:w="2160"/>
            <w:vAlign w:val="center"/>
            <w:tcMar>
              <w:top w:w="90" w:type="dxa"/>
              <w:start w:w="100" w:type="dxa"/>
              <w:bottom w:w="90" w:type="dxa"/>
              <w:end w:w="100" w:type="dxa"/>
            </w:tcMar>
          </w:tcPr>
          <w:p>
            <w:pPr>
              <w:spacing w:after="20" w:line="245" w:lineRule="auto"/>
            </w:pPr>
            <w:r>
              <w:rPr>
                <w:color w:val="1F2933"/>
                <w:sz w:val="16"/>
              </w:rPr>
              <w:t>Managed vector provider</w:t>
            </w:r>
          </w:p>
        </w:tc>
        <w:tc>
          <w:tcPr>
            <w:tcW w:type="dxa" w:w="3960"/>
            <w:vAlign w:val="center"/>
            <w:tcMar>
              <w:top w:w="90" w:type="dxa"/>
              <w:start w:w="100" w:type="dxa"/>
              <w:bottom w:w="90" w:type="dxa"/>
              <w:end w:w="100" w:type="dxa"/>
            </w:tcMar>
          </w:tcPr>
          <w:p>
            <w:pPr>
              <w:spacing w:after="20" w:line="245" w:lineRule="auto"/>
            </w:pPr>
            <w:r>
              <w:rPr>
                <w:color w:val="1F2933"/>
                <w:sz w:val="16"/>
              </w:rPr>
              <w:t>ATMOS-enabled query node SKU</w:t>
            </w:r>
          </w:p>
        </w:tc>
        <w:tc>
          <w:tcPr>
            <w:tcW w:type="dxa" w:w="4032"/>
            <w:vAlign w:val="center"/>
            <w:tcMar>
              <w:top w:w="90" w:type="dxa"/>
              <w:start w:w="100" w:type="dxa"/>
              <w:bottom w:w="90" w:type="dxa"/>
              <w:end w:w="100" w:type="dxa"/>
            </w:tcMar>
          </w:tcPr>
          <w:p>
            <w:pPr>
              <w:spacing w:after="20" w:line="245" w:lineRule="auto"/>
            </w:pPr>
            <w:r>
              <w:rPr>
                <w:color w:val="1F2933"/>
                <w:sz w:val="16"/>
              </w:rPr>
              <w:t>Persistent rich-vector capacity per node</w:t>
            </w:r>
          </w:p>
        </w:tc>
      </w:tr>
    </w:tbl>
    <w:p>
      <w:pPr>
        <w:spacing w:after="20"/>
      </w:pPr>
    </w:p>
    <w:p>
      <w:pPr>
        <w:pStyle w:val="Heading1"/>
      </w:pPr>
      <w:r>
        <w:t>5.8 Hyperscaler ranking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6"/>
              </w:rPr>
              <w:t>Rank</w:t>
            </w:r>
          </w:p>
        </w:tc>
        <w:tc>
          <w:tcPr>
            <w:tcW w:type="dxa" w:w="2541"/>
            <w:shd w:fill="13263D"/>
            <w:vAlign w:val="center"/>
            <w:tcMar>
              <w:top w:w="90" w:type="dxa"/>
              <w:start w:w="100" w:type="dxa"/>
              <w:bottom w:w="90" w:type="dxa"/>
              <w:end w:w="100" w:type="dxa"/>
            </w:tcMar>
          </w:tcPr>
          <w:p>
            <w:r>
              <w:rPr>
                <w:b/>
                <w:color w:val="FFFFFF"/>
                <w:sz w:val="16"/>
              </w:rPr>
              <w:t>Hyperscaler use case</w:t>
            </w:r>
          </w:p>
        </w:tc>
        <w:tc>
          <w:tcPr>
            <w:tcW w:type="dxa" w:w="2541"/>
            <w:shd w:fill="13263D"/>
            <w:vAlign w:val="center"/>
            <w:tcMar>
              <w:top w:w="90" w:type="dxa"/>
              <w:start w:w="100" w:type="dxa"/>
              <w:bottom w:w="90" w:type="dxa"/>
              <w:end w:w="100" w:type="dxa"/>
            </w:tcMar>
          </w:tcPr>
          <w:p>
            <w:r>
              <w:rPr>
                <w:b/>
                <w:color w:val="FFFFFF"/>
                <w:sz w:val="16"/>
              </w:rPr>
              <w:t>Impact</w:t>
            </w:r>
          </w:p>
        </w:tc>
        <w:tc>
          <w:tcPr>
            <w:tcW w:type="dxa" w:w="2541"/>
            <w:shd w:fill="13263D"/>
            <w:vAlign w:val="center"/>
            <w:tcMar>
              <w:top w:w="90" w:type="dxa"/>
              <w:start w:w="100" w:type="dxa"/>
              <w:bottom w:w="90" w:type="dxa"/>
              <w:end w:w="100" w:type="dxa"/>
            </w:tcMar>
          </w:tcPr>
          <w:p>
            <w:r>
              <w:rPr>
                <w:b/>
                <w:color w:val="FFFFFF"/>
                <w:sz w:val="16"/>
              </w:rPr>
              <w:t>Risk</w:t>
            </w:r>
          </w:p>
        </w:tc>
      </w:tr>
      <w:tr>
        <w:trPr>
          <w:cantSplit/>
        </w:trPr>
        <w:tc>
          <w:tcPr>
            <w:tcW w:type="dxa" w:w="720"/>
            <w:vAlign w:val="center"/>
            <w:tcMar>
              <w:top w:w="90" w:type="dxa"/>
              <w:start w:w="100" w:type="dxa"/>
              <w:bottom w:w="90" w:type="dxa"/>
              <w:end w:w="100" w:type="dxa"/>
            </w:tcMar>
          </w:tcPr>
          <w:p>
            <w:pPr>
              <w:spacing w:after="20" w:line="245" w:lineRule="auto"/>
            </w:pPr>
            <w:r>
              <w:rPr>
                <w:color w:val="1F2933"/>
                <w:sz w:val="16"/>
              </w:rPr>
              <w:t>1</w:t>
            </w:r>
          </w:p>
        </w:tc>
        <w:tc>
          <w:tcPr>
            <w:tcW w:type="dxa" w:w="3384"/>
            <w:vAlign w:val="center"/>
            <w:tcMar>
              <w:top w:w="90" w:type="dxa"/>
              <w:start w:w="100" w:type="dxa"/>
              <w:bottom w:w="90" w:type="dxa"/>
              <w:end w:w="100" w:type="dxa"/>
            </w:tcMar>
          </w:tcPr>
          <w:p>
            <w:pPr>
              <w:spacing w:after="20" w:line="245" w:lineRule="auto"/>
            </w:pPr>
            <w:r>
              <w:rPr>
                <w:color w:val="1F2933"/>
                <w:sz w:val="16"/>
              </w:rPr>
              <w:t>Full-vector candidate refinement</w:t>
            </w:r>
          </w:p>
        </w:tc>
        <w:tc>
          <w:tcPr>
            <w:tcW w:type="dxa" w:w="1944"/>
            <w:vAlign w:val="center"/>
            <w:tcMar>
              <w:top w:w="90" w:type="dxa"/>
              <w:start w:w="100" w:type="dxa"/>
              <w:bottom w:w="90" w:type="dxa"/>
              <w:end w:w="100" w:type="dxa"/>
            </w:tcMar>
          </w:tcPr>
          <w:p>
            <w:pPr>
              <w:spacing w:after="20" w:line="245" w:lineRule="auto"/>
            </w:pPr>
            <w:r>
              <w:rPr>
                <w:color w:val="1F2933"/>
                <w:sz w:val="16"/>
              </w:rPr>
              <w:t>Very high</w:t>
            </w:r>
          </w:p>
        </w:tc>
        <w:tc>
          <w:tcPr>
            <w:tcW w:type="dxa" w:w="4320"/>
            <w:vAlign w:val="center"/>
            <w:tcMar>
              <w:top w:w="90" w:type="dxa"/>
              <w:start w:w="100" w:type="dxa"/>
              <w:bottom w:w="90" w:type="dxa"/>
              <w:end w:w="100" w:type="dxa"/>
            </w:tcMar>
          </w:tcPr>
          <w:p>
            <w:pPr>
              <w:spacing w:after="20" w:line="245" w:lineRule="auto"/>
            </w:pPr>
            <w:r>
              <w:rPr>
                <w:color w:val="1F2933"/>
                <w:sz w:val="16"/>
              </w:rPr>
              <w:t>Requires efficient gather/top-k and data layout</w:t>
            </w:r>
          </w:p>
        </w:tc>
      </w:tr>
      <w:tr>
        <w:trPr>
          <w:cantSplit/>
        </w:trPr>
        <w:tc>
          <w:tcPr>
            <w:tcW w:type="dxa" w:w="720"/>
            <w:vAlign w:val="center"/>
            <w:tcMar>
              <w:top w:w="90" w:type="dxa"/>
              <w:start w:w="100" w:type="dxa"/>
              <w:bottom w:w="90" w:type="dxa"/>
              <w:end w:w="100" w:type="dxa"/>
            </w:tcMar>
            <w:shd w:fill="F4F7F9"/>
          </w:tcPr>
          <w:p>
            <w:pPr>
              <w:spacing w:after="20" w:line="245" w:lineRule="auto"/>
            </w:pPr>
            <w:r>
              <w:rPr>
                <w:color w:val="1F2933"/>
                <w:sz w:val="16"/>
              </w:rPr>
              <w:t>2</w:t>
            </w:r>
          </w:p>
        </w:tc>
        <w:tc>
          <w:tcPr>
            <w:tcW w:type="dxa" w:w="3384"/>
            <w:vAlign w:val="center"/>
            <w:tcMar>
              <w:top w:w="90" w:type="dxa"/>
              <w:start w:w="100" w:type="dxa"/>
              <w:bottom w:w="90" w:type="dxa"/>
              <w:end w:w="100" w:type="dxa"/>
            </w:tcMar>
            <w:shd w:fill="F4F7F9"/>
          </w:tcPr>
          <w:p>
            <w:pPr>
              <w:spacing w:after="20" w:line="245" w:lineRule="auto"/>
            </w:pPr>
            <w:r>
              <w:rPr>
                <w:color w:val="1F2933"/>
                <w:sz w:val="16"/>
              </w:rPr>
              <w:t>Search ranking funnel / late interaction</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Very high</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Needs integration with proprietary serving stack</w:t>
            </w:r>
          </w:p>
        </w:tc>
      </w:tr>
      <w:tr>
        <w:trPr>
          <w:cantSplit/>
        </w:trPr>
        <w:tc>
          <w:tcPr>
            <w:tcW w:type="dxa" w:w="720"/>
            <w:vAlign w:val="center"/>
            <w:tcMar>
              <w:top w:w="90" w:type="dxa"/>
              <w:start w:w="100" w:type="dxa"/>
              <w:bottom w:w="90" w:type="dxa"/>
              <w:end w:w="100" w:type="dxa"/>
            </w:tcMar>
          </w:tcPr>
          <w:p>
            <w:pPr>
              <w:spacing w:after="20" w:line="245" w:lineRule="auto"/>
            </w:pPr>
            <w:r>
              <w:rPr>
                <w:color w:val="1F2933"/>
                <w:sz w:val="16"/>
              </w:rPr>
              <w:t>3</w:t>
            </w:r>
          </w:p>
        </w:tc>
        <w:tc>
          <w:tcPr>
            <w:tcW w:type="dxa" w:w="3384"/>
            <w:vAlign w:val="center"/>
            <w:tcMar>
              <w:top w:w="90" w:type="dxa"/>
              <w:start w:w="100" w:type="dxa"/>
              <w:bottom w:w="90" w:type="dxa"/>
              <w:end w:w="100" w:type="dxa"/>
            </w:tcMar>
          </w:tcPr>
          <w:p>
            <w:pPr>
              <w:spacing w:after="20" w:line="245" w:lineRule="auto"/>
            </w:pPr>
            <w:r>
              <w:rPr>
                <w:color w:val="1F2933"/>
                <w:sz w:val="16"/>
              </w:rPr>
              <w:t>Recommendation embedding tables</w:t>
            </w:r>
          </w:p>
        </w:tc>
        <w:tc>
          <w:tcPr>
            <w:tcW w:type="dxa" w:w="1944"/>
            <w:vAlign w:val="center"/>
            <w:tcMar>
              <w:top w:w="90" w:type="dxa"/>
              <w:start w:w="100" w:type="dxa"/>
              <w:bottom w:w="90" w:type="dxa"/>
              <w:end w:w="100" w:type="dxa"/>
            </w:tcMar>
          </w:tcPr>
          <w:p>
            <w:pPr>
              <w:spacing w:after="20" w:line="245" w:lineRule="auto"/>
            </w:pPr>
            <w:r>
              <w:rPr>
                <w:color w:val="1F2933"/>
                <w:sz w:val="16"/>
              </w:rPr>
              <w:t>Very high if supported</w:t>
            </w:r>
          </w:p>
        </w:tc>
        <w:tc>
          <w:tcPr>
            <w:tcW w:type="dxa" w:w="4320"/>
            <w:vAlign w:val="center"/>
            <w:tcMar>
              <w:top w:w="90" w:type="dxa"/>
              <w:start w:w="100" w:type="dxa"/>
              <w:bottom w:w="90" w:type="dxa"/>
              <w:end w:w="100" w:type="dxa"/>
            </w:tcMar>
          </w:tcPr>
          <w:p>
            <w:pPr>
              <w:spacing w:after="20" w:line="245" w:lineRule="auto"/>
            </w:pPr>
            <w:r>
              <w:rPr>
                <w:color w:val="1F2933"/>
                <w:sz w:val="16"/>
              </w:rPr>
              <w:t>Random access, updates and hot-key balance</w:t>
            </w:r>
          </w:p>
        </w:tc>
      </w:tr>
      <w:tr>
        <w:trPr>
          <w:cantSplit/>
        </w:trPr>
        <w:tc>
          <w:tcPr>
            <w:tcW w:type="dxa" w:w="720"/>
            <w:vAlign w:val="center"/>
            <w:tcMar>
              <w:top w:w="90" w:type="dxa"/>
              <w:start w:w="100" w:type="dxa"/>
              <w:bottom w:w="90" w:type="dxa"/>
              <w:end w:w="100" w:type="dxa"/>
            </w:tcMar>
            <w:shd w:fill="F4F7F9"/>
          </w:tcPr>
          <w:p>
            <w:pPr>
              <w:spacing w:after="20" w:line="245" w:lineRule="auto"/>
            </w:pPr>
            <w:r>
              <w:rPr>
                <w:color w:val="1F2933"/>
                <w:sz w:val="16"/>
              </w:rPr>
              <w:t>4</w:t>
            </w:r>
          </w:p>
        </w:tc>
        <w:tc>
          <w:tcPr>
            <w:tcW w:type="dxa" w:w="3384"/>
            <w:vAlign w:val="center"/>
            <w:tcMar>
              <w:top w:w="90" w:type="dxa"/>
              <w:start w:w="100" w:type="dxa"/>
              <w:bottom w:w="90" w:type="dxa"/>
              <w:end w:w="100" w:type="dxa"/>
            </w:tcMar>
            <w:shd w:fill="F4F7F9"/>
          </w:tcPr>
          <w:p>
            <w:pPr>
              <w:spacing w:after="20" w:line="245" w:lineRule="auto"/>
            </w:pPr>
            <w:r>
              <w:rPr>
                <w:color w:val="1F2933"/>
                <w:sz w:val="16"/>
              </w:rPr>
              <w:t>Multimodal representation search</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High</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Offline/online pipeline integration</w:t>
            </w:r>
          </w:p>
        </w:tc>
      </w:tr>
      <w:tr>
        <w:trPr>
          <w:cantSplit/>
        </w:trPr>
        <w:tc>
          <w:tcPr>
            <w:tcW w:type="dxa" w:w="720"/>
            <w:vAlign w:val="center"/>
            <w:tcMar>
              <w:top w:w="90" w:type="dxa"/>
              <w:start w:w="100" w:type="dxa"/>
              <w:bottom w:w="90" w:type="dxa"/>
              <w:end w:w="100" w:type="dxa"/>
            </w:tcMar>
          </w:tcPr>
          <w:p>
            <w:pPr>
              <w:spacing w:after="20" w:line="245" w:lineRule="auto"/>
            </w:pPr>
            <w:r>
              <w:rPr>
                <w:color w:val="1F2933"/>
                <w:sz w:val="16"/>
              </w:rPr>
              <w:t>5</w:t>
            </w:r>
          </w:p>
        </w:tc>
        <w:tc>
          <w:tcPr>
            <w:tcW w:type="dxa" w:w="3384"/>
            <w:vAlign w:val="center"/>
            <w:tcMar>
              <w:top w:w="90" w:type="dxa"/>
              <w:start w:w="100" w:type="dxa"/>
              <w:bottom w:w="90" w:type="dxa"/>
              <w:end w:w="100" w:type="dxa"/>
            </w:tcMar>
          </w:tcPr>
          <w:p>
            <w:pPr>
              <w:spacing w:after="20" w:line="245" w:lineRule="auto"/>
            </w:pPr>
            <w:r>
              <w:rPr>
                <w:color w:val="1F2933"/>
                <w:sz w:val="16"/>
              </w:rPr>
              <w:t>Sharded semantic cache</w:t>
            </w:r>
          </w:p>
        </w:tc>
        <w:tc>
          <w:tcPr>
            <w:tcW w:type="dxa" w:w="1944"/>
            <w:vAlign w:val="center"/>
            <w:tcMar>
              <w:top w:w="90" w:type="dxa"/>
              <w:start w:w="100" w:type="dxa"/>
              <w:bottom w:w="90" w:type="dxa"/>
              <w:end w:w="100" w:type="dxa"/>
            </w:tcMar>
          </w:tcPr>
          <w:p>
            <w:pPr>
              <w:spacing w:after="20" w:line="245" w:lineRule="auto"/>
            </w:pPr>
            <w:r>
              <w:rPr>
                <w:color w:val="1F2933"/>
                <w:sz w:val="16"/>
              </w:rPr>
              <w:t>Medium-high</w:t>
            </w:r>
          </w:p>
        </w:tc>
        <w:tc>
          <w:tcPr>
            <w:tcW w:type="dxa" w:w="4320"/>
            <w:vAlign w:val="center"/>
            <w:tcMar>
              <w:top w:w="90" w:type="dxa"/>
              <w:start w:w="100" w:type="dxa"/>
              <w:bottom w:w="90" w:type="dxa"/>
              <w:end w:w="100" w:type="dxa"/>
            </w:tcMar>
          </w:tcPr>
          <w:p>
            <w:pPr>
              <w:spacing w:after="20" w:line="245" w:lineRule="auto"/>
            </w:pPr>
            <w:r>
              <w:rPr>
                <w:color w:val="1F2933"/>
                <w:sz w:val="16"/>
              </w:rPr>
              <w:t>Freshness, writes and permissions</w:t>
            </w:r>
          </w:p>
        </w:tc>
      </w:tr>
      <w:tr>
        <w:trPr>
          <w:cantSplit/>
        </w:trPr>
        <w:tc>
          <w:tcPr>
            <w:tcW w:type="dxa" w:w="720"/>
            <w:vAlign w:val="center"/>
            <w:tcMar>
              <w:top w:w="90" w:type="dxa"/>
              <w:start w:w="100" w:type="dxa"/>
              <w:bottom w:w="90" w:type="dxa"/>
              <w:end w:w="100" w:type="dxa"/>
            </w:tcMar>
            <w:shd w:fill="F4F7F9"/>
          </w:tcPr>
          <w:p>
            <w:pPr>
              <w:spacing w:after="20" w:line="245" w:lineRule="auto"/>
            </w:pPr>
            <w:r>
              <w:rPr>
                <w:color w:val="1F2933"/>
                <w:sz w:val="16"/>
              </w:rPr>
              <w:t>6</w:t>
            </w:r>
          </w:p>
        </w:tc>
        <w:tc>
          <w:tcPr>
            <w:tcW w:type="dxa" w:w="3384"/>
            <w:vAlign w:val="center"/>
            <w:tcMar>
              <w:top w:w="90" w:type="dxa"/>
              <w:start w:w="100" w:type="dxa"/>
              <w:bottom w:w="90" w:type="dxa"/>
              <w:end w:w="100" w:type="dxa"/>
            </w:tcMar>
            <w:shd w:fill="F4F7F9"/>
          </w:tcPr>
          <w:p>
            <w:pPr>
              <w:spacing w:after="20" w:line="245" w:lineRule="auto"/>
            </w:pPr>
            <w:r>
              <w:rPr>
                <w:color w:val="1F2933"/>
                <w:sz w:val="16"/>
              </w:rPr>
              <w:t>Query fan-out shard pool</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Medium-high</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Network fan-out and tail latency</w:t>
            </w:r>
          </w:p>
        </w:tc>
      </w:tr>
      <w:tr>
        <w:trPr>
          <w:cantSplit/>
        </w:trPr>
        <w:tc>
          <w:tcPr>
            <w:tcW w:type="dxa" w:w="720"/>
            <w:vAlign w:val="center"/>
            <w:tcMar>
              <w:top w:w="90" w:type="dxa"/>
              <w:start w:w="100" w:type="dxa"/>
              <w:bottom w:w="90" w:type="dxa"/>
              <w:end w:w="100" w:type="dxa"/>
            </w:tcMar>
          </w:tcPr>
          <w:p>
            <w:pPr>
              <w:spacing w:after="20" w:line="245" w:lineRule="auto"/>
            </w:pPr>
            <w:r>
              <w:rPr>
                <w:color w:val="1F2933"/>
                <w:sz w:val="16"/>
              </w:rPr>
              <w:t>7</w:t>
            </w:r>
          </w:p>
        </w:tc>
        <w:tc>
          <w:tcPr>
            <w:tcW w:type="dxa" w:w="3384"/>
            <w:vAlign w:val="center"/>
            <w:tcMar>
              <w:top w:w="90" w:type="dxa"/>
              <w:start w:w="100" w:type="dxa"/>
              <w:bottom w:w="90" w:type="dxa"/>
              <w:end w:w="100" w:type="dxa"/>
            </w:tcMar>
          </w:tcPr>
          <w:p>
            <w:pPr>
              <w:spacing w:after="20" w:line="245" w:lineRule="auto"/>
            </w:pPr>
            <w:r>
              <w:rPr>
                <w:color w:val="1F2933"/>
                <w:sz w:val="16"/>
              </w:rPr>
              <w:t>Dense specialist-model hosting</w:t>
            </w:r>
          </w:p>
        </w:tc>
        <w:tc>
          <w:tcPr>
            <w:tcW w:type="dxa" w:w="1944"/>
            <w:vAlign w:val="center"/>
            <w:tcMar>
              <w:top w:w="90" w:type="dxa"/>
              <w:start w:w="100" w:type="dxa"/>
              <w:bottom w:w="90" w:type="dxa"/>
              <w:end w:w="100" w:type="dxa"/>
            </w:tcMar>
          </w:tcPr>
          <w:p>
            <w:pPr>
              <w:spacing w:after="20" w:line="245" w:lineRule="auto"/>
            </w:pPr>
            <w:r>
              <w:rPr>
                <w:color w:val="1F2933"/>
                <w:sz w:val="16"/>
              </w:rPr>
              <w:t>Medium</w:t>
            </w:r>
          </w:p>
        </w:tc>
        <w:tc>
          <w:tcPr>
            <w:tcW w:type="dxa" w:w="4320"/>
            <w:vAlign w:val="center"/>
            <w:tcMar>
              <w:top w:w="90" w:type="dxa"/>
              <w:start w:w="100" w:type="dxa"/>
              <w:bottom w:w="90" w:type="dxa"/>
              <w:end w:w="100" w:type="dxa"/>
            </w:tcMar>
          </w:tcPr>
          <w:p>
            <w:pPr>
              <w:spacing w:after="20" w:line="245" w:lineRule="auto"/>
            </w:pPr>
            <w:r>
              <w:rPr>
                <w:color w:val="1F2933"/>
                <w:sz w:val="16"/>
              </w:rPr>
              <w:t>Weak HBF utilization for small models</w:t>
            </w:r>
          </w:p>
        </w:tc>
      </w:tr>
      <w:tr>
        <w:trPr>
          <w:cantSplit/>
        </w:trPr>
        <w:tc>
          <w:tcPr>
            <w:tcW w:type="dxa" w:w="720"/>
            <w:vAlign w:val="center"/>
            <w:tcMar>
              <w:top w:w="90" w:type="dxa"/>
              <w:start w:w="100" w:type="dxa"/>
              <w:bottom w:w="90" w:type="dxa"/>
              <w:end w:w="100" w:type="dxa"/>
            </w:tcMar>
            <w:shd w:fill="F4F7F9"/>
          </w:tcPr>
          <w:p>
            <w:pPr>
              <w:spacing w:after="20" w:line="245" w:lineRule="auto"/>
            </w:pPr>
            <w:r>
              <w:rPr>
                <w:color w:val="1F2933"/>
                <w:sz w:val="16"/>
              </w:rPr>
              <w:t>8</w:t>
            </w:r>
          </w:p>
        </w:tc>
        <w:tc>
          <w:tcPr>
            <w:tcW w:type="dxa" w:w="3384"/>
            <w:vAlign w:val="center"/>
            <w:tcMar>
              <w:top w:w="90" w:type="dxa"/>
              <w:start w:w="100" w:type="dxa"/>
              <w:bottom w:w="90" w:type="dxa"/>
              <w:end w:w="100" w:type="dxa"/>
            </w:tcMar>
            <w:shd w:fill="F4F7F9"/>
          </w:tcPr>
          <w:p>
            <w:pPr>
              <w:spacing w:after="20" w:line="245" w:lineRule="auto"/>
            </w:pPr>
            <w:r>
              <w:rPr>
                <w:color w:val="1F2933"/>
                <w:sz w:val="16"/>
              </w:rPr>
              <w:t>MoE expert bank</w:t>
            </w:r>
          </w:p>
        </w:tc>
        <w:tc>
          <w:tcPr>
            <w:tcW w:type="dxa" w:w="1944"/>
            <w:vAlign w:val="center"/>
            <w:tcMar>
              <w:top w:w="90" w:type="dxa"/>
              <w:start w:w="100" w:type="dxa"/>
              <w:bottom w:w="90" w:type="dxa"/>
              <w:end w:w="100" w:type="dxa"/>
            </w:tcMar>
            <w:shd w:fill="F4F7F9"/>
          </w:tcPr>
          <w:p>
            <w:pPr>
              <w:spacing w:after="20" w:line="245" w:lineRule="auto"/>
            </w:pPr>
            <w:r>
              <w:rPr>
                <w:color w:val="1F2933"/>
                <w:sz w:val="16"/>
              </w:rPr>
              <w:t>Research</w:t>
            </w:r>
          </w:p>
        </w:tc>
        <w:tc>
          <w:tcPr>
            <w:tcW w:type="dxa" w:w="4320"/>
            <w:vAlign w:val="center"/>
            <w:tcMar>
              <w:top w:w="90" w:type="dxa"/>
              <w:start w:w="100" w:type="dxa"/>
              <w:bottom w:w="90" w:type="dxa"/>
              <w:end w:w="100" w:type="dxa"/>
            </w:tcMar>
            <w:shd w:fill="F4F7F9"/>
          </w:tcPr>
          <w:p>
            <w:pPr>
              <w:spacing w:after="20" w:line="245" w:lineRule="auto"/>
            </w:pPr>
            <w:r>
              <w:rPr>
                <w:color w:val="1F2933"/>
                <w:sz w:val="16"/>
              </w:rPr>
              <w:t>PCIe and token-level synchronization</w:t>
            </w:r>
          </w:p>
        </w:tc>
      </w:tr>
    </w:tbl>
    <w:p>
      <w:pPr>
        <w:spacing w:after="20"/>
      </w:pPr>
    </w:p>
    <w:p>
      <w:r>
        <w:br w:type="page"/>
      </w:r>
    </w:p>
    <w:p>
      <w:pPr>
        <w:pStyle w:val="Title"/>
      </w:pPr>
      <w:r>
        <w:t>6. Scale-Out Architecture</w:t>
      </w:r>
    </w:p>
    <w:tbl>
      <w:tblPr>
        <w:tblW w:type="auto" w:w="0"/>
        <w:jc w:val="center"/>
        <w:tblLook w:firstColumn="1" w:firstRow="1" w:lastColumn="0" w:lastRow="0" w:noHBand="0" w:noVBand="1" w:val="04A0"/>
      </w:tblPr>
      <w:tblGrid>
        <w:gridCol w:w="10166"/>
      </w:tblGrid>
      <w:tr>
        <w:trPr>
          <w:cantSplit/>
        </w:trPr>
        <w:tc>
          <w:tcPr>
            <w:tcW w:type="dxa" w:w="10166"/>
            <w:shd w:fill="FFF2CC"/>
            <w:tcMar>
              <w:top w:w="150" w:type="dxa"/>
              <w:start w:w="180" w:type="dxa"/>
              <w:bottom w:w="150" w:type="dxa"/>
              <w:end w:w="180" w:type="dxa"/>
            </w:tcMar>
          </w:tcPr>
          <w:p>
            <w:pPr>
              <w:pStyle w:val="Callout"/>
            </w:pPr>
            <w:r>
              <w:t>Correct aggregate interpretation: N devices provide N × 128 GB capacity and N × 200 GB/s aggregate bandwidth only when data and work are partitioned. Each individual shard remains capped by one device’s bandwidth and compute.</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5"/>
              </w:rPr>
              <w:t>Topology</w:t>
            </w:r>
          </w:p>
        </w:tc>
        <w:tc>
          <w:tcPr>
            <w:tcW w:type="dxa" w:w="2541"/>
            <w:shd w:fill="13263D"/>
            <w:vAlign w:val="center"/>
            <w:tcMar>
              <w:top w:w="90" w:type="dxa"/>
              <w:start w:w="100" w:type="dxa"/>
              <w:bottom w:w="90" w:type="dxa"/>
              <w:end w:w="100" w:type="dxa"/>
            </w:tcMar>
          </w:tcPr>
          <w:p>
            <w:r>
              <w:rPr>
                <w:b/>
                <w:color w:val="FFFFFF"/>
                <w:sz w:val="15"/>
              </w:rPr>
              <w:t>Best use</w:t>
            </w:r>
          </w:p>
        </w:tc>
        <w:tc>
          <w:tcPr>
            <w:tcW w:type="dxa" w:w="2541"/>
            <w:shd w:fill="13263D"/>
            <w:vAlign w:val="center"/>
            <w:tcMar>
              <w:top w:w="90" w:type="dxa"/>
              <w:start w:w="100" w:type="dxa"/>
              <w:bottom w:w="90" w:type="dxa"/>
              <w:end w:w="100" w:type="dxa"/>
            </w:tcMar>
          </w:tcPr>
          <w:p>
            <w:r>
              <w:rPr>
                <w:b/>
                <w:color w:val="FFFFFF"/>
                <w:sz w:val="15"/>
              </w:rPr>
              <w:t>Advantages</w:t>
            </w:r>
          </w:p>
        </w:tc>
        <w:tc>
          <w:tcPr>
            <w:tcW w:type="dxa" w:w="2541"/>
            <w:shd w:fill="13263D"/>
            <w:vAlign w:val="center"/>
            <w:tcMar>
              <w:top w:w="90" w:type="dxa"/>
              <w:start w:w="100" w:type="dxa"/>
              <w:bottom w:w="90" w:type="dxa"/>
              <w:end w:w="100" w:type="dxa"/>
            </w:tcMar>
          </w:tcPr>
          <w:p>
            <w:r>
              <w:rPr>
                <w:b/>
                <w:color w:val="FFFFFF"/>
                <w:sz w:val="15"/>
              </w:rPr>
              <w:t>Risks</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5"/>
              </w:rPr>
              <w:t>Independent replicated devices</w:t>
            </w:r>
          </w:p>
        </w:tc>
        <w:tc>
          <w:tcPr>
            <w:tcW w:type="dxa" w:w="2520"/>
            <w:vAlign w:val="center"/>
            <w:tcMar>
              <w:top w:w="90" w:type="dxa"/>
              <w:start w:w="100" w:type="dxa"/>
              <w:bottom w:w="90" w:type="dxa"/>
              <w:end w:w="100" w:type="dxa"/>
            </w:tcMar>
          </w:tcPr>
          <w:p>
            <w:pPr>
              <w:spacing w:after="20" w:line="245" w:lineRule="auto"/>
            </w:pPr>
            <w:r>
              <w:rPr>
                <w:color w:val="1F2933"/>
                <w:sz w:val="15"/>
              </w:rPr>
              <w:t>Embedding/rerank service replicas</w:t>
            </w:r>
          </w:p>
        </w:tc>
        <w:tc>
          <w:tcPr>
            <w:tcW w:type="dxa" w:w="2880"/>
            <w:vAlign w:val="center"/>
            <w:tcMar>
              <w:top w:w="90" w:type="dxa"/>
              <w:start w:w="100" w:type="dxa"/>
              <w:bottom w:w="90" w:type="dxa"/>
              <w:end w:w="100" w:type="dxa"/>
            </w:tcMar>
          </w:tcPr>
          <w:p>
            <w:pPr>
              <w:spacing w:after="20" w:line="245" w:lineRule="auto"/>
            </w:pPr>
            <w:r>
              <w:rPr>
                <w:color w:val="1F2933"/>
                <w:sz w:val="15"/>
              </w:rPr>
              <w:t>Simple scheduling and fault isolation</w:t>
            </w:r>
          </w:p>
        </w:tc>
        <w:tc>
          <w:tcPr>
            <w:tcW w:type="dxa" w:w="3168"/>
            <w:vAlign w:val="center"/>
            <w:tcMar>
              <w:top w:w="90" w:type="dxa"/>
              <w:start w:w="100" w:type="dxa"/>
              <w:bottom w:w="90" w:type="dxa"/>
              <w:end w:w="100" w:type="dxa"/>
            </w:tcMar>
          </w:tcPr>
          <w:p>
            <w:pPr>
              <w:spacing w:after="20" w:line="245" w:lineRule="auto"/>
            </w:pPr>
            <w:r>
              <w:rPr>
                <w:color w:val="1F2933"/>
                <w:sz w:val="15"/>
              </w:rPr>
              <w:t>Low HBF utilization for small models</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5"/>
              </w:rPr>
              <w:t>Corpus-sharded devices</w:t>
            </w:r>
          </w:p>
        </w:tc>
        <w:tc>
          <w:tcPr>
            <w:tcW w:type="dxa" w:w="2520"/>
            <w:vAlign w:val="center"/>
            <w:tcMar>
              <w:top w:w="90" w:type="dxa"/>
              <w:start w:w="100" w:type="dxa"/>
              <w:bottom w:w="90" w:type="dxa"/>
              <w:end w:w="100" w:type="dxa"/>
            </w:tcMar>
            <w:shd w:fill="F4F7F9"/>
          </w:tcPr>
          <w:p>
            <w:pPr>
              <w:spacing w:after="20" w:line="245" w:lineRule="auto"/>
            </w:pPr>
            <w:r>
              <w:rPr>
                <w:color w:val="1F2933"/>
                <w:sz w:val="15"/>
              </w:rPr>
              <w:t>Vector/multi-vector refinement</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Linear capacity and aggregate bandwidth</w:t>
            </w:r>
          </w:p>
        </w:tc>
        <w:tc>
          <w:tcPr>
            <w:tcW w:type="dxa" w:w="3168"/>
            <w:vAlign w:val="center"/>
            <w:tcMar>
              <w:top w:w="90" w:type="dxa"/>
              <w:start w:w="100" w:type="dxa"/>
              <w:bottom w:w="90" w:type="dxa"/>
              <w:end w:w="100" w:type="dxa"/>
            </w:tcMar>
            <w:shd w:fill="F4F7F9"/>
          </w:tcPr>
          <w:p>
            <w:pPr>
              <w:spacing w:after="20" w:line="245" w:lineRule="auto"/>
            </w:pPr>
            <w:r>
              <w:rPr>
                <w:color w:val="1F2933"/>
                <w:sz w:val="15"/>
              </w:rPr>
              <w:t>Fan-out, global top-k and slowest-shard tail</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5"/>
              </w:rPr>
              <w:t>Role-specific devices</w:t>
            </w:r>
          </w:p>
        </w:tc>
        <w:tc>
          <w:tcPr>
            <w:tcW w:type="dxa" w:w="2520"/>
            <w:vAlign w:val="center"/>
            <w:tcMar>
              <w:top w:w="90" w:type="dxa"/>
              <w:start w:w="100" w:type="dxa"/>
              <w:bottom w:w="90" w:type="dxa"/>
              <w:end w:w="100" w:type="dxa"/>
            </w:tcMar>
          </w:tcPr>
          <w:p>
            <w:pPr>
              <w:spacing w:after="20" w:line="245" w:lineRule="auto"/>
            </w:pPr>
            <w:r>
              <w:rPr>
                <w:color w:val="1F2933"/>
                <w:sz w:val="15"/>
              </w:rPr>
              <w:t>Retrieval, rerank, VLM, dense model per device</w:t>
            </w:r>
          </w:p>
        </w:tc>
        <w:tc>
          <w:tcPr>
            <w:tcW w:type="dxa" w:w="2880"/>
            <w:vAlign w:val="center"/>
            <w:tcMar>
              <w:top w:w="90" w:type="dxa"/>
              <w:start w:w="100" w:type="dxa"/>
              <w:bottom w:w="90" w:type="dxa"/>
              <w:end w:w="100" w:type="dxa"/>
            </w:tcMar>
          </w:tcPr>
          <w:p>
            <w:pPr>
              <w:spacing w:after="20" w:line="245" w:lineRule="auto"/>
            </w:pPr>
            <w:r>
              <w:rPr>
                <w:color w:val="1F2933"/>
                <w:sz w:val="15"/>
              </w:rPr>
              <w:t>Clear workload ownership</w:t>
            </w:r>
          </w:p>
        </w:tc>
        <w:tc>
          <w:tcPr>
            <w:tcW w:type="dxa" w:w="3168"/>
            <w:vAlign w:val="center"/>
            <w:tcMar>
              <w:top w:w="90" w:type="dxa"/>
              <w:start w:w="100" w:type="dxa"/>
              <w:bottom w:w="90" w:type="dxa"/>
              <w:end w:w="100" w:type="dxa"/>
            </w:tcMar>
          </w:tcPr>
          <w:p>
            <w:pPr>
              <w:spacing w:after="20" w:line="245" w:lineRule="auto"/>
            </w:pPr>
            <w:r>
              <w:rPr>
                <w:color w:val="1F2933"/>
                <w:sz w:val="15"/>
              </w:rPr>
              <w:t>Fleet fragmentation</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5"/>
              </w:rPr>
              <w:t>Homogeneous device pool</w:t>
            </w:r>
          </w:p>
        </w:tc>
        <w:tc>
          <w:tcPr>
            <w:tcW w:type="dxa" w:w="2520"/>
            <w:vAlign w:val="center"/>
            <w:tcMar>
              <w:top w:w="90" w:type="dxa"/>
              <w:start w:w="100" w:type="dxa"/>
              <w:bottom w:w="90" w:type="dxa"/>
              <w:end w:w="100" w:type="dxa"/>
            </w:tcMar>
            <w:shd w:fill="F4F7F9"/>
          </w:tcPr>
          <w:p>
            <w:pPr>
              <w:spacing w:after="20" w:line="245" w:lineRule="auto"/>
            </w:pPr>
            <w:r>
              <w:rPr>
                <w:color w:val="1F2933"/>
                <w:sz w:val="15"/>
              </w:rPr>
              <w:t>Hyperscaler or neocloud service</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Operational simplicity and load balancing</w:t>
            </w:r>
          </w:p>
        </w:tc>
        <w:tc>
          <w:tcPr>
            <w:tcW w:type="dxa" w:w="3168"/>
            <w:vAlign w:val="center"/>
            <w:tcMar>
              <w:top w:w="90" w:type="dxa"/>
              <w:start w:w="100" w:type="dxa"/>
              <w:bottom w:w="90" w:type="dxa"/>
              <w:end w:w="100" w:type="dxa"/>
            </w:tcMar>
            <w:shd w:fill="F4F7F9"/>
          </w:tcPr>
          <w:p>
            <w:pPr>
              <w:spacing w:after="20" w:line="245" w:lineRule="auto"/>
            </w:pPr>
            <w:r>
              <w:rPr>
                <w:color w:val="1F2933"/>
                <w:sz w:val="15"/>
              </w:rPr>
              <w:t>Requires one dominant, repeatable workload</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5"/>
              </w:rPr>
              <w:t>Cross-device model sharding</w:t>
            </w:r>
          </w:p>
        </w:tc>
        <w:tc>
          <w:tcPr>
            <w:tcW w:type="dxa" w:w="2520"/>
            <w:vAlign w:val="center"/>
            <w:tcMar>
              <w:top w:w="90" w:type="dxa"/>
              <w:start w:w="100" w:type="dxa"/>
              <w:bottom w:w="90" w:type="dxa"/>
              <w:end w:w="100" w:type="dxa"/>
            </w:tcMar>
          </w:tcPr>
          <w:p>
            <w:pPr>
              <w:spacing w:after="20" w:line="245" w:lineRule="auto"/>
            </w:pPr>
            <w:r>
              <w:rPr>
                <w:color w:val="1F2933"/>
                <w:sz w:val="15"/>
              </w:rPr>
              <w:t>Large dense/MoE model</w:t>
            </w:r>
          </w:p>
        </w:tc>
        <w:tc>
          <w:tcPr>
            <w:tcW w:type="dxa" w:w="2880"/>
            <w:vAlign w:val="center"/>
            <w:tcMar>
              <w:top w:w="90" w:type="dxa"/>
              <w:start w:w="100" w:type="dxa"/>
              <w:bottom w:w="90" w:type="dxa"/>
              <w:end w:w="100" w:type="dxa"/>
            </w:tcMar>
          </w:tcPr>
          <w:p>
            <w:pPr>
              <w:spacing w:after="20" w:line="245" w:lineRule="auto"/>
            </w:pPr>
            <w:r>
              <w:rPr>
                <w:color w:val="1F2933"/>
                <w:sz w:val="15"/>
              </w:rPr>
              <w:t>Aggregate capacity</w:t>
            </w:r>
          </w:p>
        </w:tc>
        <w:tc>
          <w:tcPr>
            <w:tcW w:type="dxa" w:w="3168"/>
            <w:vAlign w:val="center"/>
            <w:tcMar>
              <w:top w:w="90" w:type="dxa"/>
              <w:start w:w="100" w:type="dxa"/>
              <w:bottom w:w="90" w:type="dxa"/>
              <w:end w:w="100" w:type="dxa"/>
            </w:tcMar>
          </w:tcPr>
          <w:p>
            <w:pPr>
              <w:spacing w:after="20" w:line="245" w:lineRule="auto"/>
            </w:pPr>
            <w:r>
              <w:rPr>
                <w:color w:val="1F2933"/>
                <w:sz w:val="15"/>
              </w:rPr>
              <w:t>PCIe latency, collectives and runtime complexity</w:t>
            </w:r>
          </w:p>
        </w:tc>
      </w:tr>
    </w:tbl>
    <w:p>
      <w:pPr>
        <w:spacing w:after="20"/>
      </w:pPr>
    </w:p>
    <w:p>
      <w:pPr>
        <w:pStyle w:val="Heading1"/>
      </w:pPr>
      <w:r>
        <w:t>6.1 Reference sharded retrieval path</w:t>
      </w:r>
    </w:p>
    <w:p>
      <w:pPr>
        <w:pStyle w:val="ListNumber"/>
      </w:pPr>
      <w:r>
        <w:t>Query router maps filters and index partitions to a subset of ATMOS devices.</w:t>
      </w:r>
    </w:p>
    <w:p>
      <w:pPr>
        <w:pStyle w:val="ListNumber"/>
      </w:pPr>
      <w:r>
        <w:t>Each device reads only local candidate representations and generates a local top-k.</w:t>
      </w:r>
    </w:p>
    <w:p>
      <w:pPr>
        <w:pStyle w:val="ListNumber"/>
      </w:pPr>
      <w:r>
        <w:t>Host or search service merges local top-k lists into a global result set.</w:t>
      </w:r>
    </w:p>
    <w:p>
      <w:pPr>
        <w:pStyle w:val="ListNumber"/>
      </w:pPr>
      <w:r>
        <w:t>Optional heavy ranker processes the reduced candidate set.</w:t>
      </w:r>
    </w:p>
    <w:p>
      <w:pPr>
        <w:pStyle w:val="ListNumber"/>
      </w:pPr>
      <w:r>
        <w:t>Replication handles device maintenance and availability without requiring shared HBF semantics.</w:t>
      </w:r>
    </w:p>
    <w:p>
      <w:pPr>
        <w:pStyle w:val="Heading1"/>
      </w:pPr>
      <w:r>
        <w:t>6.2 Scale-out engineering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Area</w:t>
            </w:r>
          </w:p>
        </w:tc>
        <w:tc>
          <w:tcPr>
            <w:tcW w:type="dxa" w:w="5083"/>
            <w:shd w:fill="13263D"/>
            <w:vAlign w:val="center"/>
            <w:tcMar>
              <w:top w:w="90" w:type="dxa"/>
              <w:start w:w="100" w:type="dxa"/>
              <w:bottom w:w="90" w:type="dxa"/>
              <w:end w:w="100" w:type="dxa"/>
            </w:tcMar>
          </w:tcPr>
          <w:p>
            <w:r>
              <w:rPr>
                <w:b/>
                <w:color w:val="FFFFFF"/>
                <w:sz w:val="16"/>
              </w:rPr>
              <w:t>Required work</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Routing</w:t>
            </w:r>
          </w:p>
        </w:tc>
        <w:tc>
          <w:tcPr>
            <w:tcW w:type="dxa" w:w="8136"/>
            <w:vAlign w:val="center"/>
            <w:tcMar>
              <w:top w:w="90" w:type="dxa"/>
              <w:start w:w="100" w:type="dxa"/>
              <w:bottom w:w="90" w:type="dxa"/>
              <w:end w:w="100" w:type="dxa"/>
            </w:tcMar>
          </w:tcPr>
          <w:p>
            <w:pPr>
              <w:spacing w:after="20" w:line="245" w:lineRule="auto"/>
            </w:pPr>
            <w:r>
              <w:rPr>
                <w:color w:val="1F2933"/>
                <w:sz w:val="16"/>
              </w:rPr>
              <w:t>Shard map, locality-aware dispatch, filter-aware pruning and request hedging</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Top-k merge</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Deterministic local/global score normalization and efficient merge</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Availability</w:t>
            </w:r>
          </w:p>
        </w:tc>
        <w:tc>
          <w:tcPr>
            <w:tcW w:type="dxa" w:w="8136"/>
            <w:vAlign w:val="center"/>
            <w:tcMar>
              <w:top w:w="90" w:type="dxa"/>
              <w:start w:w="100" w:type="dxa"/>
              <w:bottom w:w="90" w:type="dxa"/>
              <w:end w:w="100" w:type="dxa"/>
            </w:tcMar>
          </w:tcPr>
          <w:p>
            <w:pPr>
              <w:spacing w:after="20" w:line="245" w:lineRule="auto"/>
            </w:pPr>
            <w:r>
              <w:rPr>
                <w:color w:val="1F2933"/>
                <w:sz w:val="16"/>
              </w:rPr>
              <w:t>Replica placement, rebuild, failover and degraded-mode behavior</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Updates</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Segment versioning, immutable snapshots, delta path and background refresh</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Backplane</w:t>
            </w:r>
          </w:p>
        </w:tc>
        <w:tc>
          <w:tcPr>
            <w:tcW w:type="dxa" w:w="8136"/>
            <w:vAlign w:val="center"/>
            <w:tcMar>
              <w:top w:w="90" w:type="dxa"/>
              <w:start w:w="100" w:type="dxa"/>
              <w:bottom w:w="90" w:type="dxa"/>
              <w:end w:w="100" w:type="dxa"/>
            </w:tcMar>
          </w:tcPr>
          <w:p>
            <w:pPr>
              <w:spacing w:after="20" w:line="245" w:lineRule="auto"/>
            </w:pPr>
            <w:r>
              <w:rPr>
                <w:color w:val="1F2933"/>
                <w:sz w:val="16"/>
              </w:rPr>
              <w:t>PCIe switch map, uplink oversubscription and host ingress/egress budget</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Tail latency</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Deadline propagation, straggler handling and hot-shard mitigation</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Observability</w:t>
            </w:r>
          </w:p>
        </w:tc>
        <w:tc>
          <w:tcPr>
            <w:tcW w:type="dxa" w:w="8136"/>
            <w:vAlign w:val="center"/>
            <w:tcMar>
              <w:top w:w="90" w:type="dxa"/>
              <w:start w:w="100" w:type="dxa"/>
              <w:bottom w:w="90" w:type="dxa"/>
              <w:end w:w="100" w:type="dxa"/>
            </w:tcMar>
          </w:tcPr>
          <w:p>
            <w:pPr>
              <w:spacing w:after="20" w:line="245" w:lineRule="auto"/>
            </w:pPr>
            <w:r>
              <w:rPr>
                <w:color w:val="1F2933"/>
                <w:sz w:val="16"/>
              </w:rPr>
              <w:t>Bytes/query, useful HBF bandwidth, queue depth, throttling and result quality</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Security</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Tenant isolation, encryption, secure erase and attested firmware</w:t>
            </w:r>
          </w:p>
        </w:tc>
      </w:tr>
    </w:tbl>
    <w:p>
      <w:pPr>
        <w:spacing w:after="20"/>
      </w:pPr>
    </w:p>
    <w:p>
      <w:r>
        <w:br w:type="page"/>
      </w:r>
    </w:p>
    <w:p>
      <w:pPr>
        <w:pStyle w:val="Title"/>
      </w:pPr>
      <w:r>
        <w:t>7. Proof-of-Concept Portfolio and Exit Criteria</w:t>
      </w:r>
    </w:p>
    <w:tbl>
      <w:tblPr>
        <w:tblW w:type="auto" w:w="0"/>
        <w:jc w:val="center"/>
        <w:tblLook w:firstColumn="1" w:firstRow="1" w:lastColumn="0" w:lastRow="0" w:noHBand="0" w:noVBand="1" w:val="04A0"/>
      </w:tblPr>
      <w:tblGrid>
        <w:gridCol w:w="10166"/>
      </w:tblGrid>
      <w:tr>
        <w:trPr>
          <w:cantSplit/>
        </w:trPr>
        <w:tc>
          <w:tcPr>
            <w:tcW w:type="dxa" w:w="10166"/>
            <w:shd w:fill="DCEAF2"/>
            <w:tcMar>
              <w:top w:w="150" w:type="dxa"/>
              <w:start w:w="180" w:type="dxa"/>
              <w:bottom w:w="150" w:type="dxa"/>
              <w:end w:w="180" w:type="dxa"/>
            </w:tcMar>
          </w:tcPr>
          <w:p>
            <w:pPr>
              <w:pStyle w:val="Callout"/>
            </w:pPr>
            <w:r>
              <w:t>POC discipline: every POC must compare equal-quality outputs at a fixed service-level objective. A demo that only proves a model or index fits is not sufficient.</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5"/>
              </w:rPr>
              <w:t>ID</w:t>
            </w:r>
          </w:p>
        </w:tc>
        <w:tc>
          <w:tcPr>
            <w:tcW w:type="dxa" w:w="2541"/>
            <w:shd w:fill="13263D"/>
            <w:vAlign w:val="center"/>
            <w:tcMar>
              <w:top w:w="90" w:type="dxa"/>
              <w:start w:w="100" w:type="dxa"/>
              <w:bottom w:w="90" w:type="dxa"/>
              <w:end w:w="100" w:type="dxa"/>
            </w:tcMar>
          </w:tcPr>
          <w:p>
            <w:r>
              <w:rPr>
                <w:b/>
                <w:color w:val="FFFFFF"/>
                <w:sz w:val="15"/>
              </w:rPr>
              <w:t>POC</w:t>
            </w:r>
          </w:p>
        </w:tc>
        <w:tc>
          <w:tcPr>
            <w:tcW w:type="dxa" w:w="2541"/>
            <w:shd w:fill="13263D"/>
            <w:vAlign w:val="center"/>
            <w:tcMar>
              <w:top w:w="90" w:type="dxa"/>
              <w:start w:w="100" w:type="dxa"/>
              <w:bottom w:w="90" w:type="dxa"/>
              <w:end w:w="100" w:type="dxa"/>
            </w:tcMar>
          </w:tcPr>
          <w:p>
            <w:r>
              <w:rPr>
                <w:b/>
                <w:color w:val="FFFFFF"/>
                <w:sz w:val="15"/>
              </w:rPr>
              <w:t>Scope</w:t>
            </w:r>
          </w:p>
        </w:tc>
        <w:tc>
          <w:tcPr>
            <w:tcW w:type="dxa" w:w="2541"/>
            <w:shd w:fill="13263D"/>
            <w:vAlign w:val="center"/>
            <w:tcMar>
              <w:top w:w="90" w:type="dxa"/>
              <w:start w:w="100" w:type="dxa"/>
              <w:bottom w:w="90" w:type="dxa"/>
              <w:end w:w="100" w:type="dxa"/>
            </w:tcMar>
          </w:tcPr>
          <w:p>
            <w:r>
              <w:rPr>
                <w:b/>
                <w:color w:val="FFFFFF"/>
                <w:sz w:val="15"/>
              </w:rPr>
              <w:t>Exit criterion</w:t>
            </w:r>
          </w:p>
        </w:tc>
      </w:tr>
      <w:tr>
        <w:trPr>
          <w:cantSplit/>
        </w:trPr>
        <w:tc>
          <w:tcPr>
            <w:tcW w:type="dxa" w:w="864"/>
            <w:vAlign w:val="center"/>
            <w:tcMar>
              <w:top w:w="90" w:type="dxa"/>
              <w:start w:w="100" w:type="dxa"/>
              <w:bottom w:w="90" w:type="dxa"/>
              <w:end w:w="100" w:type="dxa"/>
            </w:tcMar>
          </w:tcPr>
          <w:p>
            <w:pPr>
              <w:spacing w:after="20" w:line="245" w:lineRule="auto"/>
            </w:pPr>
            <w:r>
              <w:rPr>
                <w:color w:val="1F2933"/>
                <w:sz w:val="15"/>
              </w:rPr>
              <w:t>POC 0</w:t>
            </w:r>
          </w:p>
        </w:tc>
        <w:tc>
          <w:tcPr>
            <w:tcW w:type="dxa" w:w="2232"/>
            <w:vAlign w:val="center"/>
            <w:tcMar>
              <w:top w:w="90" w:type="dxa"/>
              <w:start w:w="100" w:type="dxa"/>
              <w:bottom w:w="90" w:type="dxa"/>
              <w:end w:w="100" w:type="dxa"/>
            </w:tcMar>
          </w:tcPr>
          <w:p>
            <w:pPr>
              <w:spacing w:after="20" w:line="245" w:lineRule="auto"/>
            </w:pPr>
            <w:r>
              <w:rPr>
                <w:color w:val="1F2933"/>
                <w:sz w:val="15"/>
              </w:rPr>
              <w:t>Memory-path characterization</w:t>
            </w:r>
          </w:p>
        </w:tc>
        <w:tc>
          <w:tcPr>
            <w:tcW w:type="dxa" w:w="4464"/>
            <w:vAlign w:val="center"/>
            <w:tcMar>
              <w:top w:w="90" w:type="dxa"/>
              <w:start w:w="100" w:type="dxa"/>
              <w:bottom w:w="90" w:type="dxa"/>
              <w:end w:w="100" w:type="dxa"/>
            </w:tcMar>
          </w:tcPr>
          <w:p>
            <w:pPr>
              <w:spacing w:after="20" w:line="245" w:lineRule="auto"/>
            </w:pPr>
            <w:r>
              <w:rPr>
                <w:color w:val="1F2933"/>
                <w:sz w:val="15"/>
              </w:rPr>
              <w:t>Measure sequential/random read bandwidth, granularity, concurrency, energy, endurance and HBF-to-NPU goodput</w:t>
            </w:r>
          </w:p>
        </w:tc>
        <w:tc>
          <w:tcPr>
            <w:tcW w:type="dxa" w:w="3312"/>
            <w:vAlign w:val="center"/>
            <w:tcMar>
              <w:top w:w="90" w:type="dxa"/>
              <w:start w:w="100" w:type="dxa"/>
              <w:bottom w:w="90" w:type="dxa"/>
              <w:end w:w="100" w:type="dxa"/>
            </w:tcMar>
          </w:tcPr>
          <w:p>
            <w:pPr>
              <w:spacing w:after="20" w:line="245" w:lineRule="auto"/>
            </w:pPr>
            <w:r>
              <w:rPr>
                <w:color w:val="1F2933"/>
                <w:sz w:val="15"/>
              </w:rPr>
              <w:t>Sustained useful bandwidth under representative gather patterns; no hidden LPDDR/PCIe bottleneck</w:t>
            </w:r>
          </w:p>
        </w:tc>
      </w:tr>
      <w:tr>
        <w:trPr>
          <w:cantSplit/>
        </w:trPr>
        <w:tc>
          <w:tcPr>
            <w:tcW w:type="dxa" w:w="864"/>
            <w:vAlign w:val="center"/>
            <w:tcMar>
              <w:top w:w="90" w:type="dxa"/>
              <w:start w:w="100" w:type="dxa"/>
              <w:bottom w:w="90" w:type="dxa"/>
              <w:end w:w="100" w:type="dxa"/>
            </w:tcMar>
            <w:shd w:fill="F4F7F9"/>
          </w:tcPr>
          <w:p>
            <w:pPr>
              <w:spacing w:after="20" w:line="245" w:lineRule="auto"/>
            </w:pPr>
            <w:r>
              <w:rPr>
                <w:color w:val="1F2933"/>
                <w:sz w:val="15"/>
              </w:rPr>
              <w:t>POC 1</w:t>
            </w:r>
          </w:p>
        </w:tc>
        <w:tc>
          <w:tcPr>
            <w:tcW w:type="dxa" w:w="2232"/>
            <w:vAlign w:val="center"/>
            <w:tcMar>
              <w:top w:w="90" w:type="dxa"/>
              <w:start w:w="100" w:type="dxa"/>
              <w:bottom w:w="90" w:type="dxa"/>
              <w:end w:w="100" w:type="dxa"/>
            </w:tcMar>
            <w:shd w:fill="F4F7F9"/>
          </w:tcPr>
          <w:p>
            <w:pPr>
              <w:spacing w:after="20" w:line="245" w:lineRule="auto"/>
            </w:pPr>
            <w:r>
              <w:rPr>
                <w:color w:val="1F2933"/>
                <w:sz w:val="15"/>
              </w:rPr>
              <w:t>Candidate refinement</w:t>
            </w:r>
          </w:p>
        </w:tc>
        <w:tc>
          <w:tcPr>
            <w:tcW w:type="dxa" w:w="4464"/>
            <w:vAlign w:val="center"/>
            <w:tcMar>
              <w:top w:w="90" w:type="dxa"/>
              <w:start w:w="100" w:type="dxa"/>
              <w:bottom w:w="90" w:type="dxa"/>
              <w:end w:w="100" w:type="dxa"/>
            </w:tcMar>
            <w:shd w:fill="F4F7F9"/>
          </w:tcPr>
          <w:p>
            <w:pPr>
              <w:spacing w:after="20" w:line="245" w:lineRule="auto"/>
            </w:pPr>
            <w:r>
              <w:rPr>
                <w:color w:val="1F2933"/>
                <w:sz w:val="15"/>
              </w:rPr>
              <w:t>Milvus coarse ANN returns 1K–10K IDs; ATMOS fetches full vectors, exact-scores and top-k</w:t>
            </w:r>
          </w:p>
        </w:tc>
        <w:tc>
          <w:tcPr>
            <w:tcW w:type="dxa" w:w="3312"/>
            <w:vAlign w:val="center"/>
            <w:tcMar>
              <w:top w:w="90" w:type="dxa"/>
              <w:start w:w="100" w:type="dxa"/>
              <w:bottom w:w="90" w:type="dxa"/>
              <w:end w:w="100" w:type="dxa"/>
            </w:tcMar>
            <w:shd w:fill="F4F7F9"/>
          </w:tcPr>
          <w:p>
            <w:pPr>
              <w:spacing w:after="20" w:line="245" w:lineRule="auto"/>
            </w:pPr>
            <w:r>
              <w:rPr>
                <w:color w:val="1F2933"/>
                <w:sz w:val="15"/>
              </w:rPr>
              <w:t>Better recall/NDCG at equal p99, or lower power/cost at equal quality versus CPU/GPU baseline</w:t>
            </w:r>
          </w:p>
        </w:tc>
      </w:tr>
      <w:tr>
        <w:trPr>
          <w:cantSplit/>
        </w:trPr>
        <w:tc>
          <w:tcPr>
            <w:tcW w:type="dxa" w:w="864"/>
            <w:vAlign w:val="center"/>
            <w:tcMar>
              <w:top w:w="90" w:type="dxa"/>
              <w:start w:w="100" w:type="dxa"/>
              <w:bottom w:w="90" w:type="dxa"/>
              <w:end w:w="100" w:type="dxa"/>
            </w:tcMar>
          </w:tcPr>
          <w:p>
            <w:pPr>
              <w:spacing w:after="20" w:line="245" w:lineRule="auto"/>
            </w:pPr>
            <w:r>
              <w:rPr>
                <w:color w:val="1F2933"/>
                <w:sz w:val="15"/>
              </w:rPr>
              <w:t>POC 2</w:t>
            </w:r>
          </w:p>
        </w:tc>
        <w:tc>
          <w:tcPr>
            <w:tcW w:type="dxa" w:w="2232"/>
            <w:vAlign w:val="center"/>
            <w:tcMar>
              <w:top w:w="90" w:type="dxa"/>
              <w:start w:w="100" w:type="dxa"/>
              <w:bottom w:w="90" w:type="dxa"/>
              <w:end w:w="100" w:type="dxa"/>
            </w:tcMar>
          </w:tcPr>
          <w:p>
            <w:pPr>
              <w:spacing w:after="20" w:line="245" w:lineRule="auto"/>
            </w:pPr>
            <w:r>
              <w:rPr>
                <w:color w:val="1F2933"/>
                <w:sz w:val="15"/>
              </w:rPr>
              <w:t>Late-interaction retrieval</w:t>
            </w:r>
          </w:p>
        </w:tc>
        <w:tc>
          <w:tcPr>
            <w:tcW w:type="dxa" w:w="4464"/>
            <w:vAlign w:val="center"/>
            <w:tcMar>
              <w:top w:w="90" w:type="dxa"/>
              <w:start w:w="100" w:type="dxa"/>
              <w:bottom w:w="90" w:type="dxa"/>
              <w:end w:w="100" w:type="dxa"/>
            </w:tcMar>
          </w:tcPr>
          <w:p>
            <w:pPr>
              <w:spacing w:after="20" w:line="245" w:lineRule="auto"/>
            </w:pPr>
            <w:r>
              <w:rPr>
                <w:color w:val="1F2933"/>
                <w:sz w:val="15"/>
              </w:rPr>
              <w:t>HBF stores multi-vector document features; NPU executes max-sim and aggregation</w:t>
            </w:r>
          </w:p>
        </w:tc>
        <w:tc>
          <w:tcPr>
            <w:tcW w:type="dxa" w:w="3312"/>
            <w:vAlign w:val="center"/>
            <w:tcMar>
              <w:top w:w="90" w:type="dxa"/>
              <w:start w:w="100" w:type="dxa"/>
              <w:bottom w:w="90" w:type="dxa"/>
              <w:end w:w="100" w:type="dxa"/>
            </w:tcMar>
          </w:tcPr>
          <w:p>
            <w:pPr>
              <w:spacing w:after="20" w:line="245" w:lineRule="auto"/>
            </w:pPr>
            <w:r>
              <w:rPr>
                <w:color w:val="1F2933"/>
                <w:sz w:val="15"/>
              </w:rPr>
              <w:t>Material quality gain within target p99 and power; HBF read continuously</w:t>
            </w:r>
          </w:p>
        </w:tc>
      </w:tr>
      <w:tr>
        <w:trPr>
          <w:cantSplit/>
        </w:trPr>
        <w:tc>
          <w:tcPr>
            <w:tcW w:type="dxa" w:w="864"/>
            <w:vAlign w:val="center"/>
            <w:tcMar>
              <w:top w:w="90" w:type="dxa"/>
              <w:start w:w="100" w:type="dxa"/>
              <w:bottom w:w="90" w:type="dxa"/>
              <w:end w:w="100" w:type="dxa"/>
            </w:tcMar>
            <w:shd w:fill="F4F7F9"/>
          </w:tcPr>
          <w:p>
            <w:pPr>
              <w:spacing w:after="20" w:line="245" w:lineRule="auto"/>
            </w:pPr>
            <w:r>
              <w:rPr>
                <w:color w:val="1F2933"/>
                <w:sz w:val="15"/>
              </w:rPr>
              <w:t>POC 3</w:t>
            </w:r>
          </w:p>
        </w:tc>
        <w:tc>
          <w:tcPr>
            <w:tcW w:type="dxa" w:w="2232"/>
            <w:vAlign w:val="center"/>
            <w:tcMar>
              <w:top w:w="90" w:type="dxa"/>
              <w:start w:w="100" w:type="dxa"/>
              <w:bottom w:w="90" w:type="dxa"/>
              <w:end w:w="100" w:type="dxa"/>
            </w:tcMar>
            <w:shd w:fill="F4F7F9"/>
          </w:tcPr>
          <w:p>
            <w:pPr>
              <w:spacing w:after="20" w:line="245" w:lineRule="auto"/>
            </w:pPr>
            <w:r>
              <w:rPr>
                <w:color w:val="1F2933"/>
                <w:sz w:val="15"/>
              </w:rPr>
              <w:t>Document/VLM feature search</w:t>
            </w:r>
          </w:p>
        </w:tc>
        <w:tc>
          <w:tcPr>
            <w:tcW w:type="dxa" w:w="4464"/>
            <w:vAlign w:val="center"/>
            <w:tcMar>
              <w:top w:w="90" w:type="dxa"/>
              <w:start w:w="100" w:type="dxa"/>
              <w:bottom w:w="90" w:type="dxa"/>
              <w:end w:w="100" w:type="dxa"/>
            </w:tcMar>
            <w:shd w:fill="F4F7F9"/>
          </w:tcPr>
          <w:p>
            <w:pPr>
              <w:spacing w:after="20" w:line="245" w:lineRule="auto"/>
            </w:pPr>
            <w:r>
              <w:rPr>
                <w:color w:val="1F2933"/>
                <w:sz w:val="15"/>
              </w:rPr>
              <w:t>Store reusable page/layout/image features and repeatedly search/rescore</w:t>
            </w:r>
          </w:p>
        </w:tc>
        <w:tc>
          <w:tcPr>
            <w:tcW w:type="dxa" w:w="3312"/>
            <w:vAlign w:val="center"/>
            <w:tcMar>
              <w:top w:w="90" w:type="dxa"/>
              <w:start w:w="100" w:type="dxa"/>
              <w:bottom w:w="90" w:type="dxa"/>
              <w:end w:w="100" w:type="dxa"/>
            </w:tcMar>
            <w:shd w:fill="F4F7F9"/>
          </w:tcPr>
          <w:p>
            <w:pPr>
              <w:spacing w:after="20" w:line="245" w:lineRule="auto"/>
            </w:pPr>
            <w:r>
              <w:rPr>
                <w:color w:val="1F2933"/>
                <w:sz w:val="15"/>
              </w:rPr>
              <w:t>Reduced host/GPU data movement and improved vertical outcome</w:t>
            </w:r>
          </w:p>
        </w:tc>
      </w:tr>
      <w:tr>
        <w:trPr>
          <w:cantSplit/>
        </w:trPr>
        <w:tc>
          <w:tcPr>
            <w:tcW w:type="dxa" w:w="864"/>
            <w:vAlign w:val="center"/>
            <w:tcMar>
              <w:top w:w="90" w:type="dxa"/>
              <w:start w:w="100" w:type="dxa"/>
              <w:bottom w:w="90" w:type="dxa"/>
              <w:end w:w="100" w:type="dxa"/>
            </w:tcMar>
          </w:tcPr>
          <w:p>
            <w:pPr>
              <w:spacing w:after="20" w:line="245" w:lineRule="auto"/>
            </w:pPr>
            <w:r>
              <w:rPr>
                <w:color w:val="1F2933"/>
                <w:sz w:val="15"/>
              </w:rPr>
              <w:t>POC 4</w:t>
            </w:r>
          </w:p>
        </w:tc>
        <w:tc>
          <w:tcPr>
            <w:tcW w:type="dxa" w:w="2232"/>
            <w:vAlign w:val="center"/>
            <w:tcMar>
              <w:top w:w="90" w:type="dxa"/>
              <w:start w:w="100" w:type="dxa"/>
              <w:bottom w:w="90" w:type="dxa"/>
              <w:end w:w="100" w:type="dxa"/>
            </w:tcMar>
          </w:tcPr>
          <w:p>
            <w:pPr>
              <w:spacing w:after="20" w:line="245" w:lineRule="auto"/>
            </w:pPr>
            <w:r>
              <w:rPr>
                <w:color w:val="1F2933"/>
                <w:sz w:val="15"/>
              </w:rPr>
              <w:t>Dense-model stream</w:t>
            </w:r>
          </w:p>
        </w:tc>
        <w:tc>
          <w:tcPr>
            <w:tcW w:type="dxa" w:w="4464"/>
            <w:vAlign w:val="center"/>
            <w:tcMar>
              <w:top w:w="90" w:type="dxa"/>
              <w:start w:w="100" w:type="dxa"/>
              <w:bottom w:w="90" w:type="dxa"/>
              <w:end w:w="100" w:type="dxa"/>
            </w:tcMar>
          </w:tcPr>
          <w:p>
            <w:pPr>
              <w:spacing w:after="20" w:line="245" w:lineRule="auto"/>
            </w:pPr>
            <w:r>
              <w:rPr>
                <w:color w:val="1F2933"/>
                <w:sz w:val="15"/>
              </w:rPr>
              <w:t>20B–32B quantized model remains in HBF and streams each token</w:t>
            </w:r>
          </w:p>
        </w:tc>
        <w:tc>
          <w:tcPr>
            <w:tcW w:type="dxa" w:w="3312"/>
            <w:vAlign w:val="center"/>
            <w:tcMar>
              <w:top w:w="90" w:type="dxa"/>
              <w:start w:w="100" w:type="dxa"/>
              <w:bottom w:w="90" w:type="dxa"/>
              <w:end w:w="100" w:type="dxa"/>
            </w:tcMar>
          </w:tcPr>
          <w:p>
            <w:pPr>
              <w:spacing w:after="20" w:line="245" w:lineRule="auto"/>
            </w:pPr>
            <w:r>
              <w:rPr>
                <w:color w:val="1F2933"/>
                <w:sz w:val="15"/>
              </w:rPr>
              <w:t>Measured TPOT, energy/token and useful HBF bandwidth beat NVMe offload and meet target workload</w:t>
            </w:r>
          </w:p>
        </w:tc>
      </w:tr>
      <w:tr>
        <w:trPr>
          <w:cantSplit/>
        </w:trPr>
        <w:tc>
          <w:tcPr>
            <w:tcW w:type="dxa" w:w="864"/>
            <w:vAlign w:val="center"/>
            <w:tcMar>
              <w:top w:w="90" w:type="dxa"/>
              <w:start w:w="100" w:type="dxa"/>
              <w:bottom w:w="90" w:type="dxa"/>
              <w:end w:w="100" w:type="dxa"/>
            </w:tcMar>
            <w:shd w:fill="F4F7F9"/>
          </w:tcPr>
          <w:p>
            <w:pPr>
              <w:spacing w:after="20" w:line="245" w:lineRule="auto"/>
            </w:pPr>
            <w:r>
              <w:rPr>
                <w:color w:val="1F2933"/>
                <w:sz w:val="15"/>
              </w:rPr>
              <w:t>POC 5</w:t>
            </w:r>
          </w:p>
        </w:tc>
        <w:tc>
          <w:tcPr>
            <w:tcW w:type="dxa" w:w="2232"/>
            <w:vAlign w:val="center"/>
            <w:tcMar>
              <w:top w:w="90" w:type="dxa"/>
              <w:start w:w="100" w:type="dxa"/>
              <w:bottom w:w="90" w:type="dxa"/>
              <w:end w:w="100" w:type="dxa"/>
            </w:tcMar>
            <w:shd w:fill="F4F7F9"/>
          </w:tcPr>
          <w:p>
            <w:pPr>
              <w:spacing w:after="20" w:line="245" w:lineRule="auto"/>
            </w:pPr>
            <w:r>
              <w:rPr>
                <w:color w:val="1F2933"/>
                <w:sz w:val="15"/>
              </w:rPr>
              <w:t>Eight-device sharded refinement</w:t>
            </w:r>
          </w:p>
        </w:tc>
        <w:tc>
          <w:tcPr>
            <w:tcW w:type="dxa" w:w="4464"/>
            <w:vAlign w:val="center"/>
            <w:tcMar>
              <w:top w:w="90" w:type="dxa"/>
              <w:start w:w="100" w:type="dxa"/>
              <w:bottom w:w="90" w:type="dxa"/>
              <w:end w:w="100" w:type="dxa"/>
            </w:tcMar>
            <w:shd w:fill="F4F7F9"/>
          </w:tcPr>
          <w:p>
            <w:pPr>
              <w:spacing w:after="20" w:line="245" w:lineRule="auto"/>
            </w:pPr>
            <w:r>
              <w:rPr>
                <w:color w:val="1F2933"/>
                <w:sz w:val="15"/>
              </w:rPr>
              <w:t>Partition corpus across devices and merge local top-k</w:t>
            </w:r>
          </w:p>
        </w:tc>
        <w:tc>
          <w:tcPr>
            <w:tcW w:type="dxa" w:w="3312"/>
            <w:vAlign w:val="center"/>
            <w:tcMar>
              <w:top w:w="90" w:type="dxa"/>
              <w:start w:w="100" w:type="dxa"/>
              <w:bottom w:w="90" w:type="dxa"/>
              <w:end w:w="100" w:type="dxa"/>
            </w:tcMar>
            <w:shd w:fill="F4F7F9"/>
          </w:tcPr>
          <w:p>
            <w:pPr>
              <w:spacing w:after="20" w:line="245" w:lineRule="auto"/>
            </w:pPr>
            <w:r>
              <w:rPr>
                <w:color w:val="1F2933"/>
                <w:sz w:val="15"/>
              </w:rPr>
              <w:t>Near-linear throughput, bounded tail latency and no backplane saturation</w:t>
            </w:r>
          </w:p>
        </w:tc>
      </w:tr>
      <w:tr>
        <w:trPr>
          <w:cantSplit/>
        </w:trPr>
        <w:tc>
          <w:tcPr>
            <w:tcW w:type="dxa" w:w="864"/>
            <w:vAlign w:val="center"/>
            <w:tcMar>
              <w:top w:w="90" w:type="dxa"/>
              <w:start w:w="100" w:type="dxa"/>
              <w:bottom w:w="90" w:type="dxa"/>
              <w:end w:w="100" w:type="dxa"/>
            </w:tcMar>
          </w:tcPr>
          <w:p>
            <w:pPr>
              <w:spacing w:after="20" w:line="245" w:lineRule="auto"/>
            </w:pPr>
            <w:r>
              <w:rPr>
                <w:color w:val="1F2933"/>
                <w:sz w:val="15"/>
              </w:rPr>
              <w:t>POC 6</w:t>
            </w:r>
          </w:p>
        </w:tc>
        <w:tc>
          <w:tcPr>
            <w:tcW w:type="dxa" w:w="2232"/>
            <w:vAlign w:val="center"/>
            <w:tcMar>
              <w:top w:w="90" w:type="dxa"/>
              <w:start w:w="100" w:type="dxa"/>
              <w:bottom w:w="90" w:type="dxa"/>
              <w:end w:w="100" w:type="dxa"/>
            </w:tcMar>
          </w:tcPr>
          <w:p>
            <w:pPr>
              <w:spacing w:after="20" w:line="245" w:lineRule="auto"/>
            </w:pPr>
            <w:r>
              <w:rPr>
                <w:color w:val="1F2933"/>
                <w:sz w:val="15"/>
              </w:rPr>
              <w:t>Recommendation gather</w:t>
            </w:r>
          </w:p>
        </w:tc>
        <w:tc>
          <w:tcPr>
            <w:tcW w:type="dxa" w:w="4464"/>
            <w:vAlign w:val="center"/>
            <w:tcMar>
              <w:top w:w="90" w:type="dxa"/>
              <w:start w:w="100" w:type="dxa"/>
              <w:bottom w:w="90" w:type="dxa"/>
              <w:end w:w="100" w:type="dxa"/>
            </w:tcMar>
          </w:tcPr>
          <w:p>
            <w:pPr>
              <w:spacing w:after="20" w:line="245" w:lineRule="auto"/>
            </w:pPr>
            <w:r>
              <w:rPr>
                <w:color w:val="1F2933"/>
                <w:sz w:val="15"/>
              </w:rPr>
              <w:t>HBF holds hot embedding tables; execute gather/pool/light rank</w:t>
            </w:r>
          </w:p>
        </w:tc>
        <w:tc>
          <w:tcPr>
            <w:tcW w:type="dxa" w:w="3312"/>
            <w:vAlign w:val="center"/>
            <w:tcMar>
              <w:top w:w="90" w:type="dxa"/>
              <w:start w:w="100" w:type="dxa"/>
              <w:bottom w:w="90" w:type="dxa"/>
              <w:end w:w="100" w:type="dxa"/>
            </w:tcMar>
          </w:tcPr>
          <w:p>
            <w:pPr>
              <w:spacing w:after="20" w:line="245" w:lineRule="auto"/>
            </w:pPr>
            <w:r>
              <w:rPr>
                <w:color w:val="1F2933"/>
                <w:sz w:val="15"/>
              </w:rPr>
              <w:t>Competitive p99 and QPS/W under skew and update load</w:t>
            </w:r>
          </w:p>
        </w:tc>
      </w:tr>
      <w:tr>
        <w:trPr>
          <w:cantSplit/>
        </w:trPr>
        <w:tc>
          <w:tcPr>
            <w:tcW w:type="dxa" w:w="864"/>
            <w:vAlign w:val="center"/>
            <w:tcMar>
              <w:top w:w="90" w:type="dxa"/>
              <w:start w:w="100" w:type="dxa"/>
              <w:bottom w:w="90" w:type="dxa"/>
              <w:end w:w="100" w:type="dxa"/>
            </w:tcMar>
            <w:shd w:fill="F4F7F9"/>
          </w:tcPr>
          <w:p>
            <w:pPr>
              <w:spacing w:after="20" w:line="245" w:lineRule="auto"/>
            </w:pPr>
            <w:r>
              <w:rPr>
                <w:color w:val="1F2933"/>
                <w:sz w:val="15"/>
              </w:rPr>
              <w:t>POC 7</w:t>
            </w:r>
          </w:p>
        </w:tc>
        <w:tc>
          <w:tcPr>
            <w:tcW w:type="dxa" w:w="2232"/>
            <w:vAlign w:val="center"/>
            <w:tcMar>
              <w:top w:w="90" w:type="dxa"/>
              <w:start w:w="100" w:type="dxa"/>
              <w:bottom w:w="90" w:type="dxa"/>
              <w:end w:w="100" w:type="dxa"/>
            </w:tcMar>
            <w:shd w:fill="F4F7F9"/>
          </w:tcPr>
          <w:p>
            <w:pPr>
              <w:spacing w:after="20" w:line="245" w:lineRule="auto"/>
            </w:pPr>
            <w:r>
              <w:rPr>
                <w:color w:val="1F2933"/>
                <w:sz w:val="15"/>
              </w:rPr>
              <w:t>Operational qualification</w:t>
            </w:r>
          </w:p>
        </w:tc>
        <w:tc>
          <w:tcPr>
            <w:tcW w:type="dxa" w:w="4464"/>
            <w:vAlign w:val="center"/>
            <w:tcMar>
              <w:top w:w="90" w:type="dxa"/>
              <w:start w:w="100" w:type="dxa"/>
              <w:bottom w:w="90" w:type="dxa"/>
              <w:end w:w="100" w:type="dxa"/>
            </w:tcMar>
            <w:shd w:fill="F4F7F9"/>
          </w:tcPr>
          <w:p>
            <w:pPr>
              <w:spacing w:after="20" w:line="245" w:lineRule="auto"/>
            </w:pPr>
            <w:r>
              <w:rPr>
                <w:color w:val="1F2933"/>
                <w:sz w:val="15"/>
              </w:rPr>
              <w:t>Reset, firmware update, thermal soak, hot/planned service and data recovery</w:t>
            </w:r>
          </w:p>
        </w:tc>
        <w:tc>
          <w:tcPr>
            <w:tcW w:type="dxa" w:w="3312"/>
            <w:vAlign w:val="center"/>
            <w:tcMar>
              <w:top w:w="90" w:type="dxa"/>
              <w:start w:w="100" w:type="dxa"/>
              <w:bottom w:w="90" w:type="dxa"/>
              <w:end w:w="100" w:type="dxa"/>
            </w:tcMar>
            <w:shd w:fill="F4F7F9"/>
          </w:tcPr>
          <w:p>
            <w:pPr>
              <w:spacing w:after="20" w:line="245" w:lineRule="auto"/>
            </w:pPr>
            <w:r>
              <w:rPr>
                <w:color w:val="1F2933"/>
                <w:sz w:val="15"/>
              </w:rPr>
              <w:t>Production-grade telemetry, recovery and no sustained throttling</w:t>
            </w:r>
          </w:p>
        </w:tc>
      </w:tr>
    </w:tbl>
    <w:p>
      <w:pPr>
        <w:spacing w:after="20"/>
      </w:pPr>
    </w:p>
    <w:p>
      <w:pPr>
        <w:pStyle w:val="Heading1"/>
      </w:pPr>
      <w:r>
        <w:t>7.1 POC 1 detailed test matrix</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Variable</w:t>
            </w:r>
          </w:p>
        </w:tc>
        <w:tc>
          <w:tcPr>
            <w:tcW w:type="dxa" w:w="5083"/>
            <w:shd w:fill="13263D"/>
            <w:vAlign w:val="center"/>
            <w:tcMar>
              <w:top w:w="90" w:type="dxa"/>
              <w:start w:w="100" w:type="dxa"/>
              <w:bottom w:w="90" w:type="dxa"/>
              <w:end w:w="100" w:type="dxa"/>
            </w:tcMar>
          </w:tcPr>
          <w:p>
            <w:r>
              <w:rPr>
                <w:b/>
                <w:color w:val="FFFFFF"/>
                <w:sz w:val="16"/>
              </w:rPr>
              <w:t>Test points</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Dataset</w:t>
            </w:r>
          </w:p>
        </w:tc>
        <w:tc>
          <w:tcPr>
            <w:tcW w:type="dxa" w:w="8136"/>
            <w:vAlign w:val="center"/>
            <w:tcMar>
              <w:top w:w="90" w:type="dxa"/>
              <w:start w:w="100" w:type="dxa"/>
              <w:bottom w:w="90" w:type="dxa"/>
              <w:end w:w="100" w:type="dxa"/>
            </w:tcMar>
          </w:tcPr>
          <w:p>
            <w:pPr>
              <w:spacing w:after="20" w:line="245" w:lineRule="auto"/>
            </w:pPr>
            <w:r>
              <w:rPr>
                <w:color w:val="1F2933"/>
                <w:sz w:val="16"/>
              </w:rPr>
              <w:t>10M, 25M and capacity-bound shard</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Vector layout</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INT8, FP16; 768 and 1,024 dimensions</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Candidate count</w:t>
            </w:r>
          </w:p>
        </w:tc>
        <w:tc>
          <w:tcPr>
            <w:tcW w:type="dxa" w:w="8136"/>
            <w:vAlign w:val="center"/>
            <w:tcMar>
              <w:top w:w="90" w:type="dxa"/>
              <w:start w:w="100" w:type="dxa"/>
              <w:bottom w:w="90" w:type="dxa"/>
              <w:end w:w="100" w:type="dxa"/>
            </w:tcMar>
          </w:tcPr>
          <w:p>
            <w:pPr>
              <w:spacing w:after="20" w:line="245" w:lineRule="auto"/>
            </w:pPr>
            <w:r>
              <w:rPr>
                <w:color w:val="1F2933"/>
                <w:sz w:val="16"/>
              </w:rPr>
              <w:t>1K, 5K, 10K and 50K</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Access pattern</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Contiguous segment, batched random gather, filter-pruned gather</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Quality</w:t>
            </w:r>
          </w:p>
        </w:tc>
        <w:tc>
          <w:tcPr>
            <w:tcW w:type="dxa" w:w="8136"/>
            <w:vAlign w:val="center"/>
            <w:tcMar>
              <w:top w:w="90" w:type="dxa"/>
              <w:start w:w="100" w:type="dxa"/>
              <w:bottom w:w="90" w:type="dxa"/>
              <w:end w:w="100" w:type="dxa"/>
            </w:tcMar>
          </w:tcPr>
          <w:p>
            <w:pPr>
              <w:spacing w:after="20" w:line="245" w:lineRule="auto"/>
            </w:pPr>
            <w:r>
              <w:rPr>
                <w:color w:val="1F2933"/>
                <w:sz w:val="16"/>
              </w:rPr>
              <w:t>Recall@10/100, NDCG@10, MRR, context precision</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Latency</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p50/p95/p99 including host dispatch and merge</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Throughput</w:t>
            </w:r>
          </w:p>
        </w:tc>
        <w:tc>
          <w:tcPr>
            <w:tcW w:type="dxa" w:w="8136"/>
            <w:vAlign w:val="center"/>
            <w:tcMar>
              <w:top w:w="90" w:type="dxa"/>
              <w:start w:w="100" w:type="dxa"/>
              <w:bottom w:w="90" w:type="dxa"/>
              <w:end w:w="100" w:type="dxa"/>
            </w:tcMar>
          </w:tcPr>
          <w:p>
            <w:pPr>
              <w:spacing w:after="20" w:line="245" w:lineRule="auto"/>
            </w:pPr>
            <w:r>
              <w:rPr>
                <w:color w:val="1F2933"/>
                <w:sz w:val="16"/>
              </w:rPr>
              <w:t>QPS at concurrency 1, 8, 32, 128 and saturation</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Efficiency</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Queries/W, useful GB/s, CPU usage and PCIe bytes/query</w:t>
            </w:r>
          </w:p>
        </w:tc>
      </w:tr>
      <w:tr>
        <w:trPr>
          <w:cantSplit/>
        </w:trPr>
        <w:tc>
          <w:tcPr>
            <w:tcW w:type="dxa" w:w="2088"/>
            <w:vAlign w:val="center"/>
            <w:tcMar>
              <w:top w:w="90" w:type="dxa"/>
              <w:start w:w="100" w:type="dxa"/>
              <w:bottom w:w="90" w:type="dxa"/>
              <w:end w:w="100" w:type="dxa"/>
            </w:tcMar>
          </w:tcPr>
          <w:p>
            <w:pPr>
              <w:spacing w:after="20" w:line="245" w:lineRule="auto"/>
            </w:pPr>
            <w:r>
              <w:rPr>
                <w:color w:val="1F2933"/>
                <w:sz w:val="16"/>
              </w:rPr>
              <w:t>Controls</w:t>
            </w:r>
          </w:p>
        </w:tc>
        <w:tc>
          <w:tcPr>
            <w:tcW w:type="dxa" w:w="8136"/>
            <w:vAlign w:val="center"/>
            <w:tcMar>
              <w:top w:w="90" w:type="dxa"/>
              <w:start w:w="100" w:type="dxa"/>
              <w:bottom w:w="90" w:type="dxa"/>
              <w:end w:w="100" w:type="dxa"/>
            </w:tcMar>
          </w:tcPr>
          <w:p>
            <w:pPr>
              <w:spacing w:after="20" w:line="245" w:lineRule="auto"/>
            </w:pPr>
            <w:r>
              <w:rPr>
                <w:color w:val="1F2933"/>
                <w:sz w:val="16"/>
              </w:rPr>
              <w:t>Milvus CPU/DRAM; NVMe-backed; GPU index/refinement; optional CXL memory tier</w:t>
            </w:r>
          </w:p>
        </w:tc>
      </w:tr>
      <w:tr>
        <w:trPr>
          <w:cantSplit/>
        </w:trPr>
        <w:tc>
          <w:tcPr>
            <w:tcW w:type="dxa" w:w="2088"/>
            <w:vAlign w:val="center"/>
            <w:tcMar>
              <w:top w:w="90" w:type="dxa"/>
              <w:start w:w="100" w:type="dxa"/>
              <w:bottom w:w="90" w:type="dxa"/>
              <w:end w:w="100" w:type="dxa"/>
            </w:tcMar>
            <w:shd w:fill="F4F7F9"/>
          </w:tcPr>
          <w:p>
            <w:pPr>
              <w:spacing w:after="20" w:line="245" w:lineRule="auto"/>
            </w:pPr>
            <w:r>
              <w:rPr>
                <w:color w:val="1F2933"/>
                <w:sz w:val="16"/>
              </w:rPr>
              <w:t>Operational</w:t>
            </w:r>
          </w:p>
        </w:tc>
        <w:tc>
          <w:tcPr>
            <w:tcW w:type="dxa" w:w="8136"/>
            <w:vAlign w:val="center"/>
            <w:tcMar>
              <w:top w:w="90" w:type="dxa"/>
              <w:start w:w="100" w:type="dxa"/>
              <w:bottom w:w="90" w:type="dxa"/>
              <w:end w:w="100" w:type="dxa"/>
            </w:tcMar>
            <w:shd w:fill="F4F7F9"/>
          </w:tcPr>
          <w:p>
            <w:pPr>
              <w:spacing w:after="20" w:line="245" w:lineRule="auto"/>
            </w:pPr>
            <w:r>
              <w:rPr>
                <w:color w:val="1F2933"/>
                <w:sz w:val="16"/>
              </w:rPr>
              <w:t>Cold boot, warm restart, shard replacement and rebuild</w:t>
            </w:r>
          </w:p>
        </w:tc>
      </w:tr>
    </w:tbl>
    <w:p>
      <w:pPr>
        <w:spacing w:after="20"/>
      </w:pPr>
    </w:p>
    <w:p>
      <w:pPr>
        <w:pStyle w:val="Heading1"/>
      </w:pPr>
      <w:r>
        <w:t>7.2 POC 2 detailed correctness and quality</w:t>
      </w:r>
    </w:p>
    <w:p>
      <w:pPr>
        <w:pStyle w:val="ListBullet"/>
      </w:pPr>
      <w:r>
        <w:t>Use an industry-domain evaluation set with judged query-document relevance, not only generic ANN datasets.</w:t>
      </w:r>
    </w:p>
    <w:p>
      <w:pPr>
        <w:pStyle w:val="ListBullet"/>
      </w:pPr>
      <w:r>
        <w:t>Compare one-vector dense retrieval, compressed ANN plus exact refinement, and multi-vector late interaction.</w:t>
      </w:r>
    </w:p>
    <w:p>
      <w:pPr>
        <w:pStyle w:val="ListBullet"/>
      </w:pPr>
      <w:r>
        <w:t>Hold the final LLM and prompt constant to isolate retrieval impact.</w:t>
      </w:r>
    </w:p>
    <w:p>
      <w:pPr>
        <w:pStyle w:val="ListBullet"/>
      </w:pPr>
      <w:r>
        <w:t>Measure context precision, grounded-answer rate and prompt-token reduction in addition to retrieval metrics.</w:t>
      </w:r>
    </w:p>
    <w:p>
      <w:pPr>
        <w:pStyle w:val="ListBullet"/>
      </w:pPr>
      <w:r>
        <w:t>Report the incremental latency and power cost of each quality stage.</w:t>
      </w:r>
    </w:p>
    <w:p>
      <w:pPr>
        <w:pStyle w:val="ListBullet"/>
      </w:pPr>
      <w:r>
        <w:t>Document unsupported operators, CPU fallbacks and graph breaks.</w:t>
      </w:r>
    </w:p>
    <w:p>
      <w:pPr>
        <w:pStyle w:val="Title"/>
      </w:pPr>
      <w:r>
        <w:t>8. Work Required from Sandisk</w:t>
      </w:r>
    </w:p>
    <w:p>
      <w:pPr>
        <w:pStyle w:val="Heading1"/>
      </w:pPr>
      <w:r>
        <w:t>8.1 Hardware and HBF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5"/>
              </w:rPr>
              <w:t>Work item</w:t>
            </w:r>
          </w:p>
        </w:tc>
        <w:tc>
          <w:tcPr>
            <w:tcW w:type="dxa" w:w="3389"/>
            <w:shd w:fill="13263D"/>
            <w:vAlign w:val="center"/>
            <w:tcMar>
              <w:top w:w="90" w:type="dxa"/>
              <w:start w:w="100" w:type="dxa"/>
              <w:bottom w:w="90" w:type="dxa"/>
              <w:end w:w="100" w:type="dxa"/>
            </w:tcMar>
          </w:tcPr>
          <w:p>
            <w:r>
              <w:rPr>
                <w:b/>
                <w:color w:val="FFFFFF"/>
                <w:sz w:val="15"/>
              </w:rPr>
              <w:t>Deliverable</w:t>
            </w:r>
          </w:p>
        </w:tc>
        <w:tc>
          <w:tcPr>
            <w:tcW w:type="dxa" w:w="3389"/>
            <w:shd w:fill="13263D"/>
            <w:vAlign w:val="center"/>
            <w:tcMar>
              <w:top w:w="90" w:type="dxa"/>
              <w:start w:w="100" w:type="dxa"/>
              <w:bottom w:w="90" w:type="dxa"/>
              <w:end w:w="100" w:type="dxa"/>
            </w:tcMar>
          </w:tcPr>
          <w:p>
            <w:r>
              <w:rPr>
                <w:b/>
                <w:color w:val="FFFFFF"/>
                <w:sz w:val="15"/>
              </w:rPr>
              <w:t>Gate</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HBF characterization</w:t>
            </w:r>
          </w:p>
        </w:tc>
        <w:tc>
          <w:tcPr>
            <w:tcW w:type="dxa" w:w="5616"/>
            <w:vAlign w:val="center"/>
            <w:tcMar>
              <w:top w:w="90" w:type="dxa"/>
              <w:start w:w="100" w:type="dxa"/>
              <w:bottom w:w="90" w:type="dxa"/>
              <w:end w:w="100" w:type="dxa"/>
            </w:tcMar>
          </w:tcPr>
          <w:p>
            <w:pPr>
              <w:spacing w:after="20" w:line="245" w:lineRule="auto"/>
            </w:pPr>
            <w:r>
              <w:rPr>
                <w:color w:val="1F2933"/>
                <w:sz w:val="15"/>
              </w:rPr>
              <w:t>Bandwidth/latency distributions by access size, queue depth and random/sequential pattern</w:t>
            </w:r>
          </w:p>
        </w:tc>
        <w:tc>
          <w:tcPr>
            <w:tcW w:type="dxa" w:w="2304"/>
            <w:vAlign w:val="center"/>
            <w:tcMar>
              <w:top w:w="90" w:type="dxa"/>
              <w:start w:w="100" w:type="dxa"/>
              <w:bottom w:w="90" w:type="dxa"/>
              <w:end w:w="100" w:type="dxa"/>
            </w:tcMar>
          </w:tcPr>
          <w:p>
            <w:pPr>
              <w:spacing w:after="20" w:line="245" w:lineRule="auto"/>
            </w:pPr>
            <w:r>
              <w:rPr>
                <w:color w:val="1F2933"/>
                <w:sz w:val="15"/>
              </w:rPr>
              <w:t>Representative useful goodput reaches workload target</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Memory controller</w:t>
            </w:r>
          </w:p>
        </w:tc>
        <w:tc>
          <w:tcPr>
            <w:tcW w:type="dxa" w:w="5616"/>
            <w:vAlign w:val="center"/>
            <w:tcMar>
              <w:top w:w="90" w:type="dxa"/>
              <w:start w:w="100" w:type="dxa"/>
              <w:bottom w:w="90" w:type="dxa"/>
              <w:end w:w="100" w:type="dxa"/>
            </w:tcMar>
            <w:shd w:fill="F4F7F9"/>
          </w:tcPr>
          <w:p>
            <w:pPr>
              <w:spacing w:after="20" w:line="245" w:lineRule="auto"/>
            </w:pPr>
            <w:r>
              <w:rPr>
                <w:color w:val="1F2933"/>
                <w:sz w:val="15"/>
              </w:rPr>
              <w:t>Gather support, high outstanding requests, ECC, bad-block management and QoS</w:t>
            </w:r>
          </w:p>
        </w:tc>
        <w:tc>
          <w:tcPr>
            <w:tcW w:type="dxa" w:w="2304"/>
            <w:vAlign w:val="center"/>
            <w:tcMar>
              <w:top w:w="90" w:type="dxa"/>
              <w:start w:w="100" w:type="dxa"/>
              <w:bottom w:w="90" w:type="dxa"/>
              <w:end w:w="100" w:type="dxa"/>
            </w:tcMar>
            <w:shd w:fill="F4F7F9"/>
          </w:tcPr>
          <w:p>
            <w:pPr>
              <w:spacing w:after="20" w:line="245" w:lineRule="auto"/>
            </w:pPr>
            <w:r>
              <w:rPr>
                <w:color w:val="1F2933"/>
                <w:sz w:val="15"/>
              </w:rPr>
              <w:t>No bottleneck on candidate-access trace</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Endurance model</w:t>
            </w:r>
          </w:p>
        </w:tc>
        <w:tc>
          <w:tcPr>
            <w:tcW w:type="dxa" w:w="5616"/>
            <w:vAlign w:val="center"/>
            <w:tcMar>
              <w:top w:w="90" w:type="dxa"/>
              <w:start w:w="100" w:type="dxa"/>
              <w:bottom w:w="90" w:type="dxa"/>
              <w:end w:w="100" w:type="dxa"/>
            </w:tcMar>
          </w:tcPr>
          <w:p>
            <w:pPr>
              <w:spacing w:after="20" w:line="245" w:lineRule="auto"/>
            </w:pPr>
            <w:r>
              <w:rPr>
                <w:color w:val="1F2933"/>
                <w:sz w:val="15"/>
              </w:rPr>
              <w:t>Read/write amplification, update policy and retention</w:t>
            </w:r>
          </w:p>
        </w:tc>
        <w:tc>
          <w:tcPr>
            <w:tcW w:type="dxa" w:w="2304"/>
            <w:vAlign w:val="center"/>
            <w:tcMar>
              <w:top w:w="90" w:type="dxa"/>
              <w:start w:w="100" w:type="dxa"/>
              <w:bottom w:w="90" w:type="dxa"/>
              <w:end w:w="100" w:type="dxa"/>
            </w:tcMar>
          </w:tcPr>
          <w:p>
            <w:pPr>
              <w:spacing w:after="20" w:line="245" w:lineRule="auto"/>
            </w:pPr>
            <w:r>
              <w:rPr>
                <w:color w:val="1F2933"/>
                <w:sz w:val="15"/>
              </w:rPr>
              <w:t>Search index refresh is economically safe</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LPDDR/SRAM budget</w:t>
            </w:r>
          </w:p>
        </w:tc>
        <w:tc>
          <w:tcPr>
            <w:tcW w:type="dxa" w:w="5616"/>
            <w:vAlign w:val="center"/>
            <w:tcMar>
              <w:top w:w="90" w:type="dxa"/>
              <w:start w:w="100" w:type="dxa"/>
              <w:bottom w:w="90" w:type="dxa"/>
              <w:end w:w="100" w:type="dxa"/>
            </w:tcMar>
            <w:shd w:fill="F4F7F9"/>
          </w:tcPr>
          <w:p>
            <w:pPr>
              <w:spacing w:after="20" w:line="245" w:lineRule="auto"/>
            </w:pPr>
            <w:r>
              <w:rPr>
                <w:color w:val="1F2933"/>
                <w:sz w:val="15"/>
              </w:rPr>
              <w:t>Capacity, bandwidth and contention analysis</w:t>
            </w:r>
          </w:p>
        </w:tc>
        <w:tc>
          <w:tcPr>
            <w:tcW w:type="dxa" w:w="2304"/>
            <w:vAlign w:val="center"/>
            <w:tcMar>
              <w:top w:w="90" w:type="dxa"/>
              <w:start w:w="100" w:type="dxa"/>
              <w:bottom w:w="90" w:type="dxa"/>
              <w:end w:w="100" w:type="dxa"/>
            </w:tcMar>
            <w:shd w:fill="F4F7F9"/>
          </w:tcPr>
          <w:p>
            <w:pPr>
              <w:spacing w:after="20" w:line="245" w:lineRule="auto"/>
            </w:pPr>
            <w:r>
              <w:rPr>
                <w:color w:val="1F2933"/>
                <w:sz w:val="15"/>
              </w:rPr>
              <w:t>Activations, buffers and queues fit with reserve</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Thermal/power vehicle</w:t>
            </w:r>
          </w:p>
        </w:tc>
        <w:tc>
          <w:tcPr>
            <w:tcW w:type="dxa" w:w="5616"/>
            <w:vAlign w:val="center"/>
            <w:tcMar>
              <w:top w:w="90" w:type="dxa"/>
              <w:start w:w="100" w:type="dxa"/>
              <w:bottom w:w="90" w:type="dxa"/>
              <w:end w:w="100" w:type="dxa"/>
            </w:tcMar>
          </w:tcPr>
          <w:p>
            <w:pPr>
              <w:spacing w:after="20" w:line="245" w:lineRule="auto"/>
            </w:pPr>
            <w:r>
              <w:rPr>
                <w:color w:val="1F2933"/>
                <w:sz w:val="15"/>
              </w:rPr>
              <w:t>E3.S and 2T airflow, sustained read + NPU load, ambient corners</w:t>
            </w:r>
          </w:p>
        </w:tc>
        <w:tc>
          <w:tcPr>
            <w:tcW w:type="dxa" w:w="2304"/>
            <w:vAlign w:val="center"/>
            <w:tcMar>
              <w:top w:w="90" w:type="dxa"/>
              <w:start w:w="100" w:type="dxa"/>
              <w:bottom w:w="90" w:type="dxa"/>
              <w:end w:w="100" w:type="dxa"/>
            </w:tcMar>
          </w:tcPr>
          <w:p>
            <w:pPr>
              <w:spacing w:after="20" w:line="245" w:lineRule="auto"/>
            </w:pPr>
            <w:r>
              <w:rPr>
                <w:color w:val="1F2933"/>
                <w:sz w:val="15"/>
              </w:rPr>
              <w:t>No sustained throttling in qualified server</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PCIe design</w:t>
            </w:r>
          </w:p>
        </w:tc>
        <w:tc>
          <w:tcPr>
            <w:tcW w:type="dxa" w:w="5616"/>
            <w:vAlign w:val="center"/>
            <w:tcMar>
              <w:top w:w="90" w:type="dxa"/>
              <w:start w:w="100" w:type="dxa"/>
              <w:bottom w:w="90" w:type="dxa"/>
              <w:end w:w="100" w:type="dxa"/>
            </w:tcMar>
            <w:shd w:fill="F4F7F9"/>
          </w:tcPr>
          <w:p>
            <w:pPr>
              <w:spacing w:after="20" w:line="245" w:lineRule="auto"/>
            </w:pPr>
            <w:r>
              <w:rPr>
                <w:color w:val="1F2933"/>
                <w:sz w:val="15"/>
              </w:rPr>
              <w:t>x4/x8 trade, DMA, ATS/PASID, SR-IOV/P2P options</w:t>
            </w:r>
          </w:p>
        </w:tc>
        <w:tc>
          <w:tcPr>
            <w:tcW w:type="dxa" w:w="2304"/>
            <w:vAlign w:val="center"/>
            <w:tcMar>
              <w:top w:w="90" w:type="dxa"/>
              <w:start w:w="100" w:type="dxa"/>
              <w:bottom w:w="90" w:type="dxa"/>
              <w:end w:w="100" w:type="dxa"/>
            </w:tcMar>
            <w:shd w:fill="F4F7F9"/>
          </w:tcPr>
          <w:p>
            <w:pPr>
              <w:spacing w:after="20" w:line="245" w:lineRule="auto"/>
            </w:pPr>
            <w:r>
              <w:rPr>
                <w:color w:val="1F2933"/>
                <w:sz w:val="15"/>
              </w:rPr>
              <w:t>Host overhead and ingress/egress within SLO</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RAS/security</w:t>
            </w:r>
          </w:p>
        </w:tc>
        <w:tc>
          <w:tcPr>
            <w:tcW w:type="dxa" w:w="5616"/>
            <w:vAlign w:val="center"/>
            <w:tcMar>
              <w:top w:w="90" w:type="dxa"/>
              <w:start w:w="100" w:type="dxa"/>
              <w:bottom w:w="90" w:type="dxa"/>
              <w:end w:w="100" w:type="dxa"/>
            </w:tcMar>
          </w:tcPr>
          <w:p>
            <w:pPr>
              <w:spacing w:after="20" w:line="245" w:lineRule="auto"/>
            </w:pPr>
            <w:r>
              <w:rPr>
                <w:color w:val="1F2933"/>
                <w:sz w:val="15"/>
              </w:rPr>
              <w:t>Secure boot, signed firmware, telemetry, reset, sanitization</w:t>
            </w:r>
          </w:p>
        </w:tc>
        <w:tc>
          <w:tcPr>
            <w:tcW w:type="dxa" w:w="2304"/>
            <w:vAlign w:val="center"/>
            <w:tcMar>
              <w:top w:w="90" w:type="dxa"/>
              <w:start w:w="100" w:type="dxa"/>
              <w:bottom w:w="90" w:type="dxa"/>
              <w:end w:w="100" w:type="dxa"/>
            </w:tcMar>
          </w:tcPr>
          <w:p>
            <w:pPr>
              <w:spacing w:after="20" w:line="245" w:lineRule="auto"/>
            </w:pPr>
            <w:r>
              <w:rPr>
                <w:color w:val="1F2933"/>
                <w:sz w:val="15"/>
              </w:rPr>
              <w:t>Enterprise/hyperscaler baseline met</w:t>
            </w:r>
          </w:p>
        </w:tc>
      </w:tr>
    </w:tbl>
    <w:p>
      <w:pPr>
        <w:spacing w:after="20"/>
      </w:pPr>
    </w:p>
    <w:p>
      <w:pPr>
        <w:pStyle w:val="Heading1"/>
      </w:pPr>
      <w:r>
        <w:t>8.2 OEM NPU selection and contract requirements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Capability</w:t>
            </w:r>
          </w:p>
        </w:tc>
        <w:tc>
          <w:tcPr>
            <w:tcW w:type="dxa" w:w="5083"/>
            <w:shd w:fill="13263D"/>
            <w:vAlign w:val="center"/>
            <w:tcMar>
              <w:top w:w="90" w:type="dxa"/>
              <w:start w:w="100" w:type="dxa"/>
              <w:bottom w:w="90" w:type="dxa"/>
              <w:end w:w="100" w:type="dxa"/>
            </w:tcMar>
          </w:tcPr>
          <w:p>
            <w:r>
              <w:rPr>
                <w:b/>
                <w:color w:val="FFFFFF"/>
                <w:sz w:val="16"/>
              </w:rPr>
              <w:t>Minimum requirement</w:t>
            </w:r>
          </w:p>
        </w:tc>
      </w:tr>
      <w:tr>
        <w:trPr>
          <w:cantSplit/>
        </w:trPr>
        <w:tc>
          <w:tcPr>
            <w:tcW w:type="dxa" w:w="2592"/>
            <w:vAlign w:val="center"/>
            <w:tcMar>
              <w:top w:w="90" w:type="dxa"/>
              <w:start w:w="100" w:type="dxa"/>
              <w:bottom w:w="90" w:type="dxa"/>
              <w:end w:w="100" w:type="dxa"/>
            </w:tcMar>
          </w:tcPr>
          <w:p>
            <w:pPr>
              <w:spacing w:after="20" w:line="245" w:lineRule="auto"/>
            </w:pPr>
            <w:r>
              <w:rPr>
                <w:color w:val="1F2933"/>
                <w:sz w:val="16"/>
              </w:rPr>
              <w:t>Dense math</w:t>
            </w:r>
          </w:p>
        </w:tc>
        <w:tc>
          <w:tcPr>
            <w:tcW w:type="dxa" w:w="7632"/>
            <w:vAlign w:val="center"/>
            <w:tcMar>
              <w:top w:w="90" w:type="dxa"/>
              <w:start w:w="100" w:type="dxa"/>
              <w:bottom w:w="90" w:type="dxa"/>
              <w:end w:w="100" w:type="dxa"/>
            </w:tcMar>
          </w:tcPr>
          <w:p>
            <w:pPr>
              <w:spacing w:after="20" w:line="245" w:lineRule="auto"/>
            </w:pPr>
            <w:r>
              <w:rPr>
                <w:color w:val="1F2933"/>
                <w:sz w:val="16"/>
              </w:rPr>
              <w:t>INT8/FP16/BF16 dot products, normalization and matrix/vector operations</w:t>
            </w:r>
          </w:p>
        </w:tc>
      </w:tr>
      <w:tr>
        <w:trPr>
          <w:cantSplit/>
        </w:trPr>
        <w:tc>
          <w:tcPr>
            <w:tcW w:type="dxa" w:w="2592"/>
            <w:vAlign w:val="center"/>
            <w:tcMar>
              <w:top w:w="90" w:type="dxa"/>
              <w:start w:w="100" w:type="dxa"/>
              <w:bottom w:w="90" w:type="dxa"/>
              <w:end w:w="100" w:type="dxa"/>
            </w:tcMar>
            <w:shd w:fill="F4F7F9"/>
          </w:tcPr>
          <w:p>
            <w:pPr>
              <w:spacing w:after="20" w:line="245" w:lineRule="auto"/>
            </w:pPr>
            <w:r>
              <w:rPr>
                <w:color w:val="1F2933"/>
                <w:sz w:val="16"/>
              </w:rPr>
              <w:t>Search primitives</w:t>
            </w:r>
          </w:p>
        </w:tc>
        <w:tc>
          <w:tcPr>
            <w:tcW w:type="dxa" w:w="7632"/>
            <w:vAlign w:val="center"/>
            <w:tcMar>
              <w:top w:w="90" w:type="dxa"/>
              <w:start w:w="100" w:type="dxa"/>
              <w:bottom w:w="90" w:type="dxa"/>
              <w:end w:w="100" w:type="dxa"/>
            </w:tcMar>
            <w:shd w:fill="F4F7F9"/>
          </w:tcPr>
          <w:p>
            <w:pPr>
              <w:spacing w:after="20" w:line="245" w:lineRule="auto"/>
            </w:pPr>
            <w:r>
              <w:rPr>
                <w:color w:val="1F2933"/>
                <w:sz w:val="16"/>
              </w:rPr>
              <w:t>Gather, masked scoring, top-k, max-sim, reduction and optional decompression</w:t>
            </w:r>
          </w:p>
        </w:tc>
      </w:tr>
      <w:tr>
        <w:trPr>
          <w:cantSplit/>
        </w:trPr>
        <w:tc>
          <w:tcPr>
            <w:tcW w:type="dxa" w:w="2592"/>
            <w:vAlign w:val="center"/>
            <w:tcMar>
              <w:top w:w="90" w:type="dxa"/>
              <w:start w:w="100" w:type="dxa"/>
              <w:bottom w:w="90" w:type="dxa"/>
              <w:end w:w="100" w:type="dxa"/>
            </w:tcMar>
          </w:tcPr>
          <w:p>
            <w:pPr>
              <w:spacing w:after="20" w:line="245" w:lineRule="auto"/>
            </w:pPr>
            <w:r>
              <w:rPr>
                <w:color w:val="1F2933"/>
                <w:sz w:val="16"/>
              </w:rPr>
              <w:t>Execution</w:t>
            </w:r>
          </w:p>
        </w:tc>
        <w:tc>
          <w:tcPr>
            <w:tcW w:type="dxa" w:w="7632"/>
            <w:vAlign w:val="center"/>
            <w:tcMar>
              <w:top w:w="90" w:type="dxa"/>
              <w:start w:w="100" w:type="dxa"/>
              <w:bottom w:w="90" w:type="dxa"/>
              <w:end w:w="100" w:type="dxa"/>
            </w:tcMar>
          </w:tcPr>
          <w:p>
            <w:pPr>
              <w:spacing w:after="20" w:line="245" w:lineRule="auto"/>
            </w:pPr>
            <w:r>
              <w:rPr>
                <w:color w:val="1F2933"/>
                <w:sz w:val="16"/>
              </w:rPr>
              <w:t>Multiple queues, bounded completion latency and concurrent DMA/compute</w:t>
            </w:r>
          </w:p>
        </w:tc>
      </w:tr>
      <w:tr>
        <w:trPr>
          <w:cantSplit/>
        </w:trPr>
        <w:tc>
          <w:tcPr>
            <w:tcW w:type="dxa" w:w="2592"/>
            <w:vAlign w:val="center"/>
            <w:tcMar>
              <w:top w:w="90" w:type="dxa"/>
              <w:start w:w="100" w:type="dxa"/>
              <w:bottom w:w="90" w:type="dxa"/>
              <w:end w:w="100" w:type="dxa"/>
            </w:tcMar>
            <w:shd w:fill="F4F7F9"/>
          </w:tcPr>
          <w:p>
            <w:pPr>
              <w:spacing w:after="20" w:line="245" w:lineRule="auto"/>
            </w:pPr>
            <w:r>
              <w:rPr>
                <w:color w:val="1F2933"/>
                <w:sz w:val="16"/>
              </w:rPr>
              <w:t>Memory</w:t>
            </w:r>
          </w:p>
        </w:tc>
        <w:tc>
          <w:tcPr>
            <w:tcW w:type="dxa" w:w="7632"/>
            <w:vAlign w:val="center"/>
            <w:tcMar>
              <w:top w:w="90" w:type="dxa"/>
              <w:start w:w="100" w:type="dxa"/>
              <w:bottom w:w="90" w:type="dxa"/>
              <w:end w:w="100" w:type="dxa"/>
            </w:tcMar>
            <w:shd w:fill="F4F7F9"/>
          </w:tcPr>
          <w:p>
            <w:pPr>
              <w:spacing w:after="20" w:line="245" w:lineRule="auto"/>
            </w:pPr>
            <w:r>
              <w:rPr>
                <w:color w:val="1F2933"/>
                <w:sz w:val="16"/>
              </w:rPr>
              <w:t>Direct HBF access or efficient staging without host round trips</w:t>
            </w:r>
          </w:p>
        </w:tc>
      </w:tr>
      <w:tr>
        <w:trPr>
          <w:cantSplit/>
        </w:trPr>
        <w:tc>
          <w:tcPr>
            <w:tcW w:type="dxa" w:w="2592"/>
            <w:vAlign w:val="center"/>
            <w:tcMar>
              <w:top w:w="90" w:type="dxa"/>
              <w:start w:w="100" w:type="dxa"/>
              <w:bottom w:w="90" w:type="dxa"/>
              <w:end w:w="100" w:type="dxa"/>
            </w:tcMar>
          </w:tcPr>
          <w:p>
            <w:pPr>
              <w:spacing w:after="20" w:line="245" w:lineRule="auto"/>
            </w:pPr>
            <w:r>
              <w:rPr>
                <w:color w:val="1F2933"/>
                <w:sz w:val="16"/>
              </w:rPr>
              <w:t>Compiler</w:t>
            </w:r>
          </w:p>
        </w:tc>
        <w:tc>
          <w:tcPr>
            <w:tcW w:type="dxa" w:w="7632"/>
            <w:vAlign w:val="center"/>
            <w:tcMar>
              <w:top w:w="90" w:type="dxa"/>
              <w:start w:w="100" w:type="dxa"/>
              <w:bottom w:w="90" w:type="dxa"/>
              <w:end w:w="100" w:type="dxa"/>
            </w:tcMar>
          </w:tcPr>
          <w:p>
            <w:pPr>
              <w:spacing w:after="20" w:line="245" w:lineRule="auto"/>
            </w:pPr>
            <w:r>
              <w:rPr>
                <w:color w:val="1F2933"/>
                <w:sz w:val="16"/>
              </w:rPr>
              <w:t>Stable custom-op path and transparent unsupported-op reporting</w:t>
            </w:r>
          </w:p>
        </w:tc>
      </w:tr>
      <w:tr>
        <w:trPr>
          <w:cantSplit/>
        </w:trPr>
        <w:tc>
          <w:tcPr>
            <w:tcW w:type="dxa" w:w="2592"/>
            <w:vAlign w:val="center"/>
            <w:tcMar>
              <w:top w:w="90" w:type="dxa"/>
              <w:start w:w="100" w:type="dxa"/>
              <w:bottom w:w="90" w:type="dxa"/>
              <w:end w:w="100" w:type="dxa"/>
            </w:tcMar>
            <w:shd w:fill="F4F7F9"/>
          </w:tcPr>
          <w:p>
            <w:pPr>
              <w:spacing w:after="20" w:line="245" w:lineRule="auto"/>
            </w:pPr>
            <w:r>
              <w:rPr>
                <w:color w:val="1F2933"/>
                <w:sz w:val="16"/>
              </w:rPr>
              <w:t>Runtime</w:t>
            </w:r>
          </w:p>
        </w:tc>
        <w:tc>
          <w:tcPr>
            <w:tcW w:type="dxa" w:w="7632"/>
            <w:vAlign w:val="center"/>
            <w:tcMar>
              <w:top w:w="90" w:type="dxa"/>
              <w:start w:w="100" w:type="dxa"/>
              <w:bottom w:w="90" w:type="dxa"/>
              <w:end w:w="100" w:type="dxa"/>
            </w:tcMar>
            <w:shd w:fill="F4F7F9"/>
          </w:tcPr>
          <w:p>
            <w:pPr>
              <w:spacing w:after="20" w:line="245" w:lineRule="auto"/>
            </w:pPr>
            <w:r>
              <w:rPr>
                <w:color w:val="1F2933"/>
                <w:sz w:val="16"/>
              </w:rPr>
              <w:t>C/C++ device library and versioned ABI; Sandisk need not create customer APIs</w:t>
            </w:r>
          </w:p>
        </w:tc>
      </w:tr>
      <w:tr>
        <w:trPr>
          <w:cantSplit/>
        </w:trPr>
        <w:tc>
          <w:tcPr>
            <w:tcW w:type="dxa" w:w="2592"/>
            <w:vAlign w:val="center"/>
            <w:tcMar>
              <w:top w:w="90" w:type="dxa"/>
              <w:start w:w="100" w:type="dxa"/>
              <w:bottom w:w="90" w:type="dxa"/>
              <w:end w:w="100" w:type="dxa"/>
            </w:tcMar>
          </w:tcPr>
          <w:p>
            <w:pPr>
              <w:spacing w:after="20" w:line="245" w:lineRule="auto"/>
            </w:pPr>
            <w:r>
              <w:rPr>
                <w:color w:val="1F2933"/>
                <w:sz w:val="16"/>
              </w:rPr>
              <w:t>Roadmap/control</w:t>
            </w:r>
          </w:p>
        </w:tc>
        <w:tc>
          <w:tcPr>
            <w:tcW w:type="dxa" w:w="7632"/>
            <w:vAlign w:val="center"/>
            <w:tcMar>
              <w:top w:w="90" w:type="dxa"/>
              <w:start w:w="100" w:type="dxa"/>
              <w:bottom w:w="90" w:type="dxa"/>
              <w:end w:w="100" w:type="dxa"/>
            </w:tcMar>
          </w:tcPr>
          <w:p>
            <w:pPr>
              <w:spacing w:after="20" w:line="245" w:lineRule="auto"/>
            </w:pPr>
            <w:r>
              <w:rPr>
                <w:color w:val="1F2933"/>
                <w:sz w:val="16"/>
              </w:rPr>
              <w:t>Long-term supply, bug-fix SLA, security response and access to performance counters</w:t>
            </w:r>
          </w:p>
        </w:tc>
      </w:tr>
    </w:tbl>
    <w:p>
      <w:pPr>
        <w:spacing w:after="20"/>
      </w:pPr>
    </w:p>
    <w:p>
      <w:pPr>
        <w:pStyle w:val="Heading1"/>
      </w:pPr>
      <w:r>
        <w:t>8.3 Firmware, driver and runtime</w:t>
      </w:r>
    </w:p>
    <w:p>
      <w:pPr>
        <w:pStyle w:val="ListBullet"/>
      </w:pPr>
      <w:r>
        <w:t>Linux enumeration, IOMMU-safe DMA, memory registration and command/completion queues.</w:t>
      </w:r>
    </w:p>
    <w:p>
      <w:pPr>
        <w:pStyle w:val="ListBullet"/>
      </w:pPr>
      <w:r>
        <w:t>HBF object/segment registration, immutable snapshot activation and atomic version switch.</w:t>
      </w:r>
    </w:p>
    <w:p>
      <w:pPr>
        <w:pStyle w:val="ListBullet"/>
      </w:pPr>
      <w:r>
        <w:t>Queue priorities, admission, timeout, cancellation, backpressure and recovery.</w:t>
      </w:r>
    </w:p>
    <w:p>
      <w:pPr>
        <w:pStyle w:val="ListBullet"/>
      </w:pPr>
      <w:r>
        <w:t>Device reset, watchdog, fault isolation, firmware update/rollback and health telemetry.</w:t>
      </w:r>
    </w:p>
    <w:p>
      <w:pPr>
        <w:pStyle w:val="ListBullet"/>
      </w:pPr>
      <w:r>
        <w:t>Counter set for HBF useful bytes, read amplification, queue stalls, NPU utilization, LPDDR traffic, PCIe traffic, errors and thermal throttling.</w:t>
      </w:r>
    </w:p>
    <w:p>
      <w:pPr>
        <w:pStyle w:val="ListBullet"/>
      </w:pPr>
      <w:r>
        <w:t>A stable low-level SDK for integration partners, avoiding ownership of a customer-facing search or RAG API.</w:t>
      </w:r>
    </w:p>
    <w:p>
      <w:pPr>
        <w:pStyle w:val="Heading1"/>
      </w:pPr>
      <w:r>
        <w:t>8.4 Software and ecosystem integration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5"/>
              </w:rPr>
              <w:t>Partner surface</w:t>
            </w:r>
          </w:p>
        </w:tc>
        <w:tc>
          <w:tcPr>
            <w:tcW w:type="dxa" w:w="3389"/>
            <w:shd w:fill="13263D"/>
            <w:vAlign w:val="center"/>
            <w:tcMar>
              <w:top w:w="90" w:type="dxa"/>
              <w:start w:w="100" w:type="dxa"/>
              <w:bottom w:w="90" w:type="dxa"/>
              <w:end w:w="100" w:type="dxa"/>
            </w:tcMar>
          </w:tcPr>
          <w:p>
            <w:r>
              <w:rPr>
                <w:b/>
                <w:color w:val="FFFFFF"/>
                <w:sz w:val="15"/>
              </w:rPr>
              <w:t>Sandisk provides</w:t>
            </w:r>
          </w:p>
        </w:tc>
        <w:tc>
          <w:tcPr>
            <w:tcW w:type="dxa" w:w="3389"/>
            <w:shd w:fill="13263D"/>
            <w:vAlign w:val="center"/>
            <w:tcMar>
              <w:top w:w="90" w:type="dxa"/>
              <w:start w:w="100" w:type="dxa"/>
              <w:bottom w:w="90" w:type="dxa"/>
              <w:end w:w="100" w:type="dxa"/>
            </w:tcMar>
          </w:tcPr>
          <w:p>
            <w:r>
              <w:rPr>
                <w:b/>
                <w:color w:val="FFFFFF"/>
                <w:sz w:val="15"/>
              </w:rPr>
              <w:t>Partner provides</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5"/>
              </w:rPr>
              <w:t>Milvus / vector database</w:t>
            </w:r>
          </w:p>
        </w:tc>
        <w:tc>
          <w:tcPr>
            <w:tcW w:type="dxa" w:w="3960"/>
            <w:vAlign w:val="center"/>
            <w:tcMar>
              <w:top w:w="90" w:type="dxa"/>
              <w:start w:w="100" w:type="dxa"/>
              <w:bottom w:w="90" w:type="dxa"/>
              <w:end w:w="100" w:type="dxa"/>
            </w:tcMar>
          </w:tcPr>
          <w:p>
            <w:pPr>
              <w:spacing w:after="20" w:line="245" w:lineRule="auto"/>
            </w:pPr>
            <w:r>
              <w:rPr>
                <w:color w:val="1F2933"/>
                <w:sz w:val="15"/>
              </w:rPr>
              <w:t>Device backend SDK, sample Knowhere-style adapter, reference kernels, qualification</w:t>
            </w:r>
          </w:p>
        </w:tc>
        <w:tc>
          <w:tcPr>
            <w:tcW w:type="dxa" w:w="4248"/>
            <w:vAlign w:val="center"/>
            <w:tcMar>
              <w:top w:w="90" w:type="dxa"/>
              <w:start w:w="100" w:type="dxa"/>
              <w:bottom w:w="90" w:type="dxa"/>
              <w:end w:w="100" w:type="dxa"/>
            </w:tcMar>
          </w:tcPr>
          <w:p>
            <w:pPr>
              <w:spacing w:after="20" w:line="245" w:lineRule="auto"/>
            </w:pPr>
            <w:r>
              <w:rPr>
                <w:color w:val="1F2933"/>
                <w:sz w:val="15"/>
              </w:rPr>
              <w:t>Database semantics, control plane, routing, metadata and customer API</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5"/>
              </w:rPr>
              <w:t>Model/runtime partner</w:t>
            </w:r>
          </w:p>
        </w:tc>
        <w:tc>
          <w:tcPr>
            <w:tcW w:type="dxa" w:w="3960"/>
            <w:vAlign w:val="center"/>
            <w:tcMar>
              <w:top w:w="90" w:type="dxa"/>
              <w:start w:w="100" w:type="dxa"/>
              <w:bottom w:w="90" w:type="dxa"/>
              <w:end w:w="100" w:type="dxa"/>
            </w:tcMar>
            <w:shd w:fill="F4F7F9"/>
          </w:tcPr>
          <w:p>
            <w:pPr>
              <w:spacing w:after="20" w:line="245" w:lineRule="auto"/>
            </w:pPr>
            <w:r>
              <w:rPr>
                <w:color w:val="1F2933"/>
                <w:sz w:val="15"/>
              </w:rPr>
              <w:t>Compiler hooks, memory planner constraints and device library</w:t>
            </w:r>
          </w:p>
        </w:tc>
        <w:tc>
          <w:tcPr>
            <w:tcW w:type="dxa" w:w="4248"/>
            <w:vAlign w:val="center"/>
            <w:tcMar>
              <w:top w:w="90" w:type="dxa"/>
              <w:start w:w="100" w:type="dxa"/>
              <w:bottom w:w="90" w:type="dxa"/>
              <w:end w:w="100" w:type="dxa"/>
            </w:tcMar>
            <w:shd w:fill="F4F7F9"/>
          </w:tcPr>
          <w:p>
            <w:pPr>
              <w:spacing w:after="20" w:line="245" w:lineRule="auto"/>
            </w:pPr>
            <w:r>
              <w:rPr>
                <w:color w:val="1F2933"/>
                <w:sz w:val="15"/>
              </w:rPr>
              <w:t>Model import, packaging and serving framework integration</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5"/>
              </w:rPr>
              <w:t>OEM/server</w:t>
            </w:r>
          </w:p>
        </w:tc>
        <w:tc>
          <w:tcPr>
            <w:tcW w:type="dxa" w:w="3960"/>
            <w:vAlign w:val="center"/>
            <w:tcMar>
              <w:top w:w="90" w:type="dxa"/>
              <w:start w:w="100" w:type="dxa"/>
              <w:bottom w:w="90" w:type="dxa"/>
              <w:end w:w="100" w:type="dxa"/>
            </w:tcMar>
          </w:tcPr>
          <w:p>
            <w:pPr>
              <w:spacing w:after="20" w:line="245" w:lineRule="auto"/>
            </w:pPr>
            <w:r>
              <w:rPr>
                <w:color w:val="1F2933"/>
                <w:sz w:val="15"/>
              </w:rPr>
              <w:t>Electrical, thermal, firmware and management specs</w:t>
            </w:r>
          </w:p>
        </w:tc>
        <w:tc>
          <w:tcPr>
            <w:tcW w:type="dxa" w:w="4248"/>
            <w:vAlign w:val="center"/>
            <w:tcMar>
              <w:top w:w="90" w:type="dxa"/>
              <w:start w:w="100" w:type="dxa"/>
              <w:bottom w:w="90" w:type="dxa"/>
              <w:end w:w="100" w:type="dxa"/>
            </w:tcMar>
          </w:tcPr>
          <w:p>
            <w:pPr>
              <w:spacing w:after="20" w:line="245" w:lineRule="auto"/>
            </w:pPr>
            <w:r>
              <w:rPr>
                <w:color w:val="1F2933"/>
                <w:sz w:val="15"/>
              </w:rPr>
              <w:t>Chassis, BIOS/BMC, lane/cooling and service qualification</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5"/>
              </w:rPr>
              <w:t>Hyperscaler</w:t>
            </w:r>
          </w:p>
        </w:tc>
        <w:tc>
          <w:tcPr>
            <w:tcW w:type="dxa" w:w="3960"/>
            <w:vAlign w:val="center"/>
            <w:tcMar>
              <w:top w:w="90" w:type="dxa"/>
              <w:start w:w="100" w:type="dxa"/>
              <w:bottom w:w="90" w:type="dxa"/>
              <w:end w:w="100" w:type="dxa"/>
            </w:tcMar>
            <w:shd w:fill="F4F7F9"/>
          </w:tcPr>
          <w:p>
            <w:pPr>
              <w:spacing w:after="20" w:line="245" w:lineRule="auto"/>
            </w:pPr>
            <w:r>
              <w:rPr>
                <w:color w:val="1F2933"/>
                <w:sz w:val="15"/>
              </w:rPr>
              <w:t>Device traces, counters, low-level primitives and co-design support</w:t>
            </w:r>
          </w:p>
        </w:tc>
        <w:tc>
          <w:tcPr>
            <w:tcW w:type="dxa" w:w="4248"/>
            <w:vAlign w:val="center"/>
            <w:tcMar>
              <w:top w:w="90" w:type="dxa"/>
              <w:start w:w="100" w:type="dxa"/>
              <w:bottom w:w="90" w:type="dxa"/>
              <w:end w:w="100" w:type="dxa"/>
            </w:tcMar>
            <w:shd w:fill="F4F7F9"/>
          </w:tcPr>
          <w:p>
            <w:pPr>
              <w:spacing w:after="20" w:line="245" w:lineRule="auto"/>
            </w:pPr>
            <w:r>
              <w:rPr>
                <w:color w:val="1F2933"/>
                <w:sz w:val="15"/>
              </w:rPr>
              <w:t>Proprietary search/ranking integration and fleet orchestration</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5"/>
              </w:rPr>
              <w:t>Neocloud</w:t>
            </w:r>
          </w:p>
        </w:tc>
        <w:tc>
          <w:tcPr>
            <w:tcW w:type="dxa" w:w="3960"/>
            <w:vAlign w:val="center"/>
            <w:tcMar>
              <w:top w:w="90" w:type="dxa"/>
              <w:start w:w="100" w:type="dxa"/>
              <w:bottom w:w="90" w:type="dxa"/>
              <w:end w:w="100" w:type="dxa"/>
            </w:tcMar>
          </w:tcPr>
          <w:p>
            <w:pPr>
              <w:spacing w:after="20" w:line="245" w:lineRule="auto"/>
            </w:pPr>
            <w:r>
              <w:rPr>
                <w:color w:val="1F2933"/>
                <w:sz w:val="15"/>
              </w:rPr>
              <w:t>Validated server SKU, driver, telemetry and support package</w:t>
            </w:r>
          </w:p>
        </w:tc>
        <w:tc>
          <w:tcPr>
            <w:tcW w:type="dxa" w:w="4248"/>
            <w:vAlign w:val="center"/>
            <w:tcMar>
              <w:top w:w="90" w:type="dxa"/>
              <w:start w:w="100" w:type="dxa"/>
              <w:bottom w:w="90" w:type="dxa"/>
              <w:end w:w="100" w:type="dxa"/>
            </w:tcMar>
          </w:tcPr>
          <w:p>
            <w:pPr>
              <w:spacing w:after="20" w:line="245" w:lineRule="auto"/>
            </w:pPr>
            <w:r>
              <w:rPr>
                <w:color w:val="1F2933"/>
                <w:sz w:val="15"/>
              </w:rPr>
              <w:t>Provisioning, billing, managed service and customer support</w:t>
            </w:r>
          </w:p>
        </w:tc>
      </w:tr>
    </w:tbl>
    <w:p>
      <w:pPr>
        <w:spacing w:after="20"/>
      </w:pPr>
    </w:p>
    <w:p>
      <w:pPr>
        <w:pStyle w:val="Heading1"/>
      </w:pPr>
      <w:r>
        <w:t>8.5 Product management and marketing</w:t>
      </w:r>
    </w:p>
    <w:p>
      <w:pPr>
        <w:pStyle w:val="ListBullet"/>
      </w:pPr>
      <w:r>
        <w:t>Define a workload-specific SKU thesis, not a generic AI-accelerator thesis.</w:t>
      </w:r>
    </w:p>
    <w:p>
      <w:pPr>
        <w:pStyle w:val="ListBullet"/>
      </w:pPr>
      <w:r>
        <w:t>Create an evidence ledger separating architecture targets, modeled results, prototype measurements and production claims.</w:t>
      </w:r>
    </w:p>
    <w:p>
      <w:pPr>
        <w:pStyle w:val="ListBullet"/>
      </w:pPr>
      <w:r>
        <w:t>Price against displaced infrastructure and operational outcome, not only capacity or TOPS.</w:t>
      </w:r>
    </w:p>
    <w:p>
      <w:pPr>
        <w:pStyle w:val="ListBullet"/>
      </w:pPr>
      <w:r>
        <w:t>Publish fit/no-fit guidance, including the 200 GB/s dense-streaming ceiling and the difference between per-device and fleet aggregate bandwidth.</w:t>
      </w:r>
    </w:p>
    <w:p>
      <w:pPr>
        <w:pStyle w:val="ListBullet"/>
      </w:pPr>
      <w:r>
        <w:t>Build vertical reference stories around evidence quality, GPU/DRAM relief, bytes avoided and power, not cold start.</w:t>
      </w:r>
    </w:p>
    <w:p>
      <w:pPr>
        <w:pStyle w:val="ListBullet"/>
      </w:pPr>
      <w:r>
        <w:t>Recruit one enterprise, one hyperscaler/search provider, one vector/database partner and one OEM platform as design partners.</w:t>
      </w:r>
    </w:p>
    <w:p>
      <w:r>
        <w:br w:type="page"/>
      </w:r>
    </w:p>
    <w:p>
      <w:pPr>
        <w:pStyle w:val="Title"/>
      </w:pPr>
      <w:r>
        <w:t>9. Recommended Program Roadmap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5"/>
              </w:rPr>
              <w:t>Phase</w:t>
            </w:r>
          </w:p>
        </w:tc>
        <w:tc>
          <w:tcPr>
            <w:tcW w:type="dxa" w:w="2541"/>
            <w:shd w:fill="13263D"/>
            <w:vAlign w:val="center"/>
            <w:tcMar>
              <w:top w:w="90" w:type="dxa"/>
              <w:start w:w="100" w:type="dxa"/>
              <w:bottom w:w="90" w:type="dxa"/>
              <w:end w:w="100" w:type="dxa"/>
            </w:tcMar>
          </w:tcPr>
          <w:p>
            <w:r>
              <w:rPr>
                <w:b/>
                <w:color w:val="FFFFFF"/>
                <w:sz w:val="15"/>
              </w:rPr>
              <w:t>Timing</w:t>
            </w:r>
          </w:p>
        </w:tc>
        <w:tc>
          <w:tcPr>
            <w:tcW w:type="dxa" w:w="2541"/>
            <w:shd w:fill="13263D"/>
            <w:vAlign w:val="center"/>
            <w:tcMar>
              <w:top w:w="90" w:type="dxa"/>
              <w:start w:w="100" w:type="dxa"/>
              <w:bottom w:w="90" w:type="dxa"/>
              <w:end w:w="100" w:type="dxa"/>
            </w:tcMar>
          </w:tcPr>
          <w:p>
            <w:r>
              <w:rPr>
                <w:b/>
                <w:color w:val="FFFFFF"/>
                <w:sz w:val="15"/>
              </w:rPr>
              <w:t>Objectives</w:t>
            </w:r>
          </w:p>
        </w:tc>
        <w:tc>
          <w:tcPr>
            <w:tcW w:type="dxa" w:w="2541"/>
            <w:shd w:fill="13263D"/>
            <w:vAlign w:val="center"/>
            <w:tcMar>
              <w:top w:w="90" w:type="dxa"/>
              <w:start w:w="100" w:type="dxa"/>
              <w:bottom w:w="90" w:type="dxa"/>
              <w:end w:w="100" w:type="dxa"/>
            </w:tcMar>
          </w:tcPr>
          <w:p>
            <w:r>
              <w:rPr>
                <w:b/>
                <w:color w:val="FFFFFF"/>
                <w:sz w:val="15"/>
              </w:rPr>
              <w:t>Decision output</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5"/>
              </w:rPr>
              <w:t>0. Reframe</w:t>
            </w:r>
          </w:p>
        </w:tc>
        <w:tc>
          <w:tcPr>
            <w:tcW w:type="dxa" w:w="1440"/>
            <w:vAlign w:val="center"/>
            <w:tcMar>
              <w:top w:w="90" w:type="dxa"/>
              <w:start w:w="100" w:type="dxa"/>
              <w:bottom w:w="90" w:type="dxa"/>
              <w:end w:w="100" w:type="dxa"/>
            </w:tcMar>
          </w:tcPr>
          <w:p>
            <w:pPr>
              <w:spacing w:after="20" w:line="245" w:lineRule="auto"/>
            </w:pPr>
            <w:r>
              <w:rPr>
                <w:color w:val="1F2933"/>
                <w:sz w:val="15"/>
              </w:rPr>
              <w:t>Weeks 1–2</w:t>
            </w:r>
          </w:p>
        </w:tc>
        <w:tc>
          <w:tcPr>
            <w:tcW w:type="dxa" w:w="4968"/>
            <w:vAlign w:val="center"/>
            <w:tcMar>
              <w:top w:w="90" w:type="dxa"/>
              <w:start w:w="100" w:type="dxa"/>
              <w:bottom w:w="90" w:type="dxa"/>
              <w:end w:w="100" w:type="dxa"/>
            </w:tcMar>
          </w:tcPr>
          <w:p>
            <w:pPr>
              <w:spacing w:after="20" w:line="245" w:lineRule="auto"/>
            </w:pPr>
            <w:r>
              <w:rPr>
                <w:color w:val="1F2933"/>
                <w:sz w:val="15"/>
              </w:rPr>
              <w:t>Freeze HBF-centric thesis, use-case ranking and no-fit list</w:t>
            </w:r>
          </w:p>
        </w:tc>
        <w:tc>
          <w:tcPr>
            <w:tcW w:type="dxa" w:w="2880"/>
            <w:vAlign w:val="center"/>
            <w:tcMar>
              <w:top w:w="90" w:type="dxa"/>
              <w:start w:w="100" w:type="dxa"/>
              <w:bottom w:w="90" w:type="dxa"/>
              <w:end w:w="100" w:type="dxa"/>
            </w:tcMar>
          </w:tcPr>
          <w:p>
            <w:pPr>
              <w:spacing w:after="20" w:line="245" w:lineRule="auto"/>
            </w:pPr>
            <w:r>
              <w:rPr>
                <w:color w:val="1F2933"/>
                <w:sz w:val="15"/>
              </w:rPr>
              <w:t>Approved scope and success metrics</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5"/>
              </w:rPr>
              <w:t>1. Characterize</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Weeks 1–6</w:t>
            </w:r>
          </w:p>
        </w:tc>
        <w:tc>
          <w:tcPr>
            <w:tcW w:type="dxa" w:w="4968"/>
            <w:vAlign w:val="center"/>
            <w:tcMar>
              <w:top w:w="90" w:type="dxa"/>
              <w:start w:w="100" w:type="dxa"/>
              <w:bottom w:w="90" w:type="dxa"/>
              <w:end w:w="100" w:type="dxa"/>
            </w:tcMar>
            <w:shd w:fill="F4F7F9"/>
          </w:tcPr>
          <w:p>
            <w:pPr>
              <w:spacing w:after="20" w:line="245" w:lineRule="auto"/>
            </w:pPr>
            <w:r>
              <w:rPr>
                <w:color w:val="1F2933"/>
                <w:sz w:val="15"/>
              </w:rPr>
              <w:t>Memory path, NPU primitive matrix, thermal model and workload traces</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Feasibility scorecard</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5"/>
              </w:rPr>
              <w:t>2. Single-device proof</w:t>
            </w:r>
          </w:p>
        </w:tc>
        <w:tc>
          <w:tcPr>
            <w:tcW w:type="dxa" w:w="1440"/>
            <w:vAlign w:val="center"/>
            <w:tcMar>
              <w:top w:w="90" w:type="dxa"/>
              <w:start w:w="100" w:type="dxa"/>
              <w:bottom w:w="90" w:type="dxa"/>
              <w:end w:w="100" w:type="dxa"/>
            </w:tcMar>
          </w:tcPr>
          <w:p>
            <w:pPr>
              <w:spacing w:after="20" w:line="245" w:lineRule="auto"/>
            </w:pPr>
            <w:r>
              <w:rPr>
                <w:color w:val="1F2933"/>
                <w:sz w:val="15"/>
              </w:rPr>
              <w:t>Weeks 5–12</w:t>
            </w:r>
          </w:p>
        </w:tc>
        <w:tc>
          <w:tcPr>
            <w:tcW w:type="dxa" w:w="4968"/>
            <w:vAlign w:val="center"/>
            <w:tcMar>
              <w:top w:w="90" w:type="dxa"/>
              <w:start w:w="100" w:type="dxa"/>
              <w:bottom w:w="90" w:type="dxa"/>
              <w:end w:w="100" w:type="dxa"/>
            </w:tcMar>
          </w:tcPr>
          <w:p>
            <w:pPr>
              <w:spacing w:after="20" w:line="245" w:lineRule="auto"/>
            </w:pPr>
            <w:r>
              <w:rPr>
                <w:color w:val="1F2933"/>
                <w:sz w:val="15"/>
              </w:rPr>
              <w:t>Candidate refinement and late-interaction emulation/prototype</w:t>
            </w:r>
          </w:p>
        </w:tc>
        <w:tc>
          <w:tcPr>
            <w:tcW w:type="dxa" w:w="2880"/>
            <w:vAlign w:val="center"/>
            <w:tcMar>
              <w:top w:w="90" w:type="dxa"/>
              <w:start w:w="100" w:type="dxa"/>
              <w:bottom w:w="90" w:type="dxa"/>
              <w:end w:w="100" w:type="dxa"/>
            </w:tcMar>
          </w:tcPr>
          <w:p>
            <w:pPr>
              <w:spacing w:after="20" w:line="245" w:lineRule="auto"/>
            </w:pPr>
            <w:r>
              <w:rPr>
                <w:color w:val="1F2933"/>
                <w:sz w:val="15"/>
              </w:rPr>
              <w:t>Measured reason to use 128 GB HBF</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5"/>
              </w:rPr>
              <w:t>3. Vertical proof</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Months 4–6</w:t>
            </w:r>
          </w:p>
        </w:tc>
        <w:tc>
          <w:tcPr>
            <w:tcW w:type="dxa" w:w="4968"/>
            <w:vAlign w:val="center"/>
            <w:tcMar>
              <w:top w:w="90" w:type="dxa"/>
              <w:start w:w="100" w:type="dxa"/>
              <w:bottom w:w="90" w:type="dxa"/>
              <w:end w:w="100" w:type="dxa"/>
            </w:tcMar>
            <w:shd w:fill="F4F7F9"/>
          </w:tcPr>
          <w:p>
            <w:pPr>
              <w:spacing w:after="20" w:line="245" w:lineRule="auto"/>
            </w:pPr>
            <w:r>
              <w:rPr>
                <w:color w:val="1F2933"/>
                <w:sz w:val="15"/>
              </w:rPr>
              <w:t>Finance/manufacturing/healthcare dataset and outcome tests</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Design-partner evidence</w:t>
            </w:r>
          </w:p>
        </w:tc>
      </w:tr>
      <w:tr>
        <w:trPr>
          <w:cantSplit/>
        </w:trPr>
        <w:tc>
          <w:tcPr>
            <w:tcW w:type="dxa" w:w="1584"/>
            <w:vAlign w:val="center"/>
            <w:tcMar>
              <w:top w:w="90" w:type="dxa"/>
              <w:start w:w="100" w:type="dxa"/>
              <w:bottom w:w="90" w:type="dxa"/>
              <w:end w:w="100" w:type="dxa"/>
            </w:tcMar>
          </w:tcPr>
          <w:p>
            <w:pPr>
              <w:spacing w:after="20" w:line="245" w:lineRule="auto"/>
            </w:pPr>
            <w:r>
              <w:rPr>
                <w:color w:val="1F2933"/>
                <w:sz w:val="15"/>
              </w:rPr>
              <w:t>4. Scale-out proof</w:t>
            </w:r>
          </w:p>
        </w:tc>
        <w:tc>
          <w:tcPr>
            <w:tcW w:type="dxa" w:w="1440"/>
            <w:vAlign w:val="center"/>
            <w:tcMar>
              <w:top w:w="90" w:type="dxa"/>
              <w:start w:w="100" w:type="dxa"/>
              <w:bottom w:w="90" w:type="dxa"/>
              <w:end w:w="100" w:type="dxa"/>
            </w:tcMar>
          </w:tcPr>
          <w:p>
            <w:pPr>
              <w:spacing w:after="20" w:line="245" w:lineRule="auto"/>
            </w:pPr>
            <w:r>
              <w:rPr>
                <w:color w:val="1F2933"/>
                <w:sz w:val="15"/>
              </w:rPr>
              <w:t>Months 6–9</w:t>
            </w:r>
          </w:p>
        </w:tc>
        <w:tc>
          <w:tcPr>
            <w:tcW w:type="dxa" w:w="4968"/>
            <w:vAlign w:val="center"/>
            <w:tcMar>
              <w:top w:w="90" w:type="dxa"/>
              <w:start w:w="100" w:type="dxa"/>
              <w:bottom w:w="90" w:type="dxa"/>
              <w:end w:w="100" w:type="dxa"/>
            </w:tcMar>
          </w:tcPr>
          <w:p>
            <w:pPr>
              <w:spacing w:after="20" w:line="245" w:lineRule="auto"/>
            </w:pPr>
            <w:r>
              <w:rPr>
                <w:color w:val="1F2933"/>
                <w:sz w:val="15"/>
              </w:rPr>
              <w:t>8-device shard routing, top-k merge, HA and backplane study</w:t>
            </w:r>
          </w:p>
        </w:tc>
        <w:tc>
          <w:tcPr>
            <w:tcW w:type="dxa" w:w="2880"/>
            <w:vAlign w:val="center"/>
            <w:tcMar>
              <w:top w:w="90" w:type="dxa"/>
              <w:start w:w="100" w:type="dxa"/>
              <w:bottom w:w="90" w:type="dxa"/>
              <w:end w:w="100" w:type="dxa"/>
            </w:tcMar>
          </w:tcPr>
          <w:p>
            <w:pPr>
              <w:spacing w:after="20" w:line="245" w:lineRule="auto"/>
            </w:pPr>
            <w:r>
              <w:rPr>
                <w:color w:val="1F2933"/>
                <w:sz w:val="15"/>
              </w:rPr>
              <w:t>Reference server architecture</w:t>
            </w:r>
          </w:p>
        </w:tc>
      </w:tr>
      <w:tr>
        <w:trPr>
          <w:cantSplit/>
        </w:trPr>
        <w:tc>
          <w:tcPr>
            <w:tcW w:type="dxa" w:w="1584"/>
            <w:vAlign w:val="center"/>
            <w:tcMar>
              <w:top w:w="90" w:type="dxa"/>
              <w:start w:w="100" w:type="dxa"/>
              <w:bottom w:w="90" w:type="dxa"/>
              <w:end w:w="100" w:type="dxa"/>
            </w:tcMar>
            <w:shd w:fill="F4F7F9"/>
          </w:tcPr>
          <w:p>
            <w:pPr>
              <w:spacing w:after="20" w:line="245" w:lineRule="auto"/>
            </w:pPr>
            <w:r>
              <w:rPr>
                <w:color w:val="1F2933"/>
                <w:sz w:val="15"/>
              </w:rPr>
              <w:t>5. Productization</w:t>
            </w:r>
          </w:p>
        </w:tc>
        <w:tc>
          <w:tcPr>
            <w:tcW w:type="dxa" w:w="1440"/>
            <w:vAlign w:val="center"/>
            <w:tcMar>
              <w:top w:w="90" w:type="dxa"/>
              <w:start w:w="100" w:type="dxa"/>
              <w:bottom w:w="90" w:type="dxa"/>
              <w:end w:w="100" w:type="dxa"/>
            </w:tcMar>
            <w:shd w:fill="F4F7F9"/>
          </w:tcPr>
          <w:p>
            <w:pPr>
              <w:spacing w:after="20" w:line="245" w:lineRule="auto"/>
            </w:pPr>
            <w:r>
              <w:rPr>
                <w:color w:val="1F2933"/>
                <w:sz w:val="15"/>
              </w:rPr>
              <w:t>Months 9–18</w:t>
            </w:r>
          </w:p>
        </w:tc>
        <w:tc>
          <w:tcPr>
            <w:tcW w:type="dxa" w:w="4968"/>
            <w:vAlign w:val="center"/>
            <w:tcMar>
              <w:top w:w="90" w:type="dxa"/>
              <w:start w:w="100" w:type="dxa"/>
              <w:bottom w:w="90" w:type="dxa"/>
              <w:end w:w="100" w:type="dxa"/>
            </w:tcMar>
            <w:shd w:fill="F4F7F9"/>
          </w:tcPr>
          <w:p>
            <w:pPr>
              <w:spacing w:after="20" w:line="245" w:lineRule="auto"/>
            </w:pPr>
            <w:r>
              <w:rPr>
                <w:color w:val="1F2933"/>
                <w:sz w:val="15"/>
              </w:rPr>
              <w:t>Silicon/device, firmware, driver, OEM and ecosystem qualification</w:t>
            </w:r>
          </w:p>
        </w:tc>
        <w:tc>
          <w:tcPr>
            <w:tcW w:type="dxa" w:w="2880"/>
            <w:vAlign w:val="center"/>
            <w:tcMar>
              <w:top w:w="90" w:type="dxa"/>
              <w:start w:w="100" w:type="dxa"/>
              <w:bottom w:w="90" w:type="dxa"/>
              <w:end w:w="100" w:type="dxa"/>
            </w:tcMar>
            <w:shd w:fill="F4F7F9"/>
          </w:tcPr>
          <w:p>
            <w:pPr>
              <w:spacing w:after="20" w:line="245" w:lineRule="auto"/>
            </w:pPr>
            <w:r>
              <w:rPr>
                <w:color w:val="1F2933"/>
                <w:sz w:val="15"/>
              </w:rPr>
              <w:t>Launch decision and claims package</w:t>
            </w:r>
          </w:p>
        </w:tc>
      </w:tr>
    </w:tbl>
    <w:p>
      <w:pPr>
        <w:spacing w:after="20"/>
      </w:pPr>
    </w:p>
    <w:p>
      <w:pPr>
        <w:pStyle w:val="Heading1"/>
      </w:pPr>
      <w:r>
        <w:t>9.1 Decision gates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3263D"/>
            <w:vAlign w:val="center"/>
            <w:tcMar>
              <w:top w:w="90" w:type="dxa"/>
              <w:start w:w="100" w:type="dxa"/>
              <w:bottom w:w="90" w:type="dxa"/>
              <w:end w:w="100" w:type="dxa"/>
            </w:tcMar>
          </w:tcPr>
          <w:p>
            <w:r>
              <w:rPr>
                <w:b/>
                <w:color w:val="FFFFFF"/>
                <w:sz w:val="15"/>
              </w:rPr>
              <w:t>Gate</w:t>
            </w:r>
          </w:p>
        </w:tc>
        <w:tc>
          <w:tcPr>
            <w:tcW w:type="dxa" w:w="2541"/>
            <w:shd w:fill="13263D"/>
            <w:vAlign w:val="center"/>
            <w:tcMar>
              <w:top w:w="90" w:type="dxa"/>
              <w:start w:w="100" w:type="dxa"/>
              <w:bottom w:w="90" w:type="dxa"/>
              <w:end w:w="100" w:type="dxa"/>
            </w:tcMar>
          </w:tcPr>
          <w:p>
            <w:r>
              <w:rPr>
                <w:b/>
                <w:color w:val="FFFFFF"/>
                <w:sz w:val="15"/>
              </w:rPr>
              <w:t>Advance</w:t>
            </w:r>
          </w:p>
        </w:tc>
        <w:tc>
          <w:tcPr>
            <w:tcW w:type="dxa" w:w="2541"/>
            <w:shd w:fill="13263D"/>
            <w:vAlign w:val="center"/>
            <w:tcMar>
              <w:top w:w="90" w:type="dxa"/>
              <w:start w:w="100" w:type="dxa"/>
              <w:bottom w:w="90" w:type="dxa"/>
              <w:end w:w="100" w:type="dxa"/>
            </w:tcMar>
          </w:tcPr>
          <w:p>
            <w:r>
              <w:rPr>
                <w:b/>
                <w:color w:val="FFFFFF"/>
                <w:sz w:val="15"/>
              </w:rPr>
              <w:t>Hold/redesign</w:t>
            </w:r>
          </w:p>
        </w:tc>
        <w:tc>
          <w:tcPr>
            <w:tcW w:type="dxa" w:w="2541"/>
            <w:shd w:fill="13263D"/>
            <w:vAlign w:val="center"/>
            <w:tcMar>
              <w:top w:w="90" w:type="dxa"/>
              <w:start w:w="100" w:type="dxa"/>
              <w:bottom w:w="90" w:type="dxa"/>
              <w:end w:w="100" w:type="dxa"/>
            </w:tcMar>
          </w:tcPr>
          <w:p>
            <w:r>
              <w:rPr>
                <w:b/>
                <w:color w:val="FFFFFF"/>
                <w:sz w:val="15"/>
              </w:rPr>
              <w:t>Stop</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G1: HBF relevance</w:t>
            </w:r>
          </w:p>
        </w:tc>
        <w:tc>
          <w:tcPr>
            <w:tcW w:type="dxa" w:w="3024"/>
            <w:vAlign w:val="center"/>
            <w:tcMar>
              <w:top w:w="90" w:type="dxa"/>
              <w:start w:w="100" w:type="dxa"/>
              <w:bottom w:w="90" w:type="dxa"/>
              <w:end w:w="100" w:type="dxa"/>
            </w:tcMar>
          </w:tcPr>
          <w:p>
            <w:pPr>
              <w:spacing w:after="20" w:line="245" w:lineRule="auto"/>
            </w:pPr>
            <w:r>
              <w:rPr>
                <w:color w:val="1F2933"/>
                <w:sz w:val="15"/>
              </w:rPr>
              <w:t>Workload uses &gt;32 GB active representation and reads HBF continuously</w:t>
            </w:r>
          </w:p>
        </w:tc>
        <w:tc>
          <w:tcPr>
            <w:tcW w:type="dxa" w:w="3024"/>
            <w:vAlign w:val="center"/>
            <w:tcMar>
              <w:top w:w="90" w:type="dxa"/>
              <w:start w:w="100" w:type="dxa"/>
              <w:bottom w:w="90" w:type="dxa"/>
              <w:end w:w="100" w:type="dxa"/>
            </w:tcMar>
          </w:tcPr>
          <w:p>
            <w:pPr>
              <w:spacing w:after="20" w:line="245" w:lineRule="auto"/>
            </w:pPr>
            <w:r>
              <w:rPr>
                <w:color w:val="1F2933"/>
                <w:sz w:val="15"/>
              </w:rPr>
              <w:t>Only some stages use HBF</w:t>
            </w:r>
          </w:p>
        </w:tc>
        <w:tc>
          <w:tcPr>
            <w:tcW w:type="dxa" w:w="3024"/>
            <w:vAlign w:val="center"/>
            <w:tcMar>
              <w:top w:w="90" w:type="dxa"/>
              <w:start w:w="100" w:type="dxa"/>
              <w:bottom w:w="90" w:type="dxa"/>
              <w:end w:w="100" w:type="dxa"/>
            </w:tcMar>
          </w:tcPr>
          <w:p>
            <w:pPr>
              <w:spacing w:after="20" w:line="245" w:lineRule="auto"/>
            </w:pPr>
            <w:r>
              <w:rPr>
                <w:color w:val="1F2933"/>
                <w:sz w:val="15"/>
              </w:rPr>
              <w:t>Value is cold start or inactive storage</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G2: Useful bandwidth</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Representative access pattern achieves required goodput</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Controller/layout changes needed</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Random/gather behavior destroys performance</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G3: Quality/SLO</w:t>
            </w:r>
          </w:p>
        </w:tc>
        <w:tc>
          <w:tcPr>
            <w:tcW w:type="dxa" w:w="3024"/>
            <w:vAlign w:val="center"/>
            <w:tcMar>
              <w:top w:w="90" w:type="dxa"/>
              <w:start w:w="100" w:type="dxa"/>
              <w:bottom w:w="90" w:type="dxa"/>
              <w:end w:w="100" w:type="dxa"/>
            </w:tcMar>
          </w:tcPr>
          <w:p>
            <w:pPr>
              <w:spacing w:after="20" w:line="245" w:lineRule="auto"/>
            </w:pPr>
            <w:r>
              <w:rPr>
                <w:color w:val="1F2933"/>
                <w:sz w:val="15"/>
              </w:rPr>
              <w:t>Beats baseline at equal quality/SLO or improves quality within SLO</w:t>
            </w:r>
          </w:p>
        </w:tc>
        <w:tc>
          <w:tcPr>
            <w:tcW w:type="dxa" w:w="3024"/>
            <w:vAlign w:val="center"/>
            <w:tcMar>
              <w:top w:w="90" w:type="dxa"/>
              <w:start w:w="100" w:type="dxa"/>
              <w:bottom w:w="90" w:type="dxa"/>
              <w:end w:w="100" w:type="dxa"/>
            </w:tcMar>
          </w:tcPr>
          <w:p>
            <w:pPr>
              <w:spacing w:after="20" w:line="245" w:lineRule="auto"/>
            </w:pPr>
            <w:r>
              <w:rPr>
                <w:color w:val="1F2933"/>
                <w:sz w:val="15"/>
              </w:rPr>
              <w:t>Advantage only under narrow conditions</w:t>
            </w:r>
          </w:p>
        </w:tc>
        <w:tc>
          <w:tcPr>
            <w:tcW w:type="dxa" w:w="3024"/>
            <w:vAlign w:val="center"/>
            <w:tcMar>
              <w:top w:w="90" w:type="dxa"/>
              <w:start w:w="100" w:type="dxa"/>
              <w:bottom w:w="90" w:type="dxa"/>
              <w:end w:w="100" w:type="dxa"/>
            </w:tcMar>
          </w:tcPr>
          <w:p>
            <w:pPr>
              <w:spacing w:after="20" w:line="245" w:lineRule="auto"/>
            </w:pPr>
            <w:r>
              <w:rPr>
                <w:color w:val="1F2933"/>
                <w:sz w:val="15"/>
              </w:rPr>
              <w:t>CPU/GPU remains clearly superior</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G4: Power/thermal</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Sustained workload fits qualified E3 profile</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2T or lower clock required</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No feasible E3 deployment</w:t>
            </w:r>
          </w:p>
        </w:tc>
      </w:tr>
      <w:tr>
        <w:trPr>
          <w:cantSplit/>
        </w:trPr>
        <w:tc>
          <w:tcPr>
            <w:tcW w:type="dxa" w:w="1656"/>
            <w:vAlign w:val="center"/>
            <w:tcMar>
              <w:top w:w="90" w:type="dxa"/>
              <w:start w:w="100" w:type="dxa"/>
              <w:bottom w:w="90" w:type="dxa"/>
              <w:end w:w="100" w:type="dxa"/>
            </w:tcMar>
          </w:tcPr>
          <w:p>
            <w:pPr>
              <w:spacing w:after="20" w:line="245" w:lineRule="auto"/>
            </w:pPr>
            <w:r>
              <w:rPr>
                <w:color w:val="1F2933"/>
                <w:sz w:val="15"/>
              </w:rPr>
              <w:t>G5: Economics</w:t>
            </w:r>
          </w:p>
        </w:tc>
        <w:tc>
          <w:tcPr>
            <w:tcW w:type="dxa" w:w="3024"/>
            <w:vAlign w:val="center"/>
            <w:tcMar>
              <w:top w:w="90" w:type="dxa"/>
              <w:start w:w="100" w:type="dxa"/>
              <w:bottom w:w="90" w:type="dxa"/>
              <w:end w:w="100" w:type="dxa"/>
            </w:tcMar>
          </w:tcPr>
          <w:p>
            <w:pPr>
              <w:spacing w:after="20" w:line="245" w:lineRule="auto"/>
            </w:pPr>
            <w:r>
              <w:rPr>
                <w:color w:val="1F2933"/>
                <w:sz w:val="15"/>
              </w:rPr>
              <w:t>Displaces measurable DRAM/GPU/SSD I/O or ranker work</w:t>
            </w:r>
          </w:p>
        </w:tc>
        <w:tc>
          <w:tcPr>
            <w:tcW w:type="dxa" w:w="3024"/>
            <w:vAlign w:val="center"/>
            <w:tcMar>
              <w:top w:w="90" w:type="dxa"/>
              <w:start w:w="100" w:type="dxa"/>
              <w:bottom w:w="90" w:type="dxa"/>
              <w:end w:w="100" w:type="dxa"/>
            </w:tcMar>
          </w:tcPr>
          <w:p>
            <w:pPr>
              <w:spacing w:after="20" w:line="245" w:lineRule="auto"/>
            </w:pPr>
            <w:r>
              <w:rPr>
                <w:color w:val="1F2933"/>
                <w:sz w:val="15"/>
              </w:rPr>
              <w:t>Pricing sensitivity wide</w:t>
            </w:r>
          </w:p>
        </w:tc>
        <w:tc>
          <w:tcPr>
            <w:tcW w:type="dxa" w:w="3024"/>
            <w:vAlign w:val="center"/>
            <w:tcMar>
              <w:top w:w="90" w:type="dxa"/>
              <w:start w:w="100" w:type="dxa"/>
              <w:bottom w:w="90" w:type="dxa"/>
              <w:end w:w="100" w:type="dxa"/>
            </w:tcMar>
          </w:tcPr>
          <w:p>
            <w:pPr>
              <w:spacing w:after="20" w:line="245" w:lineRule="auto"/>
            </w:pPr>
            <w:r>
              <w:rPr>
                <w:color w:val="1F2933"/>
                <w:sz w:val="15"/>
              </w:rPr>
              <w:t>No credible TCO advantage</w:t>
            </w:r>
          </w:p>
        </w:tc>
      </w:tr>
      <w:tr>
        <w:trPr>
          <w:cantSplit/>
        </w:trPr>
        <w:tc>
          <w:tcPr>
            <w:tcW w:type="dxa" w:w="1656"/>
            <w:vAlign w:val="center"/>
            <w:tcMar>
              <w:top w:w="90" w:type="dxa"/>
              <w:start w:w="100" w:type="dxa"/>
              <w:bottom w:w="90" w:type="dxa"/>
              <w:end w:w="100" w:type="dxa"/>
            </w:tcMar>
            <w:shd w:fill="F4F7F9"/>
          </w:tcPr>
          <w:p>
            <w:pPr>
              <w:spacing w:after="20" w:line="245" w:lineRule="auto"/>
            </w:pPr>
            <w:r>
              <w:rPr>
                <w:color w:val="1F2933"/>
                <w:sz w:val="15"/>
              </w:rPr>
              <w:t>G6: Ecosystem</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Partner integration path and OEM platform committed</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One material blocker</w:t>
            </w:r>
          </w:p>
        </w:tc>
        <w:tc>
          <w:tcPr>
            <w:tcW w:type="dxa" w:w="3024"/>
            <w:vAlign w:val="center"/>
            <w:tcMar>
              <w:top w:w="90" w:type="dxa"/>
              <w:start w:w="100" w:type="dxa"/>
              <w:bottom w:w="90" w:type="dxa"/>
              <w:end w:w="100" w:type="dxa"/>
            </w:tcMar>
            <w:shd w:fill="F4F7F9"/>
          </w:tcPr>
          <w:p>
            <w:pPr>
              <w:spacing w:after="20" w:line="245" w:lineRule="auto"/>
            </w:pPr>
            <w:r>
              <w:rPr>
                <w:color w:val="1F2933"/>
                <w:sz w:val="15"/>
              </w:rPr>
              <w:t>Sandisk would need to own full application stack</w:t>
            </w:r>
          </w:p>
        </w:tc>
      </w:tr>
    </w:tbl>
    <w:p>
      <w:pPr>
        <w:spacing w:after="20"/>
      </w:pPr>
    </w:p>
    <w:p>
      <w:pPr>
        <w:pStyle w:val="Title"/>
      </w:pPr>
      <w:r>
        <w:t>10. Role-Based Guidance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6"/>
              </w:rPr>
              <w:t>Role</w:t>
            </w:r>
          </w:p>
        </w:tc>
        <w:tc>
          <w:tcPr>
            <w:tcW w:type="dxa" w:w="3389"/>
            <w:shd w:fill="13263D"/>
            <w:vAlign w:val="center"/>
            <w:tcMar>
              <w:top w:w="90" w:type="dxa"/>
              <w:start w:w="100" w:type="dxa"/>
              <w:bottom w:w="90" w:type="dxa"/>
              <w:end w:w="100" w:type="dxa"/>
            </w:tcMar>
          </w:tcPr>
          <w:p>
            <w:r>
              <w:rPr>
                <w:b/>
                <w:color w:val="FFFFFF"/>
                <w:sz w:val="16"/>
              </w:rPr>
              <w:t>What to remember</w:t>
            </w:r>
          </w:p>
        </w:tc>
        <w:tc>
          <w:tcPr>
            <w:tcW w:type="dxa" w:w="3389"/>
            <w:shd w:fill="13263D"/>
            <w:vAlign w:val="center"/>
            <w:tcMar>
              <w:top w:w="90" w:type="dxa"/>
              <w:start w:w="100" w:type="dxa"/>
              <w:bottom w:w="90" w:type="dxa"/>
              <w:end w:w="100" w:type="dxa"/>
            </w:tcMar>
          </w:tcPr>
          <w:p>
            <w:r>
              <w:rPr>
                <w:b/>
                <w:color w:val="FFFFFF"/>
                <w:sz w:val="16"/>
              </w:rPr>
              <w:t>Immediate action</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Executive</w:t>
            </w:r>
          </w:p>
        </w:tc>
        <w:tc>
          <w:tcPr>
            <w:tcW w:type="dxa" w:w="4464"/>
            <w:vAlign w:val="center"/>
            <w:tcMar>
              <w:top w:w="90" w:type="dxa"/>
              <w:start w:w="100" w:type="dxa"/>
              <w:bottom w:w="90" w:type="dxa"/>
              <w:end w:w="100" w:type="dxa"/>
            </w:tcMar>
          </w:tcPr>
          <w:p>
            <w:pPr>
              <w:spacing w:after="20" w:line="245" w:lineRule="auto"/>
            </w:pPr>
            <w:r>
              <w:rPr>
                <w:color w:val="1F2933"/>
                <w:sz w:val="16"/>
              </w:rPr>
              <w:t>ATMOS wins only where HBF is active after warm-up</w:t>
            </w:r>
          </w:p>
        </w:tc>
        <w:tc>
          <w:tcPr>
            <w:tcW w:type="dxa" w:w="3960"/>
            <w:vAlign w:val="center"/>
            <w:tcMar>
              <w:top w:w="90" w:type="dxa"/>
              <w:start w:w="100" w:type="dxa"/>
              <w:bottom w:w="90" w:type="dxa"/>
              <w:end w:w="100" w:type="dxa"/>
            </w:tcMar>
          </w:tcPr>
          <w:p>
            <w:pPr>
              <w:spacing w:after="20" w:line="245" w:lineRule="auto"/>
            </w:pPr>
            <w:r>
              <w:rPr>
                <w:color w:val="1F2933"/>
                <w:sz w:val="16"/>
              </w:rPr>
              <w:t>Fund two HBF-first POCs and enforce stop criteria</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Chief architect</w:t>
            </w:r>
          </w:p>
        </w:tc>
        <w:tc>
          <w:tcPr>
            <w:tcW w:type="dxa" w:w="4464"/>
            <w:vAlign w:val="center"/>
            <w:tcMar>
              <w:top w:w="90" w:type="dxa"/>
              <w:start w:w="100" w:type="dxa"/>
              <w:bottom w:w="90" w:type="dxa"/>
              <w:end w:w="100" w:type="dxa"/>
            </w:tcMar>
            <w:shd w:fill="F4F7F9"/>
          </w:tcPr>
          <w:p>
            <w:pPr>
              <w:spacing w:after="20" w:line="245" w:lineRule="auto"/>
            </w:pPr>
            <w:r>
              <w:rPr>
                <w:color w:val="1F2933"/>
                <w:sz w:val="16"/>
              </w:rPr>
              <w:t>Design staged, near-data reduction rather than a small GPU</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Freeze refinement and late-interaction architecture</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Hardware engineer</w:t>
            </w:r>
          </w:p>
        </w:tc>
        <w:tc>
          <w:tcPr>
            <w:tcW w:type="dxa" w:w="4464"/>
            <w:vAlign w:val="center"/>
            <w:tcMar>
              <w:top w:w="90" w:type="dxa"/>
              <w:start w:w="100" w:type="dxa"/>
              <w:bottom w:w="90" w:type="dxa"/>
              <w:end w:w="100" w:type="dxa"/>
            </w:tcMar>
          </w:tcPr>
          <w:p>
            <w:pPr>
              <w:spacing w:after="20" w:line="245" w:lineRule="auto"/>
            </w:pPr>
            <w:r>
              <w:rPr>
                <w:color w:val="1F2933"/>
                <w:sz w:val="16"/>
              </w:rPr>
              <w:t>200 GB/s media bandwidth is not useful goodput</w:t>
            </w:r>
          </w:p>
        </w:tc>
        <w:tc>
          <w:tcPr>
            <w:tcW w:type="dxa" w:w="3960"/>
            <w:vAlign w:val="center"/>
            <w:tcMar>
              <w:top w:w="90" w:type="dxa"/>
              <w:start w:w="100" w:type="dxa"/>
              <w:bottom w:w="90" w:type="dxa"/>
              <w:end w:w="100" w:type="dxa"/>
            </w:tcMar>
          </w:tcPr>
          <w:p>
            <w:pPr>
              <w:spacing w:after="20" w:line="245" w:lineRule="auto"/>
            </w:pPr>
            <w:r>
              <w:rPr>
                <w:color w:val="1F2933"/>
                <w:sz w:val="16"/>
              </w:rPr>
              <w:t>Characterize gather, concurrency, power and thermal corners</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Firmware engineer</w:t>
            </w:r>
          </w:p>
        </w:tc>
        <w:tc>
          <w:tcPr>
            <w:tcW w:type="dxa" w:w="4464"/>
            <w:vAlign w:val="center"/>
            <w:tcMar>
              <w:top w:w="90" w:type="dxa"/>
              <w:start w:w="100" w:type="dxa"/>
              <w:bottom w:w="90" w:type="dxa"/>
              <w:end w:w="100" w:type="dxa"/>
            </w:tcMar>
            <w:shd w:fill="F4F7F9"/>
          </w:tcPr>
          <w:p>
            <w:pPr>
              <w:spacing w:after="20" w:line="245" w:lineRule="auto"/>
            </w:pPr>
            <w:r>
              <w:rPr>
                <w:color w:val="1F2933"/>
                <w:sz w:val="16"/>
              </w:rPr>
              <w:t>Tail latency and recovery are product features</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Define queues, counters, resets and atomic data activation</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AI/compiler engineer</w:t>
            </w:r>
          </w:p>
        </w:tc>
        <w:tc>
          <w:tcPr>
            <w:tcW w:type="dxa" w:w="4464"/>
            <w:vAlign w:val="center"/>
            <w:tcMar>
              <w:top w:w="90" w:type="dxa"/>
              <w:start w:w="100" w:type="dxa"/>
              <w:bottom w:w="90" w:type="dxa"/>
              <w:end w:w="100" w:type="dxa"/>
            </w:tcMar>
          </w:tcPr>
          <w:p>
            <w:pPr>
              <w:spacing w:after="20" w:line="245" w:lineRule="auto"/>
            </w:pPr>
            <w:r>
              <w:rPr>
                <w:color w:val="1F2933"/>
                <w:sz w:val="16"/>
              </w:rPr>
              <w:t>Search primitives are as important as Transformer operators</w:t>
            </w:r>
          </w:p>
        </w:tc>
        <w:tc>
          <w:tcPr>
            <w:tcW w:type="dxa" w:w="3960"/>
            <w:vAlign w:val="center"/>
            <w:tcMar>
              <w:top w:w="90" w:type="dxa"/>
              <w:start w:w="100" w:type="dxa"/>
              <w:bottom w:w="90" w:type="dxa"/>
              <w:end w:w="100" w:type="dxa"/>
            </w:tcMar>
          </w:tcPr>
          <w:p>
            <w:pPr>
              <w:spacing w:after="20" w:line="245" w:lineRule="auto"/>
            </w:pPr>
            <w:r>
              <w:rPr>
                <w:color w:val="1F2933"/>
                <w:sz w:val="16"/>
              </w:rPr>
              <w:t>Close gather/top-k/max-sim/custom-op gaps</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Database/search engineer</w:t>
            </w:r>
          </w:p>
        </w:tc>
        <w:tc>
          <w:tcPr>
            <w:tcW w:type="dxa" w:w="4464"/>
            <w:vAlign w:val="center"/>
            <w:tcMar>
              <w:top w:w="90" w:type="dxa"/>
              <w:start w:w="100" w:type="dxa"/>
              <w:bottom w:w="90" w:type="dxa"/>
              <w:end w:w="100" w:type="dxa"/>
            </w:tcMar>
            <w:shd w:fill="F4F7F9"/>
          </w:tcPr>
          <w:p>
            <w:pPr>
              <w:spacing w:after="20" w:line="245" w:lineRule="auto"/>
            </w:pPr>
            <w:r>
              <w:rPr>
                <w:color w:val="1F2933"/>
                <w:sz w:val="16"/>
              </w:rPr>
              <w:t>Milvus remains control plane; ATMOS is a backend</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Prototype candidate-ID to local-feature scoring path</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Product manager</w:t>
            </w:r>
          </w:p>
        </w:tc>
        <w:tc>
          <w:tcPr>
            <w:tcW w:type="dxa" w:w="4464"/>
            <w:vAlign w:val="center"/>
            <w:tcMar>
              <w:top w:w="90" w:type="dxa"/>
              <w:start w:w="100" w:type="dxa"/>
              <w:bottom w:w="90" w:type="dxa"/>
              <w:end w:w="100" w:type="dxa"/>
            </w:tcMar>
          </w:tcPr>
          <w:p>
            <w:pPr>
              <w:spacing w:after="20" w:line="245" w:lineRule="auto"/>
            </w:pPr>
            <w:r>
              <w:rPr>
                <w:color w:val="1F2933"/>
                <w:sz w:val="16"/>
              </w:rPr>
              <w:t>Every use case needs buyer, SLO and displaced cost</w:t>
            </w:r>
          </w:p>
        </w:tc>
        <w:tc>
          <w:tcPr>
            <w:tcW w:type="dxa" w:w="3960"/>
            <w:vAlign w:val="center"/>
            <w:tcMar>
              <w:top w:w="90" w:type="dxa"/>
              <w:start w:w="100" w:type="dxa"/>
              <w:bottom w:w="90" w:type="dxa"/>
              <w:end w:w="100" w:type="dxa"/>
            </w:tcMar>
          </w:tcPr>
          <w:p>
            <w:pPr>
              <w:spacing w:after="20" w:line="245" w:lineRule="auto"/>
            </w:pPr>
            <w:r>
              <w:rPr>
                <w:color w:val="1F2933"/>
                <w:sz w:val="16"/>
              </w:rPr>
              <w:t>Build workload scorecards and no-fit map</w:t>
            </w:r>
          </w:p>
        </w:tc>
      </w:tr>
      <w:tr>
        <w:trPr>
          <w:cantSplit/>
        </w:trPr>
        <w:tc>
          <w:tcPr>
            <w:tcW w:type="dxa" w:w="1944"/>
            <w:vAlign w:val="center"/>
            <w:tcMar>
              <w:top w:w="90" w:type="dxa"/>
              <w:start w:w="100" w:type="dxa"/>
              <w:bottom w:w="90" w:type="dxa"/>
              <w:end w:w="100" w:type="dxa"/>
            </w:tcMar>
            <w:shd w:fill="F4F7F9"/>
          </w:tcPr>
          <w:p>
            <w:pPr>
              <w:spacing w:after="20" w:line="245" w:lineRule="auto"/>
            </w:pPr>
            <w:r>
              <w:rPr>
                <w:color w:val="1F2933"/>
                <w:sz w:val="16"/>
              </w:rPr>
              <w:t>Marketing</w:t>
            </w:r>
          </w:p>
        </w:tc>
        <w:tc>
          <w:tcPr>
            <w:tcW w:type="dxa" w:w="4464"/>
            <w:vAlign w:val="center"/>
            <w:tcMar>
              <w:top w:w="90" w:type="dxa"/>
              <w:start w:w="100" w:type="dxa"/>
              <w:bottom w:w="90" w:type="dxa"/>
              <w:end w:w="100" w:type="dxa"/>
            </w:tcMar>
            <w:shd w:fill="F4F7F9"/>
          </w:tcPr>
          <w:p>
            <w:pPr>
              <w:spacing w:after="20" w:line="245" w:lineRule="auto"/>
            </w:pPr>
            <w:r>
              <w:rPr>
                <w:color w:val="1F2933"/>
                <w:sz w:val="16"/>
              </w:rPr>
              <w:t>Do not sell raw TOPS or aggregate bandwidth</w:t>
            </w:r>
          </w:p>
        </w:tc>
        <w:tc>
          <w:tcPr>
            <w:tcW w:type="dxa" w:w="3960"/>
            <w:vAlign w:val="center"/>
            <w:tcMar>
              <w:top w:w="90" w:type="dxa"/>
              <w:start w:w="100" w:type="dxa"/>
              <w:bottom w:w="90" w:type="dxa"/>
              <w:end w:w="100" w:type="dxa"/>
            </w:tcMar>
            <w:shd w:fill="F4F7F9"/>
          </w:tcPr>
          <w:p>
            <w:pPr>
              <w:spacing w:after="20" w:line="245" w:lineRule="auto"/>
            </w:pPr>
            <w:r>
              <w:rPr>
                <w:color w:val="1F2933"/>
                <w:sz w:val="16"/>
              </w:rPr>
              <w:t>Lead with rich retrieval, data reduction and measured TCO</w:t>
            </w:r>
          </w:p>
        </w:tc>
      </w:tr>
      <w:tr>
        <w:trPr>
          <w:cantSplit/>
        </w:trPr>
        <w:tc>
          <w:tcPr>
            <w:tcW w:type="dxa" w:w="1944"/>
            <w:vAlign w:val="center"/>
            <w:tcMar>
              <w:top w:w="90" w:type="dxa"/>
              <w:start w:w="100" w:type="dxa"/>
              <w:bottom w:w="90" w:type="dxa"/>
              <w:end w:w="100" w:type="dxa"/>
            </w:tcMar>
          </w:tcPr>
          <w:p>
            <w:pPr>
              <w:spacing w:after="20" w:line="245" w:lineRule="auto"/>
            </w:pPr>
            <w:r>
              <w:rPr>
                <w:color w:val="1F2933"/>
                <w:sz w:val="16"/>
              </w:rPr>
              <w:t>Field/OEM</w:t>
            </w:r>
          </w:p>
        </w:tc>
        <w:tc>
          <w:tcPr>
            <w:tcW w:type="dxa" w:w="4464"/>
            <w:vAlign w:val="center"/>
            <w:tcMar>
              <w:top w:w="90" w:type="dxa"/>
              <w:start w:w="100" w:type="dxa"/>
              <w:bottom w:w="90" w:type="dxa"/>
              <w:end w:w="100" w:type="dxa"/>
            </w:tcMar>
          </w:tcPr>
          <w:p>
            <w:pPr>
              <w:spacing w:after="20" w:line="245" w:lineRule="auto"/>
            </w:pPr>
            <w:r>
              <w:rPr>
                <w:color w:val="1F2933"/>
                <w:sz w:val="16"/>
              </w:rPr>
              <w:t>Existing E3 bay is not automatically accelerator-ready</w:t>
            </w:r>
          </w:p>
        </w:tc>
        <w:tc>
          <w:tcPr>
            <w:tcW w:type="dxa" w:w="3960"/>
            <w:vAlign w:val="center"/>
            <w:tcMar>
              <w:top w:w="90" w:type="dxa"/>
              <w:start w:w="100" w:type="dxa"/>
              <w:bottom w:w="90" w:type="dxa"/>
              <w:end w:w="100" w:type="dxa"/>
            </w:tcMar>
          </w:tcPr>
          <w:p>
            <w:pPr>
              <w:spacing w:after="20" w:line="245" w:lineRule="auto"/>
            </w:pPr>
            <w:r>
              <w:rPr>
                <w:color w:val="1F2933"/>
                <w:sz w:val="16"/>
              </w:rPr>
              <w:t>Qualify power, airflow, lanes, BMC and service model</w:t>
            </w:r>
          </w:p>
        </w:tc>
      </w:tr>
    </w:tbl>
    <w:p>
      <w:pPr>
        <w:spacing w:after="20"/>
      </w:pPr>
    </w:p>
    <w:p>
      <w:pPr>
        <w:pStyle w:val="Title"/>
      </w:pPr>
      <w:r>
        <w:t>11. Key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5"/>
              </w:rPr>
              <w:t>Risk</w:t>
            </w:r>
          </w:p>
        </w:tc>
        <w:tc>
          <w:tcPr>
            <w:tcW w:type="dxa" w:w="3389"/>
            <w:shd w:fill="13263D"/>
            <w:vAlign w:val="center"/>
            <w:tcMar>
              <w:top w:w="90" w:type="dxa"/>
              <w:start w:w="100" w:type="dxa"/>
              <w:bottom w:w="90" w:type="dxa"/>
              <w:end w:w="100" w:type="dxa"/>
            </w:tcMar>
          </w:tcPr>
          <w:p>
            <w:r>
              <w:rPr>
                <w:b/>
                <w:color w:val="FFFFFF"/>
                <w:sz w:val="15"/>
              </w:rPr>
              <w:t>Why it matters</w:t>
            </w:r>
          </w:p>
        </w:tc>
        <w:tc>
          <w:tcPr>
            <w:tcW w:type="dxa" w:w="3389"/>
            <w:shd w:fill="13263D"/>
            <w:vAlign w:val="center"/>
            <w:tcMar>
              <w:top w:w="90" w:type="dxa"/>
              <w:start w:w="100" w:type="dxa"/>
              <w:bottom w:w="90" w:type="dxa"/>
              <w:end w:w="100" w:type="dxa"/>
            </w:tcMar>
          </w:tcPr>
          <w:p>
            <w:r>
              <w:rPr>
                <w:b/>
                <w:color w:val="FFFFFF"/>
                <w:sz w:val="15"/>
              </w:rPr>
              <w:t>Mitigation</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OEM ASIC lacks search primitives</w:t>
            </w:r>
          </w:p>
        </w:tc>
        <w:tc>
          <w:tcPr>
            <w:tcW w:type="dxa" w:w="3816"/>
            <w:vAlign w:val="center"/>
            <w:tcMar>
              <w:top w:w="90" w:type="dxa"/>
              <w:start w:w="100" w:type="dxa"/>
              <w:bottom w:w="90" w:type="dxa"/>
              <w:end w:w="100" w:type="dxa"/>
            </w:tcMar>
          </w:tcPr>
          <w:p>
            <w:pPr>
              <w:spacing w:after="20" w:line="245" w:lineRule="auto"/>
            </w:pPr>
            <w:r>
              <w:rPr>
                <w:color w:val="1F2933"/>
                <w:sz w:val="15"/>
              </w:rPr>
              <w:t>Best HBF use cases become inaccessible</w:t>
            </w:r>
          </w:p>
        </w:tc>
        <w:tc>
          <w:tcPr>
            <w:tcW w:type="dxa" w:w="4320"/>
            <w:vAlign w:val="center"/>
            <w:tcMar>
              <w:top w:w="90" w:type="dxa"/>
              <w:start w:w="100" w:type="dxa"/>
              <w:bottom w:w="90" w:type="dxa"/>
              <w:end w:w="100" w:type="dxa"/>
            </w:tcMar>
          </w:tcPr>
          <w:p>
            <w:pPr>
              <w:spacing w:after="20" w:line="245" w:lineRule="auto"/>
            </w:pPr>
            <w:r>
              <w:rPr>
                <w:color w:val="1F2933"/>
                <w:sz w:val="15"/>
              </w:rPr>
              <w:t>Make gather/top-k/max-sim/custom ops selection gates</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200 GB/s only achieved sequentially</w:t>
            </w:r>
          </w:p>
        </w:tc>
        <w:tc>
          <w:tcPr>
            <w:tcW w:type="dxa" w:w="3816"/>
            <w:vAlign w:val="center"/>
            <w:tcMar>
              <w:top w:w="90" w:type="dxa"/>
              <w:start w:w="100" w:type="dxa"/>
              <w:bottom w:w="90" w:type="dxa"/>
              <w:end w:w="100" w:type="dxa"/>
            </w:tcMar>
            <w:shd w:fill="F4F7F9"/>
          </w:tcPr>
          <w:p>
            <w:pPr>
              <w:spacing w:after="20" w:line="245" w:lineRule="auto"/>
            </w:pPr>
            <w:r>
              <w:rPr>
                <w:color w:val="1F2933"/>
                <w:sz w:val="15"/>
              </w:rPr>
              <w:t>Candidate refinement is random or batched gather</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Trace-driven characterization and data-layout co-design</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HBF update/endurance limits</w:t>
            </w:r>
          </w:p>
        </w:tc>
        <w:tc>
          <w:tcPr>
            <w:tcW w:type="dxa" w:w="3816"/>
            <w:vAlign w:val="center"/>
            <w:tcMar>
              <w:top w:w="90" w:type="dxa"/>
              <w:start w:w="100" w:type="dxa"/>
              <w:bottom w:w="90" w:type="dxa"/>
              <w:end w:w="100" w:type="dxa"/>
            </w:tcMar>
          </w:tcPr>
          <w:p>
            <w:pPr>
              <w:spacing w:after="20" w:line="245" w:lineRule="auto"/>
            </w:pPr>
            <w:r>
              <w:rPr>
                <w:color w:val="1F2933"/>
                <w:sz w:val="15"/>
              </w:rPr>
              <w:t>Indexes and embeddings change</w:t>
            </w:r>
          </w:p>
        </w:tc>
        <w:tc>
          <w:tcPr>
            <w:tcW w:type="dxa" w:w="4320"/>
            <w:vAlign w:val="center"/>
            <w:tcMar>
              <w:top w:w="90" w:type="dxa"/>
              <w:start w:w="100" w:type="dxa"/>
              <w:bottom w:w="90" w:type="dxa"/>
              <w:end w:w="100" w:type="dxa"/>
            </w:tcMar>
          </w:tcPr>
          <w:p>
            <w:pPr>
              <w:spacing w:after="20" w:line="245" w:lineRule="auto"/>
            </w:pPr>
            <w:r>
              <w:rPr>
                <w:color w:val="1F2933"/>
                <w:sz w:val="15"/>
              </w:rPr>
              <w:t>Immutable segments, delta tier, background rebuild and endurance modeling</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E3 thermal envelope is insufficient</w:t>
            </w:r>
          </w:p>
        </w:tc>
        <w:tc>
          <w:tcPr>
            <w:tcW w:type="dxa" w:w="3816"/>
            <w:vAlign w:val="center"/>
            <w:tcMar>
              <w:top w:w="90" w:type="dxa"/>
              <w:start w:w="100" w:type="dxa"/>
              <w:bottom w:w="90" w:type="dxa"/>
              <w:end w:w="100" w:type="dxa"/>
            </w:tcMar>
            <w:shd w:fill="F4F7F9"/>
          </w:tcPr>
          <w:p>
            <w:pPr>
              <w:spacing w:after="20" w:line="245" w:lineRule="auto"/>
            </w:pPr>
            <w:r>
              <w:rPr>
                <w:color w:val="1F2933"/>
                <w:sz w:val="15"/>
              </w:rPr>
              <w:t>Sustained NPU + HBF differs from SSD duty cycle</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Evaluate 2T, clocks, airflow and workload power modes</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GPU baseline is already better</w:t>
            </w:r>
          </w:p>
        </w:tc>
        <w:tc>
          <w:tcPr>
            <w:tcW w:type="dxa" w:w="3816"/>
            <w:vAlign w:val="center"/>
            <w:tcMar>
              <w:top w:w="90" w:type="dxa"/>
              <w:start w:w="100" w:type="dxa"/>
              <w:bottom w:w="90" w:type="dxa"/>
              <w:end w:w="100" w:type="dxa"/>
            </w:tcMar>
          </w:tcPr>
          <w:p>
            <w:pPr>
              <w:spacing w:after="20" w:line="245" w:lineRule="auto"/>
            </w:pPr>
            <w:r>
              <w:rPr>
                <w:color w:val="1F2933"/>
                <w:sz w:val="15"/>
              </w:rPr>
              <w:t>Mature ecosystem and high bandwidth</w:t>
            </w:r>
          </w:p>
        </w:tc>
        <w:tc>
          <w:tcPr>
            <w:tcW w:type="dxa" w:w="4320"/>
            <w:vAlign w:val="center"/>
            <w:tcMar>
              <w:top w:w="90" w:type="dxa"/>
              <w:start w:w="100" w:type="dxa"/>
              <w:bottom w:w="90" w:type="dxa"/>
              <w:end w:w="100" w:type="dxa"/>
            </w:tcMar>
          </w:tcPr>
          <w:p>
            <w:pPr>
              <w:spacing w:after="20" w:line="245" w:lineRule="auto"/>
            </w:pPr>
            <w:r>
              <w:rPr>
                <w:color w:val="1F2933"/>
                <w:sz w:val="15"/>
              </w:rPr>
              <w:t>Compete on persistent capacity, data reduction, power and role specialization</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Software integration burden shifts to Sandisk</w:t>
            </w:r>
          </w:p>
        </w:tc>
        <w:tc>
          <w:tcPr>
            <w:tcW w:type="dxa" w:w="3816"/>
            <w:vAlign w:val="center"/>
            <w:tcMar>
              <w:top w:w="90" w:type="dxa"/>
              <w:start w:w="100" w:type="dxa"/>
              <w:bottom w:w="90" w:type="dxa"/>
              <w:end w:w="100" w:type="dxa"/>
            </w:tcMar>
            <w:shd w:fill="F4F7F9"/>
          </w:tcPr>
          <w:p>
            <w:pPr>
              <w:spacing w:after="20" w:line="245" w:lineRule="auto"/>
            </w:pPr>
            <w:r>
              <w:rPr>
                <w:color w:val="1F2933"/>
                <w:sz w:val="15"/>
              </w:rPr>
              <w:t>Company does not want to own APIs</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Stable backend SDK plus funded partner strategy</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Moderate enterprise volume is too low</w:t>
            </w:r>
          </w:p>
        </w:tc>
        <w:tc>
          <w:tcPr>
            <w:tcW w:type="dxa" w:w="3816"/>
            <w:vAlign w:val="center"/>
            <w:tcMar>
              <w:top w:w="90" w:type="dxa"/>
              <w:start w:w="100" w:type="dxa"/>
              <w:bottom w:w="90" w:type="dxa"/>
              <w:end w:w="100" w:type="dxa"/>
            </w:tcMar>
          </w:tcPr>
          <w:p>
            <w:pPr>
              <w:spacing w:after="20" w:line="245" w:lineRule="auto"/>
            </w:pPr>
            <w:r>
              <w:rPr>
                <w:color w:val="1F2933"/>
                <w:sz w:val="15"/>
              </w:rPr>
              <w:t>CPU/DRAM remains cheaper</w:t>
            </w:r>
          </w:p>
        </w:tc>
        <w:tc>
          <w:tcPr>
            <w:tcW w:type="dxa" w:w="4320"/>
            <w:vAlign w:val="center"/>
            <w:tcMar>
              <w:top w:w="90" w:type="dxa"/>
              <w:start w:w="100" w:type="dxa"/>
              <w:bottom w:w="90" w:type="dxa"/>
              <w:end w:w="100" w:type="dxa"/>
            </w:tcMar>
          </w:tcPr>
          <w:p>
            <w:pPr>
              <w:spacing w:after="20" w:line="245" w:lineRule="auto"/>
            </w:pPr>
            <w:r>
              <w:rPr>
                <w:color w:val="1F2933"/>
                <w:sz w:val="15"/>
              </w:rPr>
              <w:t>Target high-value quality workloads and avoid horizontal claims</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Hyperscaler has custom silicon</w:t>
            </w:r>
          </w:p>
        </w:tc>
        <w:tc>
          <w:tcPr>
            <w:tcW w:type="dxa" w:w="3816"/>
            <w:vAlign w:val="center"/>
            <w:tcMar>
              <w:top w:w="90" w:type="dxa"/>
              <w:start w:w="100" w:type="dxa"/>
              <w:bottom w:w="90" w:type="dxa"/>
              <w:end w:w="100" w:type="dxa"/>
            </w:tcMar>
            <w:shd w:fill="F4F7F9"/>
          </w:tcPr>
          <w:p>
            <w:pPr>
              <w:spacing w:after="20" w:line="245" w:lineRule="auto"/>
            </w:pPr>
            <w:r>
              <w:rPr>
                <w:color w:val="1F2933"/>
                <w:sz w:val="15"/>
              </w:rPr>
              <w:t>High replacement barrier</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Offer HBF/media advantage and co-design as a memory/data-plane component</w:t>
            </w:r>
          </w:p>
        </w:tc>
      </w:tr>
      <w:tr>
        <w:trPr>
          <w:cantSplit/>
        </w:trPr>
        <w:tc>
          <w:tcPr>
            <w:tcW w:type="dxa" w:w="2376"/>
            <w:vAlign w:val="center"/>
            <w:tcMar>
              <w:top w:w="90" w:type="dxa"/>
              <w:start w:w="100" w:type="dxa"/>
              <w:bottom w:w="90" w:type="dxa"/>
              <w:end w:w="100" w:type="dxa"/>
            </w:tcMar>
          </w:tcPr>
          <w:p>
            <w:pPr>
              <w:spacing w:after="20" w:line="245" w:lineRule="auto"/>
            </w:pPr>
            <w:r>
              <w:rPr>
                <w:color w:val="1F2933"/>
                <w:sz w:val="15"/>
              </w:rPr>
              <w:t>Cross-device model story expands scope</w:t>
            </w:r>
          </w:p>
        </w:tc>
        <w:tc>
          <w:tcPr>
            <w:tcW w:type="dxa" w:w="3816"/>
            <w:vAlign w:val="center"/>
            <w:tcMar>
              <w:top w:w="90" w:type="dxa"/>
              <w:start w:w="100" w:type="dxa"/>
              <w:bottom w:w="90" w:type="dxa"/>
              <w:end w:w="100" w:type="dxa"/>
            </w:tcMar>
          </w:tcPr>
          <w:p>
            <w:pPr>
              <w:spacing w:after="20" w:line="245" w:lineRule="auto"/>
            </w:pPr>
            <w:r>
              <w:rPr>
                <w:color w:val="1F2933"/>
                <w:sz w:val="15"/>
              </w:rPr>
              <w:t>PCIe lacks coherent high-speed model fabric</w:t>
            </w:r>
          </w:p>
        </w:tc>
        <w:tc>
          <w:tcPr>
            <w:tcW w:type="dxa" w:w="4320"/>
            <w:vAlign w:val="center"/>
            <w:tcMar>
              <w:top w:w="90" w:type="dxa"/>
              <w:start w:w="100" w:type="dxa"/>
              <w:bottom w:w="90" w:type="dxa"/>
              <w:end w:w="100" w:type="dxa"/>
            </w:tcMar>
          </w:tcPr>
          <w:p>
            <w:pPr>
              <w:spacing w:after="20" w:line="245" w:lineRule="auto"/>
            </w:pPr>
            <w:r>
              <w:rPr>
                <w:color w:val="1F2933"/>
                <w:sz w:val="15"/>
              </w:rPr>
              <w:t>Keep E3.S to shards; reserve integrated card for tightly coupled models</w:t>
            </w:r>
          </w:p>
        </w:tc>
      </w:tr>
      <w:tr>
        <w:trPr>
          <w:cantSplit/>
        </w:trPr>
        <w:tc>
          <w:tcPr>
            <w:tcW w:type="dxa" w:w="2376"/>
            <w:vAlign w:val="center"/>
            <w:tcMar>
              <w:top w:w="90" w:type="dxa"/>
              <w:start w:w="100" w:type="dxa"/>
              <w:bottom w:w="90" w:type="dxa"/>
              <w:end w:w="100" w:type="dxa"/>
            </w:tcMar>
            <w:shd w:fill="F4F7F9"/>
          </w:tcPr>
          <w:p>
            <w:pPr>
              <w:spacing w:after="20" w:line="245" w:lineRule="auto"/>
            </w:pPr>
            <w:r>
              <w:rPr>
                <w:color w:val="1F2933"/>
                <w:sz w:val="15"/>
              </w:rPr>
              <w:t>Marketing overstates 1.6 TB/s</w:t>
            </w:r>
          </w:p>
        </w:tc>
        <w:tc>
          <w:tcPr>
            <w:tcW w:type="dxa" w:w="3816"/>
            <w:vAlign w:val="center"/>
            <w:tcMar>
              <w:top w:w="90" w:type="dxa"/>
              <w:start w:w="100" w:type="dxa"/>
              <w:bottom w:w="90" w:type="dxa"/>
              <w:end w:w="100" w:type="dxa"/>
            </w:tcMar>
            <w:shd w:fill="F4F7F9"/>
          </w:tcPr>
          <w:p>
            <w:pPr>
              <w:spacing w:after="20" w:line="245" w:lineRule="auto"/>
            </w:pPr>
            <w:r>
              <w:rPr>
                <w:color w:val="1F2933"/>
                <w:sz w:val="15"/>
              </w:rPr>
              <w:t>Aggregate figure misunderstood</w:t>
            </w:r>
          </w:p>
        </w:tc>
        <w:tc>
          <w:tcPr>
            <w:tcW w:type="dxa" w:w="4320"/>
            <w:vAlign w:val="center"/>
            <w:tcMar>
              <w:top w:w="90" w:type="dxa"/>
              <w:start w:w="100" w:type="dxa"/>
              <w:bottom w:w="90" w:type="dxa"/>
              <w:end w:w="100" w:type="dxa"/>
            </w:tcMar>
            <w:shd w:fill="F4F7F9"/>
          </w:tcPr>
          <w:p>
            <w:pPr>
              <w:spacing w:after="20" w:line="245" w:lineRule="auto"/>
            </w:pPr>
            <w:r>
              <w:rPr>
                <w:color w:val="1F2933"/>
                <w:sz w:val="15"/>
              </w:rPr>
              <w:t>Always state 200 GB/s per device and conditions for aggregate scaling</w:t>
            </w:r>
          </w:p>
        </w:tc>
      </w:tr>
    </w:tbl>
    <w:p>
      <w:pPr>
        <w:spacing w:after="20"/>
      </w:pPr>
    </w:p>
    <w:p>
      <w:pPr>
        <w:pStyle w:val="Title"/>
      </w:pPr>
      <w:r>
        <w:t>12. Final Recommendation</w:t>
      </w:r>
    </w:p>
    <w:tbl>
      <w:tblPr>
        <w:tblW w:type="auto" w:w="0"/>
        <w:jc w:val="center"/>
        <w:tblLook w:firstColumn="1" w:firstRow="1" w:lastColumn="0" w:lastRow="0" w:noHBand="0" w:noVBand="1" w:val="04A0"/>
      </w:tblPr>
      <w:tblGrid>
        <w:gridCol w:w="10166"/>
      </w:tblGrid>
      <w:tr>
        <w:trPr>
          <w:cantSplit/>
        </w:trPr>
        <w:tc>
          <w:tcPr>
            <w:tcW w:type="dxa" w:w="10166"/>
            <w:shd w:fill="DCEAF2"/>
            <w:tcMar>
              <w:top w:w="150" w:type="dxa"/>
              <w:start w:w="180" w:type="dxa"/>
              <w:bottom w:w="150" w:type="dxa"/>
              <w:end w:w="180" w:type="dxa"/>
            </w:tcMar>
          </w:tcPr>
          <w:p>
            <w:pPr>
              <w:pStyle w:val="Callout"/>
            </w:pPr>
            <w:r>
              <w:t>Proceed with an HBF-first feasibility program. Make candidate refinement and late-interaction retrieval the two primary product POCs. Add a vertical reusable-feature POC and a hyperscaler recommendation/search co-design track. Keep dense-model streaming as a measured secondary capability. Stop any use case whose value reduces to cold start, inactive model storage or running a small model that fits entirely in LPDDR.</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Decision</w:t>
            </w:r>
          </w:p>
        </w:tc>
        <w:tc>
          <w:tcPr>
            <w:tcW w:type="dxa" w:w="5083"/>
            <w:shd w:fill="13263D"/>
            <w:vAlign w:val="center"/>
            <w:tcMar>
              <w:top w:w="90" w:type="dxa"/>
              <w:start w:w="100" w:type="dxa"/>
              <w:bottom w:w="90" w:type="dxa"/>
              <w:end w:w="100" w:type="dxa"/>
            </w:tcMar>
          </w:tcPr>
          <w:p>
            <w:r>
              <w:rPr>
                <w:b/>
                <w:color w:val="FFFFFF"/>
                <w:sz w:val="16"/>
              </w:rPr>
              <w:t>Recommendation</w:t>
            </w:r>
          </w:p>
        </w:tc>
      </w:tr>
      <w:tr>
        <w:trPr>
          <w:cantSplit/>
        </w:trPr>
        <w:tc>
          <w:tcPr>
            <w:tcW w:type="dxa" w:w="2520"/>
            <w:vAlign w:val="center"/>
            <w:tcMar>
              <w:top w:w="90" w:type="dxa"/>
              <w:start w:w="100" w:type="dxa"/>
              <w:bottom w:w="90" w:type="dxa"/>
              <w:end w:w="100" w:type="dxa"/>
            </w:tcMar>
          </w:tcPr>
          <w:p>
            <w:pPr>
              <w:spacing w:after="20" w:line="245" w:lineRule="auto"/>
            </w:pPr>
            <w:r>
              <w:rPr>
                <w:color w:val="1F2933"/>
                <w:sz w:val="16"/>
              </w:rPr>
              <w:t>Primary product identity</w:t>
            </w:r>
          </w:p>
        </w:tc>
        <w:tc>
          <w:tcPr>
            <w:tcW w:type="dxa" w:w="7704"/>
            <w:vAlign w:val="center"/>
            <w:tcMar>
              <w:top w:w="90" w:type="dxa"/>
              <w:start w:w="100" w:type="dxa"/>
              <w:bottom w:w="90" w:type="dxa"/>
              <w:end w:w="100" w:type="dxa"/>
            </w:tcMar>
          </w:tcPr>
          <w:p>
            <w:pPr>
              <w:spacing w:after="20" w:line="245" w:lineRule="auto"/>
            </w:pPr>
            <w:r>
              <w:rPr>
                <w:color w:val="1F2933"/>
                <w:sz w:val="16"/>
              </w:rPr>
              <w:t>Persistent high-bandwidth neural retrieval and model-memory tier</w:t>
            </w:r>
          </w:p>
        </w:tc>
      </w:tr>
      <w:tr>
        <w:trPr>
          <w:cantSplit/>
        </w:trPr>
        <w:tc>
          <w:tcPr>
            <w:tcW w:type="dxa" w:w="2520"/>
            <w:vAlign w:val="center"/>
            <w:tcMar>
              <w:top w:w="90" w:type="dxa"/>
              <w:start w:w="100" w:type="dxa"/>
              <w:bottom w:w="90" w:type="dxa"/>
              <w:end w:w="100" w:type="dxa"/>
            </w:tcMar>
            <w:shd w:fill="F4F7F9"/>
          </w:tcPr>
          <w:p>
            <w:pPr>
              <w:spacing w:after="20" w:line="245" w:lineRule="auto"/>
            </w:pPr>
            <w:r>
              <w:rPr>
                <w:color w:val="1F2933"/>
                <w:sz w:val="16"/>
              </w:rPr>
              <w:t>Primary enterprise use</w:t>
            </w:r>
          </w:p>
        </w:tc>
        <w:tc>
          <w:tcPr>
            <w:tcW w:type="dxa" w:w="7704"/>
            <w:vAlign w:val="center"/>
            <w:tcMar>
              <w:top w:w="90" w:type="dxa"/>
              <w:start w:w="100" w:type="dxa"/>
              <w:bottom w:w="90" w:type="dxa"/>
              <w:end w:w="100" w:type="dxa"/>
            </w:tcMar>
            <w:shd w:fill="F4F7F9"/>
          </w:tcPr>
          <w:p>
            <w:pPr>
              <w:spacing w:after="20" w:line="245" w:lineRule="auto"/>
            </w:pPr>
            <w:r>
              <w:rPr>
                <w:color w:val="1F2933"/>
                <w:sz w:val="16"/>
              </w:rPr>
              <w:t>Milvus-integrated candidate refinement and high-accuracy multi-vector retrieval</w:t>
            </w:r>
          </w:p>
        </w:tc>
      </w:tr>
      <w:tr>
        <w:trPr>
          <w:cantSplit/>
        </w:trPr>
        <w:tc>
          <w:tcPr>
            <w:tcW w:type="dxa" w:w="2520"/>
            <w:vAlign w:val="center"/>
            <w:tcMar>
              <w:top w:w="90" w:type="dxa"/>
              <w:start w:w="100" w:type="dxa"/>
              <w:bottom w:w="90" w:type="dxa"/>
              <w:end w:w="100" w:type="dxa"/>
            </w:tcMar>
          </w:tcPr>
          <w:p>
            <w:pPr>
              <w:spacing w:after="20" w:line="245" w:lineRule="auto"/>
            </w:pPr>
            <w:r>
              <w:rPr>
                <w:color w:val="1F2933"/>
                <w:sz w:val="16"/>
              </w:rPr>
              <w:t>Primary verticals</w:t>
            </w:r>
          </w:p>
        </w:tc>
        <w:tc>
          <w:tcPr>
            <w:tcW w:type="dxa" w:w="7704"/>
            <w:vAlign w:val="center"/>
            <w:tcMar>
              <w:top w:w="90" w:type="dxa"/>
              <w:start w:w="100" w:type="dxa"/>
              <w:bottom w:w="90" w:type="dxa"/>
              <w:end w:w="100" w:type="dxa"/>
            </w:tcMar>
          </w:tcPr>
          <w:p>
            <w:pPr>
              <w:spacing w:after="20" w:line="245" w:lineRule="auto"/>
            </w:pPr>
            <w:r>
              <w:rPr>
                <w:color w:val="1F2933"/>
                <w:sz w:val="16"/>
              </w:rPr>
              <w:t>Financial services, legal/compliance, manufacturing/semiconductor, healthcare and insurance</w:t>
            </w:r>
          </w:p>
        </w:tc>
      </w:tr>
      <w:tr>
        <w:trPr>
          <w:cantSplit/>
        </w:trPr>
        <w:tc>
          <w:tcPr>
            <w:tcW w:type="dxa" w:w="2520"/>
            <w:vAlign w:val="center"/>
            <w:tcMar>
              <w:top w:w="90" w:type="dxa"/>
              <w:start w:w="100" w:type="dxa"/>
              <w:bottom w:w="90" w:type="dxa"/>
              <w:end w:w="100" w:type="dxa"/>
            </w:tcMar>
            <w:shd w:fill="F4F7F9"/>
          </w:tcPr>
          <w:p>
            <w:pPr>
              <w:spacing w:after="20" w:line="245" w:lineRule="auto"/>
            </w:pPr>
            <w:r>
              <w:rPr>
                <w:color w:val="1F2933"/>
                <w:sz w:val="16"/>
              </w:rPr>
              <w:t>Primary hyperscaler use</w:t>
            </w:r>
          </w:p>
        </w:tc>
        <w:tc>
          <w:tcPr>
            <w:tcW w:type="dxa" w:w="7704"/>
            <w:vAlign w:val="center"/>
            <w:tcMar>
              <w:top w:w="90" w:type="dxa"/>
              <w:start w:w="100" w:type="dxa"/>
              <w:bottom w:w="90" w:type="dxa"/>
              <w:end w:w="100" w:type="dxa"/>
            </w:tcMar>
            <w:shd w:fill="F4F7F9"/>
          </w:tcPr>
          <w:p>
            <w:pPr>
              <w:spacing w:after="20" w:line="245" w:lineRule="auto"/>
            </w:pPr>
            <w:r>
              <w:rPr>
                <w:color w:val="1F2933"/>
                <w:sz w:val="16"/>
              </w:rPr>
              <w:t>Full-vector refinement, ranking-funnel reduction and memory-heavy embedding-table access</w:t>
            </w:r>
          </w:p>
        </w:tc>
      </w:tr>
      <w:tr>
        <w:trPr>
          <w:cantSplit/>
        </w:trPr>
        <w:tc>
          <w:tcPr>
            <w:tcW w:type="dxa" w:w="2520"/>
            <w:vAlign w:val="center"/>
            <w:tcMar>
              <w:top w:w="90" w:type="dxa"/>
              <w:start w:w="100" w:type="dxa"/>
              <w:bottom w:w="90" w:type="dxa"/>
              <w:end w:w="100" w:type="dxa"/>
            </w:tcMar>
          </w:tcPr>
          <w:p>
            <w:pPr>
              <w:spacing w:after="20" w:line="245" w:lineRule="auto"/>
            </w:pPr>
            <w:r>
              <w:rPr>
                <w:color w:val="1F2933"/>
                <w:sz w:val="16"/>
              </w:rPr>
              <w:t>Primary neocloud offer</w:t>
            </w:r>
          </w:p>
        </w:tc>
        <w:tc>
          <w:tcPr>
            <w:tcW w:type="dxa" w:w="7704"/>
            <w:vAlign w:val="center"/>
            <w:tcMar>
              <w:top w:w="90" w:type="dxa"/>
              <w:start w:w="100" w:type="dxa"/>
              <w:bottom w:w="90" w:type="dxa"/>
              <w:end w:w="100" w:type="dxa"/>
            </w:tcMar>
          </w:tcPr>
          <w:p>
            <w:pPr>
              <w:spacing w:after="20" w:line="245" w:lineRule="auto"/>
            </w:pPr>
            <w:r>
              <w:rPr>
                <w:color w:val="1F2933"/>
                <w:sz w:val="16"/>
              </w:rPr>
              <w:t>Retrieval-optimized server SKU beside GPU generation nodes</w:t>
            </w:r>
          </w:p>
        </w:tc>
      </w:tr>
      <w:tr>
        <w:trPr>
          <w:cantSplit/>
        </w:trPr>
        <w:tc>
          <w:tcPr>
            <w:tcW w:type="dxa" w:w="2520"/>
            <w:vAlign w:val="center"/>
            <w:tcMar>
              <w:top w:w="90" w:type="dxa"/>
              <w:start w:w="100" w:type="dxa"/>
              <w:bottom w:w="90" w:type="dxa"/>
              <w:end w:w="100" w:type="dxa"/>
            </w:tcMar>
            <w:shd w:fill="F4F7F9"/>
          </w:tcPr>
          <w:p>
            <w:pPr>
              <w:spacing w:after="20" w:line="245" w:lineRule="auto"/>
            </w:pPr>
            <w:r>
              <w:rPr>
                <w:color w:val="1F2933"/>
                <w:sz w:val="16"/>
              </w:rPr>
              <w:t>Secondary capability</w:t>
            </w:r>
          </w:p>
        </w:tc>
        <w:tc>
          <w:tcPr>
            <w:tcW w:type="dxa" w:w="7704"/>
            <w:vAlign w:val="center"/>
            <w:tcMar>
              <w:top w:w="90" w:type="dxa"/>
              <w:start w:w="100" w:type="dxa"/>
              <w:bottom w:w="90" w:type="dxa"/>
              <w:end w:w="100" w:type="dxa"/>
            </w:tcMar>
            <w:shd w:fill="F4F7F9"/>
          </w:tcPr>
          <w:p>
            <w:pPr>
              <w:spacing w:after="20" w:line="245" w:lineRule="auto"/>
            </w:pPr>
            <w:r>
              <w:rPr>
                <w:color w:val="1F2933"/>
                <w:sz w:val="16"/>
              </w:rPr>
              <w:t>20B–32B dense model streaming for low-volume/private inference</w:t>
            </w:r>
          </w:p>
        </w:tc>
      </w:tr>
      <w:tr>
        <w:trPr>
          <w:cantSplit/>
        </w:trPr>
        <w:tc>
          <w:tcPr>
            <w:tcW w:type="dxa" w:w="2520"/>
            <w:vAlign w:val="center"/>
            <w:tcMar>
              <w:top w:w="90" w:type="dxa"/>
              <w:start w:w="100" w:type="dxa"/>
              <w:bottom w:w="90" w:type="dxa"/>
              <w:end w:w="100" w:type="dxa"/>
            </w:tcMar>
          </w:tcPr>
          <w:p>
            <w:pPr>
              <w:spacing w:after="20" w:line="245" w:lineRule="auto"/>
            </w:pPr>
            <w:r>
              <w:rPr>
                <w:color w:val="1F2933"/>
                <w:sz w:val="16"/>
              </w:rPr>
              <w:t>Research only</w:t>
            </w:r>
          </w:p>
        </w:tc>
        <w:tc>
          <w:tcPr>
            <w:tcW w:type="dxa" w:w="7704"/>
            <w:vAlign w:val="center"/>
            <w:tcMar>
              <w:top w:w="90" w:type="dxa"/>
              <w:start w:w="100" w:type="dxa"/>
              <w:bottom w:w="90" w:type="dxa"/>
              <w:end w:w="100" w:type="dxa"/>
            </w:tcMar>
          </w:tcPr>
          <w:p>
            <w:pPr>
              <w:spacing w:after="20" w:line="245" w:lineRule="auto"/>
            </w:pPr>
            <w:r>
              <w:rPr>
                <w:color w:val="1F2933"/>
                <w:sz w:val="16"/>
              </w:rPr>
              <w:t>Single-device MoE expert bank and semantic cache</w:t>
            </w:r>
          </w:p>
        </w:tc>
      </w:tr>
      <w:tr>
        <w:trPr>
          <w:cantSplit/>
        </w:trPr>
        <w:tc>
          <w:tcPr>
            <w:tcW w:type="dxa" w:w="2520"/>
            <w:vAlign w:val="center"/>
            <w:tcMar>
              <w:top w:w="90" w:type="dxa"/>
              <w:start w:w="100" w:type="dxa"/>
              <w:bottom w:w="90" w:type="dxa"/>
              <w:end w:w="100" w:type="dxa"/>
            </w:tcMar>
            <w:shd w:fill="F4F7F9"/>
          </w:tcPr>
          <w:p>
            <w:pPr>
              <w:spacing w:after="20" w:line="245" w:lineRule="auto"/>
            </w:pPr>
            <w:r>
              <w:rPr>
                <w:color w:val="1F2933"/>
                <w:sz w:val="16"/>
              </w:rPr>
              <w:t>Reject as headline</w:t>
            </w:r>
          </w:p>
        </w:tc>
        <w:tc>
          <w:tcPr>
            <w:tcW w:type="dxa" w:w="7704"/>
            <w:vAlign w:val="center"/>
            <w:tcMar>
              <w:top w:w="90" w:type="dxa"/>
              <w:start w:w="100" w:type="dxa"/>
              <w:bottom w:w="90" w:type="dxa"/>
              <w:end w:w="100" w:type="dxa"/>
            </w:tcMar>
            <w:shd w:fill="F4F7F9"/>
          </w:tcPr>
          <w:p>
            <w:pPr>
              <w:spacing w:after="20" w:line="245" w:lineRule="auto"/>
            </w:pPr>
            <w:r>
              <w:rPr>
                <w:color w:val="1F2933"/>
                <w:sz w:val="16"/>
              </w:rPr>
              <w:t>Embedding alone, guard models, cold start, inactive model archive and cross-device MoE</w:t>
            </w:r>
          </w:p>
        </w:tc>
      </w:tr>
    </w:tbl>
    <w:p>
      <w:pPr>
        <w:spacing w:after="20"/>
      </w:pPr>
    </w:p>
    <w:tbl>
      <w:tblPr>
        <w:tblW w:type="auto" w:w="0"/>
        <w:jc w:val="center"/>
        <w:tblLook w:firstColumn="1" w:firstRow="1" w:lastColumn="0" w:lastRow="0" w:noHBand="0" w:noVBand="1" w:val="04A0"/>
      </w:tblPr>
      <w:tblGrid>
        <w:gridCol w:w="10166"/>
      </w:tblGrid>
      <w:tr>
        <w:trPr>
          <w:cantSplit/>
        </w:trPr>
        <w:tc>
          <w:tcPr>
            <w:tcW w:type="dxa" w:w="10166"/>
            <w:shd w:fill="FCE8E6"/>
            <w:tcMar>
              <w:top w:w="150" w:type="dxa"/>
              <w:start w:w="180" w:type="dxa"/>
              <w:bottom w:w="150" w:type="dxa"/>
              <w:end w:w="180" w:type="dxa"/>
            </w:tcMar>
          </w:tcPr>
          <w:p>
            <w:pPr>
              <w:pStyle w:val="Callout"/>
            </w:pPr>
            <w:r>
              <w:t>Management decision requested: authorize a gated 12-week program whose success criterion is at least one measured workload that continuously consumes HBF and demonstrates a material quality, SLO, power or TCO advantage over CPU/DRAM, NVMe and GPU alternatives.</w:t>
            </w:r>
          </w:p>
        </w:tc>
      </w:tr>
    </w:tbl>
    <w:p>
      <w:pPr>
        <w:spacing w:after="20"/>
      </w:pPr>
    </w:p>
    <w:p>
      <w:r>
        <w:br w:type="page"/>
      </w:r>
    </w:p>
    <w:p>
      <w:pPr>
        <w:pStyle w:val="Title"/>
      </w:pPr>
      <w:r>
        <w:t>Appendix A. Benchmark and TCO Scorecard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3263D"/>
            <w:vAlign w:val="center"/>
            <w:tcMar>
              <w:top w:w="90" w:type="dxa"/>
              <w:start w:w="100" w:type="dxa"/>
              <w:bottom w:w="90" w:type="dxa"/>
              <w:end w:w="100" w:type="dxa"/>
            </w:tcMar>
          </w:tcPr>
          <w:p>
            <w:r>
              <w:rPr>
                <w:b/>
                <w:color w:val="FFFFFF"/>
                <w:sz w:val="16"/>
              </w:rPr>
              <w:t>Category</w:t>
            </w:r>
          </w:p>
        </w:tc>
        <w:tc>
          <w:tcPr>
            <w:tcW w:type="dxa" w:w="5083"/>
            <w:shd w:fill="13263D"/>
            <w:vAlign w:val="center"/>
            <w:tcMar>
              <w:top w:w="90" w:type="dxa"/>
              <w:start w:w="100" w:type="dxa"/>
              <w:bottom w:w="90" w:type="dxa"/>
              <w:end w:w="100" w:type="dxa"/>
            </w:tcMar>
          </w:tcPr>
          <w:p>
            <w:r>
              <w:rPr>
                <w:b/>
                <w:color w:val="FFFFFF"/>
                <w:sz w:val="16"/>
              </w:rPr>
              <w:t>Required metrics</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6"/>
              </w:rPr>
              <w:t>Quality</w:t>
            </w:r>
          </w:p>
        </w:tc>
        <w:tc>
          <w:tcPr>
            <w:tcW w:type="dxa" w:w="8208"/>
            <w:vAlign w:val="center"/>
            <w:tcMar>
              <w:top w:w="90" w:type="dxa"/>
              <w:start w:w="100" w:type="dxa"/>
              <w:bottom w:w="90" w:type="dxa"/>
              <w:end w:w="100" w:type="dxa"/>
            </w:tcMar>
          </w:tcPr>
          <w:p>
            <w:pPr>
              <w:spacing w:after="20" w:line="245" w:lineRule="auto"/>
            </w:pPr>
            <w:r>
              <w:rPr>
                <w:color w:val="1F2933"/>
                <w:sz w:val="16"/>
              </w:rPr>
              <w:t>Recall@10/100, NDCG@10, MRR, context precision, grounded-answer rate and task-specific accuracy</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6"/>
              </w:rPr>
              <w:t>Latency</w:t>
            </w:r>
          </w:p>
        </w:tc>
        <w:tc>
          <w:tcPr>
            <w:tcW w:type="dxa" w:w="8208"/>
            <w:vAlign w:val="center"/>
            <w:tcMar>
              <w:top w:w="90" w:type="dxa"/>
              <w:start w:w="100" w:type="dxa"/>
              <w:bottom w:w="90" w:type="dxa"/>
              <w:end w:w="100" w:type="dxa"/>
            </w:tcMar>
            <w:shd w:fill="F4F7F9"/>
          </w:tcPr>
          <w:p>
            <w:pPr>
              <w:spacing w:after="20" w:line="245" w:lineRule="auto"/>
            </w:pPr>
            <w:r>
              <w:rPr>
                <w:color w:val="1F2933"/>
                <w:sz w:val="16"/>
              </w:rPr>
              <w:t>p50/p95/p99, queueing, device time, host time, fan-out and merge</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6"/>
              </w:rPr>
              <w:t>Throughput</w:t>
            </w:r>
          </w:p>
        </w:tc>
        <w:tc>
          <w:tcPr>
            <w:tcW w:type="dxa" w:w="8208"/>
            <w:vAlign w:val="center"/>
            <w:tcMar>
              <w:top w:w="90" w:type="dxa"/>
              <w:start w:w="100" w:type="dxa"/>
              <w:bottom w:w="90" w:type="dxa"/>
              <w:end w:w="100" w:type="dxa"/>
            </w:tcMar>
          </w:tcPr>
          <w:p>
            <w:pPr>
              <w:spacing w:after="20" w:line="245" w:lineRule="auto"/>
            </w:pPr>
            <w:r>
              <w:rPr>
                <w:color w:val="1F2933"/>
                <w:sz w:val="16"/>
              </w:rPr>
              <w:t>QPS, candidates/s, pairs/s, tokens/s and saturation curve</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6"/>
              </w:rPr>
              <w:t>Memory</w:t>
            </w:r>
          </w:p>
        </w:tc>
        <w:tc>
          <w:tcPr>
            <w:tcW w:type="dxa" w:w="8208"/>
            <w:vAlign w:val="center"/>
            <w:tcMar>
              <w:top w:w="90" w:type="dxa"/>
              <w:start w:w="100" w:type="dxa"/>
              <w:bottom w:w="90" w:type="dxa"/>
              <w:end w:w="100" w:type="dxa"/>
            </w:tcMar>
            <w:shd w:fill="F4F7F9"/>
          </w:tcPr>
          <w:p>
            <w:pPr>
              <w:spacing w:after="20" w:line="245" w:lineRule="auto"/>
            </w:pPr>
            <w:r>
              <w:rPr>
                <w:color w:val="1F2933"/>
                <w:sz w:val="16"/>
              </w:rPr>
              <w:t>HBF occupancy, useful bytes/read, read amplification, LPDDR occupancy and cache hit</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6"/>
              </w:rPr>
              <w:t>Compute</w:t>
            </w:r>
          </w:p>
        </w:tc>
        <w:tc>
          <w:tcPr>
            <w:tcW w:type="dxa" w:w="8208"/>
            <w:vAlign w:val="center"/>
            <w:tcMar>
              <w:top w:w="90" w:type="dxa"/>
              <w:start w:w="100" w:type="dxa"/>
              <w:bottom w:w="90" w:type="dxa"/>
              <w:end w:w="100" w:type="dxa"/>
            </w:tcMar>
          </w:tcPr>
          <w:p>
            <w:pPr>
              <w:spacing w:after="20" w:line="245" w:lineRule="auto"/>
            </w:pPr>
            <w:r>
              <w:rPr>
                <w:color w:val="1F2933"/>
                <w:sz w:val="16"/>
              </w:rPr>
              <w:t>NPU utilization, operator mix, graph breaks and CPU fallback</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6"/>
              </w:rPr>
              <w:t>Interconnect</w:t>
            </w:r>
          </w:p>
        </w:tc>
        <w:tc>
          <w:tcPr>
            <w:tcW w:type="dxa" w:w="8208"/>
            <w:vAlign w:val="center"/>
            <w:tcMar>
              <w:top w:w="90" w:type="dxa"/>
              <w:start w:w="100" w:type="dxa"/>
              <w:bottom w:w="90" w:type="dxa"/>
              <w:end w:w="100" w:type="dxa"/>
            </w:tcMar>
            <w:shd w:fill="F4F7F9"/>
          </w:tcPr>
          <w:p>
            <w:pPr>
              <w:spacing w:after="20" w:line="245" w:lineRule="auto"/>
            </w:pPr>
            <w:r>
              <w:rPr>
                <w:color w:val="1F2933"/>
                <w:sz w:val="16"/>
              </w:rPr>
              <w:t>PCIe ingress/egress, switch uplink usage and network bytes/query</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6"/>
              </w:rPr>
              <w:t>Power</w:t>
            </w:r>
          </w:p>
        </w:tc>
        <w:tc>
          <w:tcPr>
            <w:tcW w:type="dxa" w:w="8208"/>
            <w:vAlign w:val="center"/>
            <w:tcMar>
              <w:top w:w="90" w:type="dxa"/>
              <w:start w:w="100" w:type="dxa"/>
              <w:bottom w:w="90" w:type="dxa"/>
              <w:end w:w="100" w:type="dxa"/>
            </w:tcMar>
          </w:tcPr>
          <w:p>
            <w:pPr>
              <w:spacing w:after="20" w:line="245" w:lineRule="auto"/>
            </w:pPr>
            <w:r>
              <w:rPr>
                <w:color w:val="1F2933"/>
                <w:sz w:val="16"/>
              </w:rPr>
              <w:t>Idle, active, peak, queries/W and energy per accepted result</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6"/>
              </w:rPr>
              <w:t>Operations</w:t>
            </w:r>
          </w:p>
        </w:tc>
        <w:tc>
          <w:tcPr>
            <w:tcW w:type="dxa" w:w="8208"/>
            <w:vAlign w:val="center"/>
            <w:tcMar>
              <w:top w:w="90" w:type="dxa"/>
              <w:start w:w="100" w:type="dxa"/>
              <w:bottom w:w="90" w:type="dxa"/>
              <w:end w:w="100" w:type="dxa"/>
            </w:tcMar>
            <w:shd w:fill="F4F7F9"/>
          </w:tcPr>
          <w:p>
            <w:pPr>
              <w:spacing w:after="20" w:line="245" w:lineRule="auto"/>
            </w:pPr>
            <w:r>
              <w:rPr>
                <w:color w:val="1F2933"/>
                <w:sz w:val="16"/>
              </w:rPr>
              <w:t>Load/recovery time, update throughput, rebuild, reset and firmware rollback</w:t>
            </w:r>
          </w:p>
        </w:tc>
      </w:tr>
      <w:tr>
        <w:trPr>
          <w:cantSplit/>
        </w:trPr>
        <w:tc>
          <w:tcPr>
            <w:tcW w:type="dxa" w:w="2016"/>
            <w:vAlign w:val="center"/>
            <w:tcMar>
              <w:top w:w="90" w:type="dxa"/>
              <w:start w:w="100" w:type="dxa"/>
              <w:bottom w:w="90" w:type="dxa"/>
              <w:end w:w="100" w:type="dxa"/>
            </w:tcMar>
          </w:tcPr>
          <w:p>
            <w:pPr>
              <w:spacing w:after="20" w:line="245" w:lineRule="auto"/>
            </w:pPr>
            <w:r>
              <w:rPr>
                <w:color w:val="1F2933"/>
                <w:sz w:val="16"/>
              </w:rPr>
              <w:t>Economics</w:t>
            </w:r>
          </w:p>
        </w:tc>
        <w:tc>
          <w:tcPr>
            <w:tcW w:type="dxa" w:w="8208"/>
            <w:vAlign w:val="center"/>
            <w:tcMar>
              <w:top w:w="90" w:type="dxa"/>
              <w:start w:w="100" w:type="dxa"/>
              <w:bottom w:w="90" w:type="dxa"/>
              <w:end w:w="100" w:type="dxa"/>
            </w:tcMar>
          </w:tcPr>
          <w:p>
            <w:pPr>
              <w:spacing w:after="20" w:line="245" w:lineRule="auto"/>
            </w:pPr>
            <w:r>
              <w:rPr>
                <w:color w:val="1F2933"/>
                <w:sz w:val="16"/>
              </w:rPr>
              <w:t>Device/server cost, rack density, HA reserve, software/support and cost per successful query</w:t>
            </w:r>
          </w:p>
        </w:tc>
      </w:tr>
      <w:tr>
        <w:trPr>
          <w:cantSplit/>
        </w:trPr>
        <w:tc>
          <w:tcPr>
            <w:tcW w:type="dxa" w:w="2016"/>
            <w:vAlign w:val="center"/>
            <w:tcMar>
              <w:top w:w="90" w:type="dxa"/>
              <w:start w:w="100" w:type="dxa"/>
              <w:bottom w:w="90" w:type="dxa"/>
              <w:end w:w="100" w:type="dxa"/>
            </w:tcMar>
            <w:shd w:fill="F4F7F9"/>
          </w:tcPr>
          <w:p>
            <w:pPr>
              <w:spacing w:after="20" w:line="245" w:lineRule="auto"/>
            </w:pPr>
            <w:r>
              <w:rPr>
                <w:color w:val="1F2933"/>
                <w:sz w:val="16"/>
              </w:rPr>
              <w:t>Comparators</w:t>
            </w:r>
          </w:p>
        </w:tc>
        <w:tc>
          <w:tcPr>
            <w:tcW w:type="dxa" w:w="8208"/>
            <w:vAlign w:val="center"/>
            <w:tcMar>
              <w:top w:w="90" w:type="dxa"/>
              <w:start w:w="100" w:type="dxa"/>
              <w:bottom w:w="90" w:type="dxa"/>
              <w:end w:w="100" w:type="dxa"/>
            </w:tcMar>
            <w:shd w:fill="F4F7F9"/>
          </w:tcPr>
          <w:p>
            <w:pPr>
              <w:spacing w:after="20" w:line="245" w:lineRule="auto"/>
            </w:pPr>
            <w:r>
              <w:rPr>
                <w:color w:val="1F2933"/>
                <w:sz w:val="16"/>
              </w:rPr>
              <w:t>CPU/DRAM, NVMe, GPU, GPU-partitioned service and optional CXL memory tier</w:t>
            </w:r>
          </w:p>
        </w:tc>
      </w:tr>
    </w:tbl>
    <w:p>
      <w:pPr>
        <w:spacing w:after="20"/>
      </w:pPr>
    </w:p>
    <w:p>
      <w:pPr>
        <w:pStyle w:val="Title"/>
      </w:pPr>
      <w:r>
        <w:t>Appendix B. Source Notes</w:t>
      </w:r>
    </w:p>
    <w:p>
      <w:r>
        <w:t>The following public sources support market and architectural context. Research results describe the cited systems and are not ATMOS product claims.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3263D"/>
            <w:vAlign w:val="center"/>
            <w:tcMar>
              <w:top w:w="90" w:type="dxa"/>
              <w:start w:w="100" w:type="dxa"/>
              <w:bottom w:w="90" w:type="dxa"/>
              <w:end w:w="100" w:type="dxa"/>
            </w:tcMar>
          </w:tcPr>
          <w:p>
            <w:r>
              <w:rPr>
                <w:b/>
                <w:color w:val="FFFFFF"/>
                <w:sz w:val="14"/>
              </w:rPr>
              <w:t>Source</w:t>
            </w:r>
          </w:p>
        </w:tc>
        <w:tc>
          <w:tcPr>
            <w:tcW w:type="dxa" w:w="3389"/>
            <w:shd w:fill="13263D"/>
            <w:vAlign w:val="center"/>
            <w:tcMar>
              <w:top w:w="90" w:type="dxa"/>
              <w:start w:w="100" w:type="dxa"/>
              <w:bottom w:w="90" w:type="dxa"/>
              <w:end w:w="100" w:type="dxa"/>
            </w:tcMar>
          </w:tcPr>
          <w:p>
            <w:r>
              <w:rPr>
                <w:b/>
                <w:color w:val="FFFFFF"/>
                <w:sz w:val="14"/>
              </w:rPr>
              <w:t>Relevance</w:t>
            </w:r>
          </w:p>
        </w:tc>
        <w:tc>
          <w:tcPr>
            <w:tcW w:type="dxa" w:w="3389"/>
            <w:shd w:fill="13263D"/>
            <w:vAlign w:val="center"/>
            <w:tcMar>
              <w:top w:w="90" w:type="dxa"/>
              <w:start w:w="100" w:type="dxa"/>
              <w:bottom w:w="90" w:type="dxa"/>
              <w:end w:w="100" w:type="dxa"/>
            </w:tcMar>
          </w:tcPr>
          <w:p>
            <w:r>
              <w:rPr>
                <w:b/>
                <w:color w:val="FFFFFF"/>
                <w:sz w:val="14"/>
              </w:rPr>
              <w:t>Location</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[S1] Milvus Architecture Overview</w:t>
            </w:r>
          </w:p>
        </w:tc>
        <w:tc>
          <w:tcPr>
            <w:tcW w:type="dxa" w:w="4536"/>
            <w:vAlign w:val="center"/>
            <w:tcMar>
              <w:top w:w="90" w:type="dxa"/>
              <w:start w:w="100" w:type="dxa"/>
              <w:bottom w:w="90" w:type="dxa"/>
              <w:end w:w="100" w:type="dxa"/>
            </w:tcMar>
          </w:tcPr>
          <w:p>
            <w:pPr>
              <w:spacing w:after="20" w:line="245" w:lineRule="auto"/>
            </w:pPr>
            <w:r>
              <w:rPr>
                <w:color w:val="1F2933"/>
                <w:sz w:val="14"/>
              </w:rPr>
              <w:t>Milvus documents a disaggregated architecture with proxy, coordinator, worker/query nodes and persistent storage.</w:t>
            </w:r>
          </w:p>
        </w:tc>
        <w:tc>
          <w:tcPr>
            <w:tcW w:type="dxa" w:w="2880"/>
            <w:vAlign w:val="center"/>
            <w:tcMar>
              <w:top w:w="90" w:type="dxa"/>
              <w:start w:w="100" w:type="dxa"/>
              <w:bottom w:w="90" w:type="dxa"/>
              <w:end w:w="100" w:type="dxa"/>
            </w:tcMar>
          </w:tcPr>
          <w:p>
            <w:pPr>
              <w:spacing w:after="20" w:line="245" w:lineRule="auto"/>
            </w:pPr>
            <w:r>
              <w:rPr>
                <w:color w:val="1F2933"/>
                <w:sz w:val="14"/>
              </w:rPr>
              <w:t>https://milvus.io/docs/architecture_overview.md</w:t>
            </w:r>
          </w:p>
        </w:tc>
      </w:tr>
      <w:tr>
        <w:trPr>
          <w:cantSplit/>
        </w:trPr>
        <w:tc>
          <w:tcPr>
            <w:tcW w:type="dxa" w:w="3024"/>
            <w:vAlign w:val="center"/>
            <w:tcMar>
              <w:top w:w="90" w:type="dxa"/>
              <w:start w:w="100" w:type="dxa"/>
              <w:bottom w:w="90" w:type="dxa"/>
              <w:end w:w="100" w:type="dxa"/>
            </w:tcMar>
            <w:shd w:fill="F4F7F9"/>
          </w:tcPr>
          <w:p>
            <w:pPr>
              <w:spacing w:after="20" w:line="245" w:lineRule="auto"/>
            </w:pPr>
            <w:r>
              <w:rPr>
                <w:color w:val="1F2933"/>
                <w:sz w:val="14"/>
              </w:rPr>
              <w:t>[S2] Milvus Storage/Computing Disaggregation</w:t>
            </w:r>
          </w:p>
        </w:tc>
        <w:tc>
          <w:tcPr>
            <w:tcW w:type="dxa" w:w="4536"/>
            <w:vAlign w:val="center"/>
            <w:tcMar>
              <w:top w:w="90" w:type="dxa"/>
              <w:start w:w="100" w:type="dxa"/>
              <w:bottom w:w="90" w:type="dxa"/>
              <w:end w:w="100" w:type="dxa"/>
            </w:tcMar>
            <w:shd w:fill="F4F7F9"/>
          </w:tcPr>
          <w:p>
            <w:pPr>
              <w:spacing w:after="20" w:line="245" w:lineRule="auto"/>
            </w:pPr>
            <w:r>
              <w:rPr>
                <w:color w:val="1F2933"/>
                <w:sz w:val="14"/>
              </w:rPr>
              <w:t>Milvus describes query nodes loading historical data and data nodes handling compaction/index building.</w:t>
            </w:r>
          </w:p>
        </w:tc>
        <w:tc>
          <w:tcPr>
            <w:tcW w:type="dxa" w:w="2880"/>
            <w:vAlign w:val="center"/>
            <w:tcMar>
              <w:top w:w="90" w:type="dxa"/>
              <w:start w:w="100" w:type="dxa"/>
              <w:bottom w:w="90" w:type="dxa"/>
              <w:end w:w="100" w:type="dxa"/>
            </w:tcMar>
            <w:shd w:fill="F4F7F9"/>
          </w:tcPr>
          <w:p>
            <w:pPr>
              <w:spacing w:after="20" w:line="245" w:lineRule="auto"/>
            </w:pPr>
            <w:r>
              <w:rPr>
                <w:color w:val="1F2933"/>
                <w:sz w:val="14"/>
              </w:rPr>
              <w:t>https://milvus.io/docs/four_layers.md</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[S3] Milvus GPU Index Documentation</w:t>
            </w:r>
          </w:p>
        </w:tc>
        <w:tc>
          <w:tcPr>
            <w:tcW w:type="dxa" w:w="4536"/>
            <w:vAlign w:val="center"/>
            <w:tcMar>
              <w:top w:w="90" w:type="dxa"/>
              <w:start w:w="100" w:type="dxa"/>
              <w:bottom w:w="90" w:type="dxa"/>
              <w:end w:w="100" w:type="dxa"/>
            </w:tcMar>
          </w:tcPr>
          <w:p>
            <w:pPr>
              <w:spacing w:after="20" w:line="245" w:lineRule="auto"/>
            </w:pPr>
            <w:r>
              <w:rPr>
                <w:color w:val="1F2933"/>
                <w:sz w:val="14"/>
              </w:rPr>
              <w:t>Milvus notes GPU indexes can improve throughput/high recall, but may not reduce latency without sufficient query pressure or batching.</w:t>
            </w:r>
          </w:p>
        </w:tc>
        <w:tc>
          <w:tcPr>
            <w:tcW w:type="dxa" w:w="2880"/>
            <w:vAlign w:val="center"/>
            <w:tcMar>
              <w:top w:w="90" w:type="dxa"/>
              <w:start w:w="100" w:type="dxa"/>
              <w:bottom w:w="90" w:type="dxa"/>
              <w:end w:w="100" w:type="dxa"/>
            </w:tcMar>
          </w:tcPr>
          <w:p>
            <w:pPr>
              <w:spacing w:after="20" w:line="245" w:lineRule="auto"/>
            </w:pPr>
            <w:r>
              <w:rPr>
                <w:color w:val="1F2933"/>
                <w:sz w:val="14"/>
              </w:rPr>
              <w:t>https://milvus.io/docs/gpu_index.md</w:t>
            </w:r>
          </w:p>
        </w:tc>
      </w:tr>
      <w:tr>
        <w:trPr>
          <w:cantSplit/>
        </w:trPr>
        <w:tc>
          <w:tcPr>
            <w:tcW w:type="dxa" w:w="3024"/>
            <w:vAlign w:val="center"/>
            <w:tcMar>
              <w:top w:w="90" w:type="dxa"/>
              <w:start w:w="100" w:type="dxa"/>
              <w:bottom w:w="90" w:type="dxa"/>
              <w:end w:w="100" w:type="dxa"/>
            </w:tcMar>
            <w:shd w:fill="F4F7F9"/>
          </w:tcPr>
          <w:p>
            <w:pPr>
              <w:spacing w:after="20" w:line="245" w:lineRule="auto"/>
            </w:pPr>
            <w:r>
              <w:rPr>
                <w:color w:val="1F2933"/>
                <w:sz w:val="14"/>
              </w:rPr>
              <w:t>[S4] Google Cloud Retrieval and Ranking Overview</w:t>
            </w:r>
          </w:p>
        </w:tc>
        <w:tc>
          <w:tcPr>
            <w:tcW w:type="dxa" w:w="4536"/>
            <w:vAlign w:val="center"/>
            <w:tcMar>
              <w:top w:w="90" w:type="dxa"/>
              <w:start w:w="100" w:type="dxa"/>
              <w:bottom w:w="90" w:type="dxa"/>
              <w:end w:w="100" w:type="dxa"/>
            </w:tcMar>
            <w:shd w:fill="F4F7F9"/>
          </w:tcPr>
          <w:p>
            <w:pPr>
              <w:spacing w:after="20" w:line="245" w:lineRule="auto"/>
            </w:pPr>
            <w:r>
              <w:rPr>
                <w:color w:val="1F2933"/>
                <w:sz w:val="14"/>
              </w:rPr>
              <w:t>Describes staged retrieval and ranking, with retrieval narrowing the corpus before ranking.</w:t>
            </w:r>
          </w:p>
        </w:tc>
        <w:tc>
          <w:tcPr>
            <w:tcW w:type="dxa" w:w="2880"/>
            <w:vAlign w:val="center"/>
            <w:tcMar>
              <w:top w:w="90" w:type="dxa"/>
              <w:start w:w="100" w:type="dxa"/>
              <w:bottom w:w="90" w:type="dxa"/>
              <w:end w:w="100" w:type="dxa"/>
            </w:tcMar>
            <w:shd w:fill="F4F7F9"/>
          </w:tcPr>
          <w:p>
            <w:pPr>
              <w:spacing w:after="20" w:line="245" w:lineRule="auto"/>
            </w:pPr>
            <w:r>
              <w:rPr>
                <w:color w:val="1F2933"/>
                <w:sz w:val="14"/>
              </w:rPr>
              <w:t>https://docs.cloud.google.com/generative-ai-app-builder/docs/ranking-overview</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[S5] HAVEN: High-Bandwidth Flash Augmented Vector Engine</w:t>
            </w:r>
          </w:p>
        </w:tc>
        <w:tc>
          <w:tcPr>
            <w:tcW w:type="dxa" w:w="4536"/>
            <w:vAlign w:val="center"/>
            <w:tcMar>
              <w:top w:w="90" w:type="dxa"/>
              <w:start w:w="100" w:type="dxa"/>
              <w:bottom w:w="90" w:type="dxa"/>
              <w:end w:w="100" w:type="dxa"/>
            </w:tcMar>
          </w:tcPr>
          <w:p>
            <w:pPr>
              <w:spacing w:after="20" w:line="245" w:lineRule="auto"/>
            </w:pPr>
            <w:r>
              <w:rPr>
                <w:color w:val="1F2933"/>
                <w:sz w:val="14"/>
              </w:rPr>
              <w:t>2026 research proposal for HBF-augmented GPU/vector refinement; reports modeled gains for billion-scale datasets.</w:t>
            </w:r>
          </w:p>
        </w:tc>
        <w:tc>
          <w:tcPr>
            <w:tcW w:type="dxa" w:w="2880"/>
            <w:vAlign w:val="center"/>
            <w:tcMar>
              <w:top w:w="90" w:type="dxa"/>
              <w:start w:w="100" w:type="dxa"/>
              <w:bottom w:w="90" w:type="dxa"/>
              <w:end w:w="100" w:type="dxa"/>
            </w:tcMar>
          </w:tcPr>
          <w:p>
            <w:pPr>
              <w:spacing w:after="20" w:line="245" w:lineRule="auto"/>
            </w:pPr>
            <w:r>
              <w:rPr>
                <w:color w:val="1F2933"/>
                <w:sz w:val="14"/>
              </w:rPr>
              <w:t>https://arxiv.org/abs/2603.01175</w:t>
            </w:r>
          </w:p>
        </w:tc>
      </w:tr>
      <w:tr>
        <w:trPr>
          <w:cantSplit/>
        </w:trPr>
        <w:tc>
          <w:tcPr>
            <w:tcW w:type="dxa" w:w="3024"/>
            <w:vAlign w:val="center"/>
            <w:tcMar>
              <w:top w:w="90" w:type="dxa"/>
              <w:start w:w="100" w:type="dxa"/>
              <w:bottom w:w="90" w:type="dxa"/>
              <w:end w:w="100" w:type="dxa"/>
            </w:tcMar>
            <w:shd w:fill="F4F7F9"/>
          </w:tcPr>
          <w:p>
            <w:pPr>
              <w:spacing w:after="20" w:line="245" w:lineRule="auto"/>
            </w:pPr>
            <w:r>
              <w:rPr>
                <w:color w:val="1F2933"/>
                <w:sz w:val="14"/>
              </w:rPr>
              <w:t>[S6] NVIDIA / Microsoft Bing Visual Search Optimization</w:t>
            </w:r>
          </w:p>
        </w:tc>
        <w:tc>
          <w:tcPr>
            <w:tcW w:type="dxa" w:w="4536"/>
            <w:vAlign w:val="center"/>
            <w:tcMar>
              <w:top w:w="90" w:type="dxa"/>
              <w:start w:w="100" w:type="dxa"/>
              <w:bottom w:w="90" w:type="dxa"/>
              <w:end w:w="100" w:type="dxa"/>
            </w:tcMar>
            <w:shd w:fill="F4F7F9"/>
          </w:tcPr>
          <w:p>
            <w:pPr>
              <w:spacing w:after="20" w:line="245" w:lineRule="auto"/>
            </w:pPr>
            <w:r>
              <w:rPr>
                <w:color w:val="1F2933"/>
                <w:sz w:val="14"/>
              </w:rPr>
              <w:t>Reports 5.13x end-to-end throughput improvement in a billion-image visual embedding pipeline after GPU software optimization.</w:t>
            </w:r>
          </w:p>
        </w:tc>
        <w:tc>
          <w:tcPr>
            <w:tcW w:type="dxa" w:w="2880"/>
            <w:vAlign w:val="center"/>
            <w:tcMar>
              <w:top w:w="90" w:type="dxa"/>
              <w:start w:w="100" w:type="dxa"/>
              <w:bottom w:w="90" w:type="dxa"/>
              <w:end w:w="100" w:type="dxa"/>
            </w:tcMar>
            <w:shd w:fill="F4F7F9"/>
          </w:tcPr>
          <w:p>
            <w:pPr>
              <w:spacing w:after="20" w:line="245" w:lineRule="auto"/>
            </w:pPr>
            <w:r>
              <w:rPr>
                <w:color w:val="1F2933"/>
                <w:sz w:val="14"/>
              </w:rPr>
              <w:t>https://developer.nvidia.com/blog/optimizing-microsoft-bing-visual-search-with-nvidia-accelerated-libraries/</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[S7] UpDLRM</w:t>
            </w:r>
          </w:p>
        </w:tc>
        <w:tc>
          <w:tcPr>
            <w:tcW w:type="dxa" w:w="4536"/>
            <w:vAlign w:val="center"/>
            <w:tcMar>
              <w:top w:w="90" w:type="dxa"/>
              <w:start w:w="100" w:type="dxa"/>
              <w:bottom w:w="90" w:type="dxa"/>
              <w:end w:w="100" w:type="dxa"/>
            </w:tcMar>
          </w:tcPr>
          <w:p>
            <w:pPr>
              <w:spacing w:after="20" w:line="245" w:lineRule="auto"/>
            </w:pPr>
            <w:r>
              <w:rPr>
                <w:color w:val="1F2933"/>
                <w:sz w:val="14"/>
              </w:rPr>
              <w:t>Research on processing-in-memory acceleration for recommendation embedding lookups and irregular memory access.</w:t>
            </w:r>
          </w:p>
        </w:tc>
        <w:tc>
          <w:tcPr>
            <w:tcW w:type="dxa" w:w="2880"/>
            <w:vAlign w:val="center"/>
            <w:tcMar>
              <w:top w:w="90" w:type="dxa"/>
              <w:start w:w="100" w:type="dxa"/>
              <w:bottom w:w="90" w:type="dxa"/>
              <w:end w:w="100" w:type="dxa"/>
            </w:tcMar>
          </w:tcPr>
          <w:p>
            <w:pPr>
              <w:spacing w:after="20" w:line="245" w:lineRule="auto"/>
            </w:pPr>
            <w:r>
              <w:rPr>
                <w:color w:val="1F2933"/>
                <w:sz w:val="14"/>
              </w:rPr>
              <w:t>https://arxiv.org/html/2406.13941v1</w:t>
            </w:r>
          </w:p>
        </w:tc>
      </w:tr>
      <w:tr>
        <w:trPr>
          <w:cantSplit/>
        </w:trPr>
        <w:tc>
          <w:tcPr>
            <w:tcW w:type="dxa" w:w="3024"/>
            <w:vAlign w:val="center"/>
            <w:tcMar>
              <w:top w:w="90" w:type="dxa"/>
              <w:start w:w="100" w:type="dxa"/>
              <w:bottom w:w="90" w:type="dxa"/>
              <w:end w:w="100" w:type="dxa"/>
            </w:tcMar>
            <w:shd w:fill="F4F7F9"/>
          </w:tcPr>
          <w:p>
            <w:pPr>
              <w:spacing w:after="20" w:line="245" w:lineRule="auto"/>
            </w:pPr>
            <w:r>
              <w:rPr>
                <w:color w:val="1F2933"/>
                <w:sz w:val="14"/>
              </w:rPr>
              <w:t>[S8] DistVS</w:t>
            </w:r>
          </w:p>
        </w:tc>
        <w:tc>
          <w:tcPr>
            <w:tcW w:type="dxa" w:w="4536"/>
            <w:vAlign w:val="center"/>
            <w:tcMar>
              <w:top w:w="90" w:type="dxa"/>
              <w:start w:w="100" w:type="dxa"/>
              <w:bottom w:w="90" w:type="dxa"/>
              <w:end w:w="100" w:type="dxa"/>
            </w:tcMar>
            <w:shd w:fill="F4F7F9"/>
          </w:tcPr>
          <w:p>
            <w:pPr>
              <w:spacing w:after="20" w:line="245" w:lineRule="auto"/>
            </w:pPr>
            <w:r>
              <w:rPr>
                <w:color w:val="1F2933"/>
                <w:sz w:val="14"/>
              </w:rPr>
              <w:t>2026 compute-memory-disaggregated vector-search research with tiered vector precision and reported throughput improvement.</w:t>
            </w:r>
          </w:p>
        </w:tc>
        <w:tc>
          <w:tcPr>
            <w:tcW w:type="dxa" w:w="2880"/>
            <w:vAlign w:val="center"/>
            <w:tcMar>
              <w:top w:w="90" w:type="dxa"/>
              <w:start w:w="100" w:type="dxa"/>
              <w:bottom w:w="90" w:type="dxa"/>
              <w:end w:w="100" w:type="dxa"/>
            </w:tcMar>
            <w:shd w:fill="F4F7F9"/>
          </w:tcPr>
          <w:p>
            <w:pPr>
              <w:spacing w:after="20" w:line="245" w:lineRule="auto"/>
            </w:pPr>
            <w:r>
              <w:rPr>
                <w:color w:val="1F2933"/>
                <w:sz w:val="14"/>
              </w:rPr>
              <w:t>https://www.usenix.org/conference/nsdi26/presentation/yin</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[S9] Intelligent Knowledge Store</w:t>
            </w:r>
          </w:p>
        </w:tc>
        <w:tc>
          <w:tcPr>
            <w:tcW w:type="dxa" w:w="4536"/>
            <w:vAlign w:val="center"/>
            <w:tcMar>
              <w:top w:w="90" w:type="dxa"/>
              <w:start w:w="100" w:type="dxa"/>
              <w:bottom w:w="90" w:type="dxa"/>
              <w:end w:w="100" w:type="dxa"/>
            </w:tcMar>
          </w:tcPr>
          <w:p>
            <w:pPr>
              <w:spacing w:after="20" w:line="245" w:lineRule="auto"/>
            </w:pPr>
            <w:r>
              <w:rPr>
                <w:color w:val="1F2933"/>
                <w:sz w:val="14"/>
              </w:rPr>
              <w:t>Near-memory CXL retrieval research reporting exact nearest-neighbor and end-to-end RAG improvements.</w:t>
            </w:r>
          </w:p>
        </w:tc>
        <w:tc>
          <w:tcPr>
            <w:tcW w:type="dxa" w:w="2880"/>
            <w:vAlign w:val="center"/>
            <w:tcMar>
              <w:top w:w="90" w:type="dxa"/>
              <w:start w:w="100" w:type="dxa"/>
              <w:bottom w:w="90" w:type="dxa"/>
              <w:end w:w="100" w:type="dxa"/>
            </w:tcMar>
          </w:tcPr>
          <w:p>
            <w:pPr>
              <w:spacing w:after="20" w:line="245" w:lineRule="auto"/>
            </w:pPr>
            <w:r>
              <w:rPr>
                <w:color w:val="1F2933"/>
                <w:sz w:val="14"/>
              </w:rPr>
              <w:t>https://arg.csl.cornell.edu/papers/iks-asplos2025.pdf</w:t>
            </w:r>
          </w:p>
        </w:tc>
      </w:tr>
      <w:tr>
        <w:trPr>
          <w:cantSplit/>
        </w:trPr>
        <w:tc>
          <w:tcPr>
            <w:tcW w:type="dxa" w:w="3024"/>
            <w:vAlign w:val="center"/>
            <w:tcMar>
              <w:top w:w="90" w:type="dxa"/>
              <w:start w:w="100" w:type="dxa"/>
              <w:bottom w:w="90" w:type="dxa"/>
              <w:end w:w="100" w:type="dxa"/>
            </w:tcMar>
            <w:shd w:fill="F4F7F9"/>
          </w:tcPr>
          <w:p>
            <w:pPr>
              <w:spacing w:after="20" w:line="245" w:lineRule="auto"/>
            </w:pPr>
            <w:r>
              <w:rPr>
                <w:color w:val="1F2933"/>
                <w:sz w:val="14"/>
              </w:rPr>
              <w:t>[S10] Fusion-ANNS</w:t>
            </w:r>
          </w:p>
        </w:tc>
        <w:tc>
          <w:tcPr>
            <w:tcW w:type="dxa" w:w="4536"/>
            <w:vAlign w:val="center"/>
            <w:tcMar>
              <w:top w:w="90" w:type="dxa"/>
              <w:start w:w="100" w:type="dxa"/>
              <w:bottom w:w="90" w:type="dxa"/>
              <w:end w:w="100" w:type="dxa"/>
            </w:tcMar>
            <w:shd w:fill="F4F7F9"/>
          </w:tcPr>
          <w:p>
            <w:pPr>
              <w:spacing w:after="20" w:line="245" w:lineRule="auto"/>
            </w:pPr>
            <w:r>
              <w:rPr>
                <w:color w:val="1F2933"/>
                <w:sz w:val="14"/>
              </w:rPr>
              <w:t>CPU/GPU/SSD collaborative filtering and reranking research reporting QPS and cost-efficiency improvements.</w:t>
            </w:r>
          </w:p>
        </w:tc>
        <w:tc>
          <w:tcPr>
            <w:tcW w:type="dxa" w:w="2880"/>
            <w:vAlign w:val="center"/>
            <w:tcMar>
              <w:top w:w="90" w:type="dxa"/>
              <w:start w:w="100" w:type="dxa"/>
              <w:bottom w:w="90" w:type="dxa"/>
              <w:end w:w="100" w:type="dxa"/>
            </w:tcMar>
            <w:shd w:fill="F4F7F9"/>
          </w:tcPr>
          <w:p>
            <w:pPr>
              <w:spacing w:after="20" w:line="245" w:lineRule="auto"/>
            </w:pPr>
            <w:r>
              <w:rPr>
                <w:color w:val="1F2933"/>
                <w:sz w:val="14"/>
              </w:rPr>
              <w:t>https://www.usenix.org/conference/fast25/presentation/tian-bing</w:t>
            </w:r>
          </w:p>
        </w:tc>
      </w:tr>
      <w:tr>
        <w:trPr>
          <w:cantSplit/>
        </w:trPr>
        <w:tc>
          <w:tcPr>
            <w:tcW w:type="dxa" w:w="3024"/>
            <w:vAlign w:val="center"/>
            <w:tcMar>
              <w:top w:w="90" w:type="dxa"/>
              <w:start w:w="100" w:type="dxa"/>
              <w:bottom w:w="90" w:type="dxa"/>
              <w:end w:w="100" w:type="dxa"/>
            </w:tcMar>
          </w:tcPr>
          <w:p>
            <w:pPr>
              <w:spacing w:after="20" w:line="245" w:lineRule="auto"/>
            </w:pPr>
            <w:r>
              <w:rPr>
                <w:color w:val="1F2933"/>
                <w:sz w:val="14"/>
              </w:rPr>
              <w:t>[S11] ATMOS E3.S Product and Workstream Proposal</w:t>
            </w:r>
          </w:p>
        </w:tc>
        <w:tc>
          <w:tcPr>
            <w:tcW w:type="dxa" w:w="4536"/>
            <w:vAlign w:val="center"/>
            <w:tcMar>
              <w:top w:w="90" w:type="dxa"/>
              <w:start w:w="100" w:type="dxa"/>
              <w:bottom w:w="90" w:type="dxa"/>
              <w:end w:w="100" w:type="dxa"/>
            </w:tcMar>
          </w:tcPr>
          <w:p>
            <w:pPr>
              <w:spacing w:after="20" w:line="245" w:lineRule="auto"/>
            </w:pPr>
            <w:r>
              <w:rPr>
                <w:color w:val="1F2933"/>
                <w:sz w:val="14"/>
              </w:rPr>
              <w:t>Internal source for architecture assumptions, product boundaries, readiness items and planning targets.</w:t>
            </w:r>
          </w:p>
        </w:tc>
        <w:tc>
          <w:tcPr>
            <w:tcW w:type="dxa" w:w="2880"/>
            <w:vAlign w:val="center"/>
            <w:tcMar>
              <w:top w:w="90" w:type="dxa"/>
              <w:start w:w="100" w:type="dxa"/>
              <w:bottom w:w="90" w:type="dxa"/>
              <w:end w:w="100" w:type="dxa"/>
            </w:tcMar>
          </w:tcPr>
          <w:p>
            <w:pPr>
              <w:spacing w:after="20" w:line="245" w:lineRule="auto"/>
            </w:pPr>
            <w:r>
              <w:rPr>
                <w:color w:val="1F2933"/>
                <w:sz w:val="14"/>
              </w:rPr>
              <w:t>Internal document supplied for this analysis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873"/>
        <w:sz w:val="14"/>
      </w:rPr>
      <w:t>Pre-product concept | Architecture targets require validation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873"/>
        <w:sz w:val="15"/>
      </w:rPr>
      <w:t>ATMOS E3.S HBF-Backed Near-Data AI | Sandisk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3263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0C6388"/>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287A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ptos Display" w:hAnsi="Aptos Display"/>
      <w:b/>
      <w:color w:val="1326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w:hAnsi="Aptos"/>
      <w:b w:val="0"/>
      <w:i/>
      <w:iCs/>
      <w:color w:val="5F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pPr>
    <w:rPr>
      <w:rFonts w:ascii="Aptos" w:hAnsi="Aptos"/>
      <w:b/>
      <w:color w:val="13263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ATMOS E3.S HBF-Backed Near-Data AI Use-Case Strategy and POC Roadmap</dc:title>
  <dc:subject>Enterprise, hyperscaler, cloud search and neocloud strategy</dc:subject>
  <dc:creator>Shailesh Pilare</dc:creator>
  <keywords>ATMOS, E3.S, HBF, NPU, RAG, search, Milvus, hyperscaler, POC</keywords>
  <dc:description>generated by python-docx</dc:description>
  <lastModifiedBy>Shailesh Pilare</lastModifiedBy>
  <revision>1</revision>
  <dcterms:created xsi:type="dcterms:W3CDTF">2026-09-16T19:53:26.8642304Z</dcterms:created>
  <dcterms:modified xsi:type="dcterms:W3CDTF">2026-09-16T19:53:26.8642304Z</dcterms:modified>
  <category/>
</coreProperties>
</file>