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31837"/>
        </w:rPr>
        <w:t>LEADERSHIP PROPOSAL + PRODUCT REQUIREMENTS</w:t>
      </w:r>
    </w:p>
    <w:p>
      <w:pPr>
        <w:pStyle w:val="Title"/>
      </w:pPr>
      <w:r>
        <w:t>SanDisk ATMOS</w:t>
        <w:br/>
        <w:t>Private AI Appliance Portfolio</w:t>
      </w:r>
    </w:p>
    <w:p>
      <w:r>
        <w:rPr>
          <w:b/>
        </w:rPr>
        <w:t>Own the service. Use the OEM. Prove the economics.</w:t>
      </w:r>
    </w:p>
    <w:p>
      <w:r>
        <w:rPr>
          <w:b w:val="0"/>
        </w:rPr>
        <w:t>Executive decision edition • 6 October 2026 • v3.0</w:t>
      </w:r>
    </w:p>
    <w:p>
      <w:pPr>
        <w:jc w:val="center"/>
      </w:pPr>
      <w:r>
        <w:drawing>
          <wp:inline xmlns:a="http://schemas.openxmlformats.org/drawingml/2006/main" xmlns:pic="http://schemas.openxmlformats.org/drawingml/2006/picture">
            <wp:extent cx="5303520" cy="2872740"/>
            <wp:docPr id="1" name="Picture 1"/>
            <wp:cNvGraphicFramePr>
              <a:graphicFrameLocks noChangeAspect="1"/>
            </wp:cNvGraphicFramePr>
            <a:graphic>
              <a:graphicData uri="http://schemas.openxmlformats.org/drawingml/2006/picture">
                <pic:pic>
                  <pic:nvPicPr>
                    <pic:cNvPr id="0" name="appliance_16.png"/>
                    <pic:cNvPicPr/>
                  </pic:nvPicPr>
                  <pic:blipFill>
                    <a:blip r:embed="rId11"/>
                    <a:stretch>
                      <a:fillRect/>
                    </a:stretch>
                  </pic:blipFill>
                  <pic:spPr>
                    <a:xfrm>
                      <a:off x="0" y="0"/>
                      <a:ext cx="5303520" cy="2872740"/>
                    </a:xfrm>
                    <a:prstGeom prst="rect"/>
                  </pic:spPr>
                </pic:pic>
              </a:graphicData>
            </a:graphic>
          </wp:inline>
        </w:drawing>
      </w:r>
    </w:p>
    <w:p>
      <w:r>
        <w:rPr>
          <w:b w:val="0"/>
        </w:rPr>
        <w:t>The proposed opportunity is a capacity-oriented, governed knowledge and inference service—not a universal GPU replacement. An OEM-built appliance, SanDisk-owned software and one support route would combine resident HBF data/model capacity with local NPU execution. The first investment should validate the Departmental 8 and Enterprise 16 profiles, with an Enterprise Knowledge Agent and a retrieval-only deployment mode.</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DECISION SOUGHT  </w:t>
            </w:r>
            <w:r>
              <w:rPr>
                <w:sz w:val="20"/>
              </w:rPr>
              <w:t>Approve a bounded 8/16-device proof program, one native-runtime commitment, parallel OEM feasibility and three customer workload designs. Do not approve launch prices, performance guarantees or the 24-device stretch SKU yet.</w:t>
            </w:r>
          </w:p>
        </w:tc>
      </w:tr>
    </w:tbl>
    <w:p>
      <w:pPr>
        <w:pStyle w:val="Caption"/>
      </w:pPr>
      <w:r>
        <w:rPr>
          <w:b w:val="0"/>
        </w:rPr>
        <w:t>Basis: supplied PRD and deck [I1, I2]. Public research is marked [Sxx]; new requirements and calculations are labeled target, budget or scenario. No ATMOS performance measurements or OEM quotations were supplied.</w:t>
      </w:r>
    </w:p>
    <w:p>
      <w:r>
        <w:rPr>
          <w:b w:val="0"/>
        </w:rPr>
      </w:r>
      <w:hyperlink r:id="rId12">
        <w:r>
          <w:rPr>
            <w:color w:val="E31837"/>
            <w:sz w:val="16"/>
          </w:rPr>
          <w:t>Companion executive presentation</w:t>
        </w:r>
      </w:hyperlink>
    </w:p>
    <w:p>
      <w:r>
        <w:br w:type="page"/>
      </w:r>
    </w:p>
    <w:p>
      <w:bookmarkStart w:id="1" w:name="PRD_01"/>
      <w:pPr>
        <w:pStyle w:val="Heading1"/>
      </w:pPr>
      <w:r>
        <w:t>1. Why SanDisk should investigate this market</w:t>
      </w:r>
      <w:bookmarkEnd w:id="1"/>
    </w:p>
    <w:p>
      <w:r>
        <w:rPr>
          <w:b w:val="0"/>
        </w:rPr>
        <w:t>SanDisk’s public HBF work provides a strategic reason to investigate a higher-value inference system business. Its HBF standardization work with SK hynix is real; the ATMOS appliance, its performance and its commercial success remain proposals. HBF technology announcements must not be presented as proof of an ATMOS product. [S01, S02]</w:t>
      </w:r>
    </w:p>
    <w:p>
      <w:pPr>
        <w:pStyle w:val="Heading2"/>
      </w:pPr>
      <w:r>
        <w:t>The gap is economic fit—not the absence of private AI</w:t>
      </w:r>
    </w:p>
    <w:p>
      <w:r>
        <w:rPr>
          <w:b w:val="0"/>
        </w:rPr>
        <w:t>NVIDIA/OEM systems, HPE Private Cloud AI, Nutanix and specialized inference vendors already offer local models, RAG components and enterprise operations. ATMOS needs to outperform an appropriate control on a bounded service—not claim that competitors lack privacy, support or turnkey deployment. [S06, S13, S15, S19, S22]</w:t>
      </w:r>
    </w:p>
    <w:tbl>
      <w:tblPr>
        <w:tblW w:type="auto" w:w="0"/>
        <w:jc w:val="center"/>
        <w:tblLayout w:type="fixed"/>
        <w:tblLook w:firstColumn="1" w:firstRow="1" w:lastColumn="0" w:lastRow="0" w:noHBand="0" w:noVBand="1" w:val="04A0"/>
      </w:tblPr>
      <w:tblGrid>
        <w:gridCol w:w="2232"/>
        <w:gridCol w:w="3816"/>
        <w:gridCol w:w="3989"/>
      </w:tblGrid>
      <w:tr>
        <w:trPr>
          <w:cantSplit/>
          <w:tblHeader/>
        </w:trPr>
        <w:tc>
          <w:tcPr>
            <w:tcW w:type="dxa" w:w="223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Customer friction</w:t>
            </w:r>
          </w:p>
        </w:tc>
        <w:tc>
          <w:tcPr>
            <w:tcW w:type="dxa" w:w="381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ATMOS product hypothesis</w:t>
            </w:r>
          </w:p>
        </w:tc>
        <w:tc>
          <w:tcPr>
            <w:tcW w:type="dxa" w:w="398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Proof required</w:t>
            </w:r>
          </w:p>
        </w:tc>
      </w:tr>
      <w:tr>
        <w:trPr>
          <w:cantSplit/>
        </w:trPr>
        <w:tc>
          <w:tcPr>
            <w:tcW w:type="dxa" w:w="223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GPU capacity bought for data-heavy work</w:t>
            </w:r>
          </w:p>
        </w:tc>
        <w:tc>
          <w:tcPr>
            <w:tcW w:type="dxa" w:w="381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Keep large resident model/feature representations close to local compute.</w:t>
            </w:r>
          </w:p>
        </w:tc>
        <w:tc>
          <w:tcPr>
            <w:tcW w:type="dxa" w:w="39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Lower total cost per accepted query/document at the same quality and latency.</w:t>
            </w:r>
          </w:p>
        </w:tc>
      </w:tr>
      <w:tr>
        <w:trPr>
          <w:cantSplit/>
        </w:trPr>
        <w:tc>
          <w:tcPr>
            <w:tcW w:type="dxa" w:w="223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Integration and lifecycle effort</w:t>
            </w:r>
          </w:p>
        </w:tc>
        <w:tc>
          <w:tcPr>
            <w:tcW w:type="dxa" w:w="381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Ship a supported catalog, agent, identity, updates and diagnostics.</w:t>
            </w:r>
          </w:p>
        </w:tc>
        <w:tc>
          <w:tcPr>
            <w:tcW w:type="dxa" w:w="398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Time-to-first-service and operating effort against existing turnkey platforms.</w:t>
            </w:r>
          </w:p>
        </w:tc>
      </w:tr>
      <w:tr>
        <w:trPr>
          <w:cantSplit/>
        </w:trPr>
        <w:tc>
          <w:tcPr>
            <w:tcW w:type="dxa" w:w="223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Regional/offline governance</w:t>
            </w:r>
          </w:p>
        </w:tc>
        <w:tc>
          <w:tcPr>
            <w:tcW w:type="dxa" w:w="381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Controlled connectors, ACL-first retrieval and signed offline updates.</w:t>
            </w:r>
          </w:p>
        </w:tc>
        <w:tc>
          <w:tcPr>
            <w:tcW w:type="dxa" w:w="39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Disconnected operation and data-leakage testing; no automatic compliance claim.</w:t>
            </w:r>
          </w:p>
        </w:tc>
      </w:tr>
      <w:tr>
        <w:trPr>
          <w:cantSplit/>
        </w:trPr>
        <w:tc>
          <w:tcPr>
            <w:tcW w:type="dxa" w:w="223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Capacity grows faster than query demand</w:t>
            </w:r>
          </w:p>
        </w:tc>
        <w:tc>
          <w:tcPr>
            <w:tcW w:type="dxa" w:w="381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Scale complete service groups and data/model catalogs independently where supported.</w:t>
            </w:r>
          </w:p>
        </w:tc>
        <w:tc>
          <w:tcPr>
            <w:tcW w:type="dxa" w:w="398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Working-memory fit, sparse-read behavior and non-disruptive expansion.</w:t>
            </w:r>
          </w:p>
        </w:tc>
      </w:tr>
    </w:tbl>
    <w:p>
      <w:pPr>
        <w:spacing w:after="0"/>
      </w:pPr>
      <w:r>
        <w:rPr>
          <w:b w:val="0"/>
        </w:rPr>
      </w:r>
    </w:p>
    <w:p>
      <w:pPr>
        <w:pStyle w:val="Heading2"/>
      </w:pPr>
      <w:r>
        <w:t>Three ways the thesis could fail</w:t>
      </w:r>
    </w:p>
    <w:p>
      <w:r>
        <w:rPr>
          <w:b w:val="0"/>
        </w:rPr>
        <w:t>The corpus may fit cheaply in CPU DRAM; the model may be compute- or KV-limited rather than capacity-limited; or an existing GPU/managed service may deliver the same accepted work with less cost and risk. Every pilot includes these controls. More HBF bytes alone do not create customer ROI.</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POSITIONING  </w:t>
            </w:r>
            <w:r>
              <w:rPr>
                <w:sz w:val="20"/>
              </w:rPr>
              <w:t>A private knowledge appliance that earns its place through certified workload economics, modular service capacity and a SanDisk-owned experience. “Lower cost” is a release gate, not a launch slogan.</w:t>
            </w:r>
          </w:p>
        </w:tc>
      </w:tr>
    </w:tbl>
    <w:p>
      <w:pPr>
        <w:pStyle w:val="Caption"/>
      </w:pPr>
      <w:r>
        <w:rPr>
          <w:b w:val="0"/>
        </w:rPr>
        <w:t>Compared with I1: retains the data-heavy knowledge focus; replaces blanket memory/70%-price comparisons with workload-specific tests. Public-source capabilities are competitors’ claims, not independent head-to-head measurements.</w:t>
      </w:r>
    </w:p>
    <w:p>
      <w:r>
        <w:br w:type="page"/>
      </w:r>
    </w:p>
    <w:p>
      <w:bookmarkStart w:id="2" w:name="PRD_02"/>
      <w:pPr>
        <w:pStyle w:val="Heading1"/>
      </w:pPr>
      <w:r>
        <w:t>2. One portfolio, three commercial tiers</w:t>
      </w:r>
      <w:bookmarkEnd w:id="2"/>
    </w:p>
    <w:p>
      <w:r>
        <w:rPr>
          <w:b w:val="0"/>
        </w:rPr>
        <w:t>Preserve all five commercial profiles from the supplied PRD. Departmental 8 and Enterprise 8 share the device envelope; Enterprise 8 adds qualified production integration and support rather than an invented capacity uplift. [I1 §2]</w:t>
      </w:r>
    </w:p>
    <w:tbl>
      <w:tblPr>
        <w:tblW w:type="auto" w:w="0"/>
        <w:jc w:val="center"/>
        <w:tblLayout w:type="fixed"/>
        <w:tblLook w:firstColumn="1" w:firstRow="1" w:lastColumn="0" w:lastRow="0" w:noHBand="0" w:noVBand="1" w:val="04A0"/>
      </w:tblPr>
      <w:tblGrid>
        <w:gridCol w:w="2952"/>
        <w:gridCol w:w="1440"/>
        <w:gridCol w:w="2160"/>
        <w:gridCol w:w="3485"/>
      </w:tblGrid>
      <w:tr>
        <w:trPr>
          <w:cantSplit/>
          <w:tblHeader/>
        </w:trPr>
        <w:tc>
          <w:tcPr>
            <w:tcW w:type="dxa" w:w="295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Profile</w:t>
            </w:r>
          </w:p>
        </w:tc>
        <w:tc>
          <w:tcPr>
            <w:tcW w:type="dxa" w:w="144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Devices / groups</w:t>
            </w:r>
          </w:p>
        </w:tc>
        <w:tc>
          <w:tcPr>
            <w:tcW w:type="dxa" w:w="216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HBF nominal / study</w:t>
            </w:r>
          </w:p>
        </w:tc>
        <w:tc>
          <w:tcPr>
            <w:tcW w:type="dxa" w:w="348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Customer purpose</w:t>
            </w:r>
          </w:p>
        </w:tc>
      </w:tr>
      <w:tr>
        <w:trPr>
          <w:cantSplit/>
        </w:trPr>
        <w:tc>
          <w:tcPr>
            <w:tcW w:type="dxa" w:w="295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W4 — Edge AI Workstation 4</w:t>
            </w:r>
          </w:p>
        </w:tc>
        <w:tc>
          <w:tcPr>
            <w:tcW w:type="dxa" w:w="144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4 / 1</w:t>
            </w:r>
          </w:p>
        </w:tc>
        <w:tc>
          <w:tcPr>
            <w:tcW w:type="dxa" w:w="216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512 / 400 GB</w:t>
            </w:r>
          </w:p>
        </w:tc>
        <w:tc>
          <w:tcPr>
            <w:tcW w:type="dxa" w:w="348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Local developer / secure small-team knowledge</w:t>
            </w:r>
          </w:p>
        </w:tc>
      </w:tr>
      <w:tr>
        <w:trPr>
          <w:cantSplit/>
        </w:trPr>
        <w:tc>
          <w:tcPr>
            <w:tcW w:type="dxa" w:w="295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D8 — Departmental AI Appliance 8</w:t>
            </w:r>
          </w:p>
        </w:tc>
        <w:tc>
          <w:tcPr>
            <w:tcW w:type="dxa" w:w="144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8 / 2</w:t>
            </w:r>
          </w:p>
        </w:tc>
        <w:tc>
          <w:tcPr>
            <w:tcW w:type="dxa" w:w="216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1,024 / 800 GB</w:t>
            </w:r>
          </w:p>
        </w:tc>
        <w:tc>
          <w:tcPr>
            <w:tcW w:type="dxa" w:w="348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Multi-user departmental service</w:t>
            </w:r>
          </w:p>
        </w:tc>
      </w:tr>
      <w:tr>
        <w:trPr>
          <w:cantSplit/>
        </w:trPr>
        <w:tc>
          <w:tcPr>
            <w:tcW w:type="dxa" w:w="295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E8 — Enterprise AI Appliance 8</w:t>
            </w:r>
          </w:p>
        </w:tc>
        <w:tc>
          <w:tcPr>
            <w:tcW w:type="dxa" w:w="144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8 / 2</w:t>
            </w:r>
          </w:p>
        </w:tc>
        <w:tc>
          <w:tcPr>
            <w:tcW w:type="dxa" w:w="216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1,024 / 800 GB</w:t>
            </w:r>
          </w:p>
        </w:tc>
        <w:tc>
          <w:tcPr>
            <w:tcW w:type="dxa" w:w="348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D8 capacity; production lifecycle / HA building block</w:t>
            </w:r>
          </w:p>
        </w:tc>
      </w:tr>
      <w:tr>
        <w:trPr>
          <w:cantSplit/>
        </w:trPr>
        <w:tc>
          <w:tcPr>
            <w:tcW w:type="dxa" w:w="295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E16 — Enterprise AI Appliance 16</w:t>
            </w:r>
          </w:p>
        </w:tc>
        <w:tc>
          <w:tcPr>
            <w:tcW w:type="dxa" w:w="144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16 / 4</w:t>
            </w:r>
          </w:p>
        </w:tc>
        <w:tc>
          <w:tcPr>
            <w:tcW w:type="dxa" w:w="216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2,048 / 1,600 GB</w:t>
            </w:r>
          </w:p>
        </w:tc>
        <w:tc>
          <w:tcPr>
            <w:tcW w:type="dxa" w:w="348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Enterprise multi-service / N+1 fleet</w:t>
            </w:r>
          </w:p>
        </w:tc>
      </w:tr>
      <w:tr>
        <w:trPr>
          <w:cantSplit/>
        </w:trPr>
        <w:tc>
          <w:tcPr>
            <w:tcW w:type="dxa" w:w="295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E24 — Enterprise AI Appliance 24</w:t>
            </w:r>
          </w:p>
        </w:tc>
        <w:tc>
          <w:tcPr>
            <w:tcW w:type="dxa" w:w="144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24 / 6</w:t>
            </w:r>
          </w:p>
        </w:tc>
        <w:tc>
          <w:tcPr>
            <w:tcW w:type="dxa" w:w="216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3,072 / 2,400 GB</w:t>
            </w:r>
          </w:p>
        </w:tc>
        <w:tc>
          <w:tcPr>
            <w:tcW w:type="dxa" w:w="348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Capacity expansion after E16 proof</w:t>
            </w:r>
          </w:p>
        </w:tc>
      </w:tr>
    </w:tbl>
    <w:p>
      <w:pPr>
        <w:spacing w:after="0"/>
      </w:pPr>
      <w:r>
        <w:rPr>
          <w:b w:val="0"/>
        </w:rPr>
      </w:r>
    </w:p>
    <w:tbl>
      <w:tblPr>
        <w:tblW w:type="auto" w:w="0"/>
        <w:jc w:val="center"/>
        <w:tblLook w:firstColumn="1" w:firstRow="1" w:lastColumn="0" w:lastRow="0" w:noHBand="0" w:noVBand="1" w:val="04A0"/>
      </w:tblPr>
      <w:tblGrid>
        <w:gridCol w:w="2509"/>
        <w:gridCol w:w="2509"/>
        <w:gridCol w:w="2509"/>
        <w:gridCol w:w="2509"/>
      </w:tblGrid>
      <w:tr>
        <w:tc>
          <w:tcPr>
            <w:tcW w:type="dxa" w:w="2509"/>
          </w:tcPr>
          <w:p>
            <w:r>
              <w:drawing>
                <wp:inline xmlns:a="http://schemas.openxmlformats.org/drawingml/2006/main" xmlns:pic="http://schemas.openxmlformats.org/drawingml/2006/picture">
                  <wp:extent cx="1499616" cy="812292"/>
                  <wp:docPr id="2" name="Picture 2"/>
                  <wp:cNvGraphicFramePr>
                    <a:graphicFrameLocks noChangeAspect="1"/>
                  </wp:cNvGraphicFramePr>
                  <a:graphic>
                    <a:graphicData uri="http://schemas.openxmlformats.org/drawingml/2006/picture">
                      <pic:pic>
                        <pic:nvPicPr>
                          <pic:cNvPr id="0" name="appliance_4.png"/>
                          <pic:cNvPicPr/>
                        </pic:nvPicPr>
                        <pic:blipFill>
                          <a:blip r:embed="rId13"/>
                          <a:stretch>
                            <a:fillRect/>
                          </a:stretch>
                        </pic:blipFill>
                        <pic:spPr>
                          <a:xfrm>
                            <a:off x="0" y="0"/>
                            <a:ext cx="1499616" cy="812292"/>
                          </a:xfrm>
                          <a:prstGeom prst="rect"/>
                        </pic:spPr>
                      </pic:pic>
                    </a:graphicData>
                  </a:graphic>
                </wp:inline>
              </w:drawing>
            </w:r>
          </w:p>
        </w:tc>
        <w:tc>
          <w:tcPr>
            <w:tcW w:type="dxa" w:w="2509"/>
          </w:tcPr>
          <w:p>
            <w:r>
              <w:drawing>
                <wp:inline xmlns:a="http://schemas.openxmlformats.org/drawingml/2006/main" xmlns:pic="http://schemas.openxmlformats.org/drawingml/2006/picture">
                  <wp:extent cx="1499616" cy="812292"/>
                  <wp:docPr id="3" name="Picture 3"/>
                  <wp:cNvGraphicFramePr>
                    <a:graphicFrameLocks noChangeAspect="1"/>
                  </wp:cNvGraphicFramePr>
                  <a:graphic>
                    <a:graphicData uri="http://schemas.openxmlformats.org/drawingml/2006/picture">
                      <pic:pic>
                        <pic:nvPicPr>
                          <pic:cNvPr id="0" name="appliance_8.png"/>
                          <pic:cNvPicPr/>
                        </pic:nvPicPr>
                        <pic:blipFill>
                          <a:blip r:embed="rId14"/>
                          <a:stretch>
                            <a:fillRect/>
                          </a:stretch>
                        </pic:blipFill>
                        <pic:spPr>
                          <a:xfrm>
                            <a:off x="0" y="0"/>
                            <a:ext cx="1499616" cy="812292"/>
                          </a:xfrm>
                          <a:prstGeom prst="rect"/>
                        </pic:spPr>
                      </pic:pic>
                    </a:graphicData>
                  </a:graphic>
                </wp:inline>
              </w:drawing>
            </w:r>
          </w:p>
        </w:tc>
        <w:tc>
          <w:tcPr>
            <w:tcW w:type="dxa" w:w="2509"/>
          </w:tcPr>
          <w:p>
            <w:r>
              <w:drawing>
                <wp:inline xmlns:a="http://schemas.openxmlformats.org/drawingml/2006/main" xmlns:pic="http://schemas.openxmlformats.org/drawingml/2006/picture">
                  <wp:extent cx="1499616" cy="812292"/>
                  <wp:docPr id="4" name="Picture 4"/>
                  <wp:cNvGraphicFramePr>
                    <a:graphicFrameLocks noChangeAspect="1"/>
                  </wp:cNvGraphicFramePr>
                  <a:graphic>
                    <a:graphicData uri="http://schemas.openxmlformats.org/drawingml/2006/picture">
                      <pic:pic>
                        <pic:nvPicPr>
                          <pic:cNvPr id="0" name="appliance_16.png"/>
                          <pic:cNvPicPr/>
                        </pic:nvPicPr>
                        <pic:blipFill>
                          <a:blip r:embed="rId11"/>
                          <a:stretch>
                            <a:fillRect/>
                          </a:stretch>
                        </pic:blipFill>
                        <pic:spPr>
                          <a:xfrm>
                            <a:off x="0" y="0"/>
                            <a:ext cx="1499616" cy="812292"/>
                          </a:xfrm>
                          <a:prstGeom prst="rect"/>
                        </pic:spPr>
                      </pic:pic>
                    </a:graphicData>
                  </a:graphic>
                </wp:inline>
              </w:drawing>
            </w:r>
          </w:p>
        </w:tc>
        <w:tc>
          <w:tcPr>
            <w:tcW w:type="dxa" w:w="2509"/>
          </w:tcPr>
          <w:p>
            <w:r>
              <w:drawing>
                <wp:inline xmlns:a="http://schemas.openxmlformats.org/drawingml/2006/main" xmlns:pic="http://schemas.openxmlformats.org/drawingml/2006/picture">
                  <wp:extent cx="1499616" cy="812292"/>
                  <wp:docPr id="5" name="Picture 5"/>
                  <wp:cNvGraphicFramePr>
                    <a:graphicFrameLocks noChangeAspect="1"/>
                  </wp:cNvGraphicFramePr>
                  <a:graphic>
                    <a:graphicData uri="http://schemas.openxmlformats.org/drawingml/2006/picture">
                      <pic:pic>
                        <pic:nvPicPr>
                          <pic:cNvPr id="0" name="appliance_24.png"/>
                          <pic:cNvPicPr/>
                        </pic:nvPicPr>
                        <pic:blipFill>
                          <a:blip r:embed="rId15"/>
                          <a:stretch>
                            <a:fillRect/>
                          </a:stretch>
                        </pic:blipFill>
                        <pic:spPr>
                          <a:xfrm>
                            <a:off x="0" y="0"/>
                            <a:ext cx="1499616" cy="812292"/>
                          </a:xfrm>
                          <a:prstGeom prst="rect"/>
                        </pic:spPr>
                      </pic:pic>
                    </a:graphicData>
                  </a:graphic>
                </wp:inline>
              </w:drawing>
            </w:r>
          </w:p>
        </w:tc>
      </w:tr>
      <w:tr>
        <w:tc>
          <w:tcPr>
            <w:tcW w:type="dxa" w:w="2509"/>
          </w:tcPr>
          <w:p>
            <w:pPr>
              <w:jc w:val="center"/>
            </w:pPr>
            <w:r>
              <w:rPr>
                <w:b/>
                <w:sz w:val="16"/>
              </w:rPr>
              <w:t>W4 concept</w:t>
            </w:r>
          </w:p>
        </w:tc>
        <w:tc>
          <w:tcPr>
            <w:tcW w:type="dxa" w:w="2509"/>
          </w:tcPr>
          <w:p>
            <w:pPr>
              <w:jc w:val="center"/>
            </w:pPr>
            <w:r>
              <w:rPr>
                <w:b/>
                <w:sz w:val="16"/>
              </w:rPr>
              <w:t>D8 / E8 concept</w:t>
            </w:r>
          </w:p>
        </w:tc>
        <w:tc>
          <w:tcPr>
            <w:tcW w:type="dxa" w:w="2509"/>
          </w:tcPr>
          <w:p>
            <w:pPr>
              <w:jc w:val="center"/>
            </w:pPr>
            <w:r>
              <w:rPr>
                <w:b/>
                <w:sz w:val="16"/>
              </w:rPr>
              <w:t>E16 concept</w:t>
            </w:r>
          </w:p>
        </w:tc>
        <w:tc>
          <w:tcPr>
            <w:tcW w:type="dxa" w:w="2509"/>
          </w:tcPr>
          <w:p>
            <w:pPr>
              <w:jc w:val="center"/>
            </w:pPr>
            <w:r>
              <w:rPr>
                <w:b/>
                <w:sz w:val="16"/>
              </w:rPr>
              <w:t>E24 stretch concept</w:t>
            </w:r>
          </w:p>
        </w:tc>
      </w:tr>
    </w:tbl>
    <w:p>
      <w:pPr>
        <w:pStyle w:val="Caption"/>
      </w:pPr>
      <w:r>
        <w:rPr>
          <w:b w:val="0"/>
        </w:rPr>
        <w:t>Hypothetical industrial-design illustrations only. Not OEM-approved mechanics, renderings of a shipping system, or evidence of qualified bay count.</w:t>
      </w:r>
    </w:p>
    <w:p>
      <w:pPr>
        <w:pStyle w:val="Heading2"/>
      </w:pPr>
      <w:r>
        <w:t>Recommended launch discipline</w:t>
      </w:r>
    </w:p>
    <w:p>
      <w:r>
        <w:rPr>
          <w:b w:val="0"/>
        </w:rPr>
        <w:t>Lead with D8 and E16 proof. Treat W4 as a derivative after power/acoustics and small-team economics pass. E8 is the enterprise packaging of the 8-device design. E24 advances only when six-domain communication, thermal margin, service capacity and customer demand justify it.</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MEMORY TERMINOLOGY  </w:t>
            </w:r>
            <w:r>
              <w:rPr>
                <w:sz w:val="20"/>
              </w:rPr>
              <w:t>HBF is distributed model/data residency. LPDDR/SRAM is working state. Host ECC DRAM holds software/index/control data. These capacities must never be added into a claim of one coherent GPU-like memory pool.</w:t>
            </w:r>
          </w:p>
        </w:tc>
      </w:tr>
    </w:tbl>
    <w:p>
      <w:r>
        <w:br w:type="page"/>
      </w:r>
    </w:p>
    <w:p>
      <w:bookmarkStart w:id="3" w:name="PRD_03"/>
      <w:pPr>
        <w:pStyle w:val="Heading1"/>
      </w:pPr>
      <w:r>
        <w:t>3. OEM system specification: a quote-ready study</w:t>
      </w:r>
      <w:bookmarkEnd w:id="3"/>
    </w:p>
    <w:p>
      <w:r>
        <w:rPr>
          <w:b w:val="0"/>
        </w:rPr>
        <w:t>The table defines concrete reference configurations to request from OEMs. CPU models are study references; final vendor BOMs may use equivalent Intel or AMD parts. No configuration below is ATMOS-certified. [I1 §§13–15; S25–S29]</w:t>
      </w:r>
    </w:p>
    <w:tbl>
      <w:tblPr>
        <w:tblW w:type="auto" w:w="0"/>
        <w:jc w:val="center"/>
        <w:tblLayout w:type="fixed"/>
        <w:tblLook w:firstColumn="1" w:firstRow="1" w:lastColumn="0" w:lastRow="0" w:noHBand="0" w:noVBand="1" w:val="04A0"/>
      </w:tblPr>
      <w:tblGrid>
        <w:gridCol w:w="1699"/>
        <w:gridCol w:w="1958"/>
        <w:gridCol w:w="2131"/>
        <w:gridCol w:w="2131"/>
        <w:gridCol w:w="2117"/>
      </w:tblGrid>
      <w:tr>
        <w:trPr>
          <w:cantSplit/>
          <w:tblHeader/>
        </w:trPr>
        <w:tc>
          <w:tcPr>
            <w:tcW w:type="dxa" w:w="169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Subsystem</w:t>
            </w:r>
          </w:p>
        </w:tc>
        <w:tc>
          <w:tcPr>
            <w:tcW w:type="dxa" w:w="195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W4</w:t>
            </w:r>
          </w:p>
        </w:tc>
        <w:tc>
          <w:tcPr>
            <w:tcW w:type="dxa" w:w="2131"/>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D8 / E8</w:t>
            </w:r>
          </w:p>
        </w:tc>
        <w:tc>
          <w:tcPr>
            <w:tcW w:type="dxa" w:w="2131"/>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E16</w:t>
            </w:r>
          </w:p>
        </w:tc>
        <w:tc>
          <w:tcPr>
            <w:tcW w:type="dxa" w:w="2117"/>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E24 / stretch</w:t>
            </w:r>
          </w:p>
        </w:tc>
      </w:tr>
      <w:tr>
        <w:trPr>
          <w:cantSplit/>
        </w:trPr>
        <w:tc>
          <w:tcPr>
            <w:tcW w:type="dxa" w:w="169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Host CPU</w:t>
            </w:r>
          </w:p>
        </w:tc>
        <w:tc>
          <w:tcPr>
            <w:tcW w:type="dxa" w:w="195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 high-lane EPYC 9135-class; 16 cores</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 EPYC 9355P-class; 32 cores</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 EPYC 9355-class; 32 cores each</w:t>
            </w:r>
          </w:p>
        </w:tc>
        <w:tc>
          <w:tcPr>
            <w:tcW w:type="dxa" w:w="211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 high-lane sockets; three groups/root study</w:t>
            </w:r>
          </w:p>
        </w:tc>
      </w:tr>
      <w:tr>
        <w:trPr>
          <w:cantSplit/>
        </w:trPr>
        <w:tc>
          <w:tcPr>
            <w:tcW w:type="dxa" w:w="169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Host DRAM</w:t>
            </w:r>
          </w:p>
        </w:tc>
        <w:tc>
          <w:tcPr>
            <w:tcW w:type="dxa" w:w="195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128–256GB ECC</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256–512GB ECC</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512GB–1TB ECC</w:t>
            </w:r>
          </w:p>
        </w:tc>
        <w:tc>
          <w:tcPr>
            <w:tcW w:type="dxa" w:w="211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1TB+ ECC</w:t>
            </w:r>
          </w:p>
        </w:tc>
      </w:tr>
      <w:tr>
        <w:trPr>
          <w:cantSplit/>
        </w:trPr>
        <w:tc>
          <w:tcPr>
            <w:tcW w:type="dxa" w:w="169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Data NVMe</w:t>
            </w:r>
          </w:p>
        </w:tc>
        <w:tc>
          <w:tcPr>
            <w:tcW w:type="dxa" w:w="195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 × 1.92TB mirror</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 × 3.84TB mirror</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 × 7.68TB mirror</w:t>
            </w:r>
          </w:p>
        </w:tc>
        <w:tc>
          <w:tcPr>
            <w:tcW w:type="dxa" w:w="211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 × 15.36TB mirror</w:t>
            </w:r>
          </w:p>
        </w:tc>
      </w:tr>
      <w:tr>
        <w:trPr>
          <w:cantSplit/>
        </w:trPr>
        <w:tc>
          <w:tcPr>
            <w:tcW w:type="dxa" w:w="169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Service network</w:t>
            </w:r>
          </w:p>
        </w:tc>
        <w:tc>
          <w:tcPr>
            <w:tcW w:type="dxa" w:w="195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25GbE; 100GbE option</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100GbE; E8 redundant paths</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Dual 100/200GbE</w:t>
            </w:r>
          </w:p>
        </w:tc>
        <w:tc>
          <w:tcPr>
            <w:tcW w:type="dxa" w:w="211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Dual 200/400GbE</w:t>
            </w:r>
          </w:p>
        </w:tc>
      </w:tr>
      <w:tr>
        <w:trPr>
          <w:cantSplit/>
        </w:trPr>
        <w:tc>
          <w:tcPr>
            <w:tcW w:type="dxa" w:w="169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ATMOS topology</w:t>
            </w:r>
          </w:p>
        </w:tc>
        <w:tc>
          <w:tcPr>
            <w:tcW w:type="dxa" w:w="195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 four-device domain</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 domains</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4 domains</w:t>
            </w:r>
          </w:p>
        </w:tc>
        <w:tc>
          <w:tcPr>
            <w:tcW w:type="dxa" w:w="211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6 domains</w:t>
            </w:r>
          </w:p>
        </w:tc>
      </w:tr>
      <w:tr>
        <w:trPr>
          <w:cantSplit/>
        </w:trPr>
        <w:tc>
          <w:tcPr>
            <w:tcW w:type="dxa" w:w="169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Enclosure</w:t>
            </w:r>
          </w:p>
        </w:tc>
        <w:tc>
          <w:tcPr>
            <w:tcW w:type="dxa" w:w="195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Pedestal / short-depth study</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2U/3U candidate</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4U conservative; 2U if proven</w:t>
            </w:r>
          </w:p>
        </w:tc>
        <w:tc>
          <w:tcPr>
            <w:tcW w:type="dxa" w:w="211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4U+; no density promise</w:t>
            </w:r>
          </w:p>
        </w:tc>
      </w:tr>
      <w:tr>
        <w:trPr>
          <w:cantSplit/>
        </w:trPr>
        <w:tc>
          <w:tcPr>
            <w:tcW w:type="dxa" w:w="169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Device-only power</w:t>
            </w:r>
          </w:p>
        </w:tc>
        <w:tc>
          <w:tcPr>
            <w:tcW w:type="dxa" w:w="195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120–160W target</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240–320W target</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480–640W target</w:t>
            </w:r>
          </w:p>
        </w:tc>
        <w:tc>
          <w:tcPr>
            <w:tcW w:type="dxa" w:w="211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720–960W target</w:t>
            </w:r>
          </w:p>
        </w:tc>
      </w:tr>
      <w:tr>
        <w:trPr>
          <w:cantSplit/>
        </w:trPr>
        <w:tc>
          <w:tcPr>
            <w:tcW w:type="dxa" w:w="169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Whole-node TCO input</w:t>
            </w:r>
          </w:p>
        </w:tc>
        <w:tc>
          <w:tcPr>
            <w:tcW w:type="dxa" w:w="195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0.45kW assumption</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0.8 / 0.9kW assumption</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1.5kW assumption</w:t>
            </w:r>
          </w:p>
        </w:tc>
        <w:tc>
          <w:tcPr>
            <w:tcW w:type="dxa" w:w="211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2.2kW assumption</w:t>
            </w:r>
          </w:p>
        </w:tc>
      </w:tr>
    </w:tbl>
    <w:p>
      <w:pPr>
        <w:spacing w:after="0"/>
      </w:pPr>
      <w:r>
        <w:rPr>
          <w:b w:val="0"/>
        </w:rPr>
      </w:r>
    </w:p>
    <w:p>
      <w:r>
        <w:rPr>
          <w:b w:val="0"/>
        </w:rPr>
        <w:t>NVMe values are raw drive capacities: a two-drive mirror exposes approximately one drive’s nominal capacity before filesystem and reserve overhead. Neither boot SSDs nor source documents should be silently charged to the HBF application allocation.</w:t>
      </w:r>
    </w:p>
    <w:p>
      <w:pPr>
        <w:pStyle w:val="Heading2"/>
      </w:pPr>
      <w:r>
        <w:t>OEM candidate selection</w:t>
      </w:r>
    </w:p>
    <w:tbl>
      <w:tblPr>
        <w:tblW w:type="auto" w:w="0"/>
        <w:jc w:val="center"/>
        <w:tblLayout w:type="fixed"/>
        <w:tblLook w:firstColumn="1" w:firstRow="1" w:lastColumn="0" w:lastRow="0" w:noHBand="0" w:noVBand="1" w:val="04A0"/>
      </w:tblPr>
      <w:tblGrid>
        <w:gridCol w:w="2016"/>
        <w:gridCol w:w="3456"/>
        <w:gridCol w:w="4565"/>
      </w:tblGrid>
      <w:tr>
        <w:trPr>
          <w:cantSplit/>
          <w:tblHeader/>
        </w:trPr>
        <w:tc>
          <w:tcPr>
            <w:tcW w:type="dxa" w:w="201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Candidate</w:t>
            </w:r>
          </w:p>
        </w:tc>
        <w:tc>
          <w:tcPr>
            <w:tcW w:type="dxa" w:w="345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Why it is credible</w:t>
            </w:r>
          </w:p>
        </w:tc>
        <w:tc>
          <w:tcPr>
            <w:tcW w:type="dxa" w:w="456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remains unproven</w:t>
            </w:r>
          </w:p>
        </w:tc>
      </w:tr>
      <w:tr>
        <w:trPr>
          <w:cantSplit/>
        </w:trPr>
        <w:tc>
          <w:tcPr>
            <w:tcW w:type="dxa" w:w="201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Supermicro X14 Petascale</w:t>
            </w:r>
          </w:p>
        </w:tc>
        <w:tc>
          <w:tcPr>
            <w:tcW w:type="dxa" w:w="345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E3.S-rich family and separate E3.S 2T CXL configurations. [S25]</w:t>
            </w:r>
          </w:p>
        </w:tc>
        <w:tc>
          <w:tcPr>
            <w:tcW w:type="dxa" w:w="456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CXL or 1T storage bays are not proof of 2T/x4 ATMOS accelerator support.</w:t>
            </w:r>
          </w:p>
        </w:tc>
      </w:tr>
      <w:tr>
        <w:trPr>
          <w:cantSplit/>
        </w:trPr>
        <w:tc>
          <w:tcPr>
            <w:tcW w:type="dxa" w:w="201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Dell R7725 family</w:t>
            </w:r>
          </w:p>
        </w:tc>
        <w:tc>
          <w:tcPr>
            <w:tcW w:type="dxa" w:w="345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Enterprise server lifecycle and documented E3.S options. [S26]</w:t>
            </w:r>
          </w:p>
        </w:tc>
        <w:tc>
          <w:tcPr>
            <w:tcW w:type="dxa" w:w="456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Exact x4/2T backplane, switch grouping, sustained bay power and commercial support.</w:t>
            </w:r>
          </w:p>
        </w:tc>
      </w:tr>
      <w:tr>
        <w:trPr>
          <w:cantSplit/>
        </w:trPr>
        <w:tc>
          <w:tcPr>
            <w:tcW w:type="dxa" w:w="201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HPE DL380 / DL345 Gen12</w:t>
            </w:r>
          </w:p>
        </w:tc>
        <w:tc>
          <w:tcPr>
            <w:tcW w:type="dxa" w:w="345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Source-listed enterprise/cabling/thermal candidates. [I1, S27]</w:t>
            </w:r>
          </w:p>
        </w:tc>
        <w:tc>
          <w:tcPr>
            <w:tcW w:type="dxa" w:w="456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Return current QuickSpecs, 2T mechanics, thermal exclusions and a signed BOM.</w:t>
            </w:r>
          </w:p>
        </w:tc>
      </w:tr>
    </w:tbl>
    <w:p>
      <w:pPr>
        <w:spacing w:after="0"/>
      </w:pPr>
      <w:r>
        <w:rPr>
          <w:b w:val="0"/>
        </w:rPr>
      </w:r>
    </w:p>
    <w:p>
      <w:pPr>
        <w:pStyle w:val="Caption"/>
      </w:pPr>
      <w:r>
        <w:rPr>
          <w:b w:val="0"/>
        </w:rPr>
        <w:t>Whole-node power is a planning input, not a measured specification or sum of TDPs. Redundant PSUs must carry full qualified load after one PSU loss. W4 noise, circuit and ambient requirements need physical validation.</w:t>
      </w:r>
    </w:p>
    <w:p>
      <w:pPr>
        <w:pStyle w:val="Heading2"/>
      </w:pPr>
      <w:r>
        <w:t>Four-device fabric and NUMA requirement</w:t>
      </w:r>
    </w:p>
    <w:p>
      <w:r>
        <w:rPr>
          <w:b w:val="0"/>
        </w:rPr>
        <w:t>Each study domain is one CPU/root path → Gen5 x16 switch uplink → four Gen5 x4 ATMOS endpoints. Both sides have about 63 GB/s per-direction coded capacity before transaction overhead; this is not measured payload bandwidth. One domain uses the same 16 host lanes as four direct x4 devices. Domain counts 1/2/4/6 consume 16/32/64/96 host lanes. Pin host buffers and service threads to the appropriate NUMA node; measure every cross-root path. Peer DMA, isolation and reset behavior require cooperating drivers. Gen6 is a separately qualified endpoint/root/switch path, not a software upgrade. [I1 §2; S38]</w:t>
      </w:r>
    </w:p>
    <w:p>
      <w:r>
        <w:br w:type="page"/>
      </w:r>
    </w:p>
    <w:p>
      <w:bookmarkStart w:id="4" w:name="PRD_04"/>
      <w:pPr>
        <w:pStyle w:val="Heading1"/>
      </w:pPr>
      <w:r>
        <w:t>4. Cost: separate an OEM quote from a design budget</w:t>
      </w:r>
      <w:bookmarkEnd w:id="4"/>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NOT A PRICE LIST  </w:t>
            </w:r>
            <w:r>
              <w:rPr>
                <w:sz w:val="20"/>
              </w:rPr>
              <w:t>No ATMOS module price or qualified OEM system quotation is available. The figures below are new acquisition-budget scenarios to structure RFQs. They are not supplier costs, selling prices or approved margins.</w:t>
            </w:r>
          </w:p>
        </w:tc>
      </w:tr>
    </w:tbl>
    <w:tbl>
      <w:tblPr>
        <w:tblW w:type="auto" w:w="0"/>
        <w:jc w:val="center"/>
        <w:tblLayout w:type="fixed"/>
        <w:tblLook w:firstColumn="1" w:firstRow="1" w:lastColumn="0" w:lastRow="0" w:noHBand="0" w:noVBand="1" w:val="04A0"/>
      </w:tblPr>
      <w:tblGrid>
        <w:gridCol w:w="3312"/>
        <w:gridCol w:w="1339"/>
        <w:gridCol w:w="1339"/>
        <w:gridCol w:w="1339"/>
        <w:gridCol w:w="1354"/>
        <w:gridCol w:w="1354"/>
      </w:tblGrid>
      <w:tr>
        <w:trPr>
          <w:cantSplit/>
          <w:tblHeader/>
        </w:trPr>
        <w:tc>
          <w:tcPr>
            <w:tcW w:type="dxa" w:w="331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USD thousands</w:t>
            </w:r>
          </w:p>
        </w:tc>
        <w:tc>
          <w:tcPr>
            <w:tcW w:type="dxa" w:w="133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W4</w:t>
            </w:r>
          </w:p>
        </w:tc>
        <w:tc>
          <w:tcPr>
            <w:tcW w:type="dxa" w:w="133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D8</w:t>
            </w:r>
          </w:p>
        </w:tc>
        <w:tc>
          <w:tcPr>
            <w:tcW w:type="dxa" w:w="133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E8</w:t>
            </w:r>
          </w:p>
        </w:tc>
        <w:tc>
          <w:tcPr>
            <w:tcW w:type="dxa" w:w="135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E16</w:t>
            </w:r>
          </w:p>
        </w:tc>
        <w:tc>
          <w:tcPr>
            <w:tcW w:type="dxa" w:w="135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E24</w:t>
            </w:r>
          </w:p>
        </w:tc>
      </w:tr>
      <w:tr>
        <w:trPr>
          <w:cantSplit/>
        </w:trPr>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OEM CPU/DRAM/NVMe/NIC/chassis</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6</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14</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17</w:t>
            </w:r>
          </w:p>
        </w:tc>
        <w:tc>
          <w:tcPr>
            <w:tcW w:type="dxa" w:w="135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27</w:t>
            </w:r>
          </w:p>
        </w:tc>
        <w:tc>
          <w:tcPr>
            <w:tcW w:type="dxa" w:w="135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41</w:t>
            </w:r>
          </w:p>
        </w:tc>
      </w:tr>
      <w:tr>
        <w:trPr>
          <w:cantSplit/>
        </w:trPr>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Switch/carrier/cabling allowance</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2</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4</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4</w:t>
            </w:r>
          </w:p>
        </w:tc>
        <w:tc>
          <w:tcPr>
            <w:tcW w:type="dxa" w:w="135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8</w:t>
            </w:r>
          </w:p>
        </w:tc>
        <w:tc>
          <w:tcPr>
            <w:tcW w:type="dxa" w:w="135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12</w:t>
            </w:r>
          </w:p>
        </w:tc>
      </w:tr>
      <w:tr>
        <w:trPr>
          <w:cantSplit/>
        </w:trPr>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Factory validation/integration allowance</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3</w:t>
            </w:r>
          </w:p>
        </w:tc>
        <w:tc>
          <w:tcPr>
            <w:tcW w:type="dxa" w:w="135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5</w:t>
            </w:r>
          </w:p>
        </w:tc>
        <w:tc>
          <w:tcPr>
            <w:tcW w:type="dxa" w:w="135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7</w:t>
            </w:r>
          </w:p>
        </w:tc>
      </w:tr>
      <w:tr>
        <w:trPr>
          <w:cantSplit/>
        </w:trPr>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OEM subtotal</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9</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20</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24</w:t>
            </w:r>
          </w:p>
        </w:tc>
        <w:tc>
          <w:tcPr>
            <w:tcW w:type="dxa" w:w="135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40</w:t>
            </w:r>
          </w:p>
        </w:tc>
        <w:tc>
          <w:tcPr>
            <w:tcW w:type="dxa" w:w="135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60</w:t>
            </w:r>
          </w:p>
        </w:tc>
      </w:tr>
      <w:tr>
        <w:trPr>
          <w:cantSplit/>
        </w:trPr>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ATMOS: $3.5k/module assumption</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14.0</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28.0</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28.0</w:t>
            </w:r>
          </w:p>
        </w:tc>
        <w:tc>
          <w:tcPr>
            <w:tcW w:type="dxa" w:w="135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56.0</w:t>
            </w:r>
          </w:p>
        </w:tc>
        <w:tc>
          <w:tcPr>
            <w:tcW w:type="dxa" w:w="135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84.0</w:t>
            </w:r>
          </w:p>
        </w:tc>
      </w:tr>
      <w:tr>
        <w:trPr>
          <w:cantSplit/>
        </w:trPr>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Reference acquisition budget</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23</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48</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52</w:t>
            </w:r>
          </w:p>
        </w:tc>
        <w:tc>
          <w:tcPr>
            <w:tcW w:type="dxa" w:w="135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96</w:t>
            </w:r>
          </w:p>
        </w:tc>
        <w:tc>
          <w:tcPr>
            <w:tcW w:type="dxa" w:w="135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144</w:t>
            </w:r>
          </w:p>
        </w:tc>
      </w:tr>
      <w:tr>
        <w:trPr>
          <w:cantSplit/>
        </w:trPr>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Budget sensitivity range</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17–32</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34–64</w:t>
            </w:r>
          </w:p>
        </w:tc>
        <w:tc>
          <w:tcPr>
            <w:tcW w:type="dxa" w:w="133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38–68</w:t>
            </w:r>
          </w:p>
        </w:tc>
        <w:tc>
          <w:tcPr>
            <w:tcW w:type="dxa" w:w="135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70–128</w:t>
            </w:r>
          </w:p>
        </w:tc>
        <w:tc>
          <w:tcPr>
            <w:tcW w:type="dxa" w:w="135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105–190</w:t>
            </w:r>
          </w:p>
        </w:tc>
      </w:tr>
      <w:tr>
        <w:trPr>
          <w:cantSplit/>
        </w:trPr>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Annual software/support target</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2</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6</w:t>
            </w:r>
          </w:p>
        </w:tc>
        <w:tc>
          <w:tcPr>
            <w:tcW w:type="dxa" w:w="133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8</w:t>
            </w:r>
          </w:p>
        </w:tc>
        <w:tc>
          <w:tcPr>
            <w:tcW w:type="dxa" w:w="135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12</w:t>
            </w:r>
          </w:p>
        </w:tc>
        <w:tc>
          <w:tcPr>
            <w:tcW w:type="dxa" w:w="135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18</w:t>
            </w:r>
          </w:p>
        </w:tc>
      </w:tr>
    </w:tbl>
    <w:p>
      <w:pPr>
        <w:spacing w:after="0"/>
      </w:pPr>
      <w:r>
        <w:rPr>
          <w:b w:val="0"/>
        </w:rPr>
      </w:r>
    </w:p>
    <w:p>
      <w:r>
        <w:rPr>
          <w:b w:val="0"/>
        </w:rPr>
        <w:t>Sensitivity combines a $2.5k–$5k per-module acquisition allowance with variable OEM/integration budgets. These values are deliberately not derived from “70% of NVIDIA.” Product finance must obtain landed BOM, yield, warranty reserves, OEM NRE, channel margin and manufacturing commitments before setting price.</w:t>
      </w:r>
    </w:p>
    <w:p>
      <w:pPr>
        <w:pStyle w:val="Heading2"/>
      </w:pPr>
      <w:r>
        <w:t>Public price anchors—not equivalent workloads</w:t>
      </w:r>
    </w:p>
    <w:tbl>
      <w:tblPr>
        <w:tblW w:type="auto" w:w="0"/>
        <w:jc w:val="center"/>
        <w:tblLayout w:type="fixed"/>
        <w:tblLook w:firstColumn="1" w:firstRow="1" w:lastColumn="0" w:lastRow="0" w:noHBand="0" w:noVBand="1" w:val="04A0"/>
      </w:tblPr>
      <w:tblGrid>
        <w:gridCol w:w="2232"/>
        <w:gridCol w:w="2419"/>
        <w:gridCol w:w="5386"/>
      </w:tblGrid>
      <w:tr>
        <w:trPr>
          <w:cantSplit/>
          <w:tblHeader/>
        </w:trPr>
        <w:tc>
          <w:tcPr>
            <w:tcW w:type="dxa" w:w="223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Public reference</w:t>
            </w:r>
          </w:p>
        </w:tc>
        <w:tc>
          <w:tcPr>
            <w:tcW w:type="dxa" w:w="241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Price evidence</w:t>
            </w:r>
          </w:p>
        </w:tc>
        <w:tc>
          <w:tcPr>
            <w:tcW w:type="dxa" w:w="538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Scope</w:t>
            </w:r>
          </w:p>
        </w:tc>
      </w:tr>
      <w:tr>
        <w:trPr>
          <w:cantSplit/>
        </w:trPr>
        <w:tc>
          <w:tcPr>
            <w:tcW w:type="dxa" w:w="223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Dell Pro Max GB10</w:t>
            </w:r>
          </w:p>
        </w:tc>
        <w:tc>
          <w:tcPr>
            <w:tcW w:type="dxa" w:w="24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Observed $9,007</w:t>
            </w:r>
          </w:p>
        </w:tc>
        <w:tc>
          <w:tcPr>
            <w:tcW w:type="dxa" w:w="538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128GB / selected 4TB US configuration; refresh tax/support/availability. [S08]</w:t>
            </w:r>
          </w:p>
        </w:tc>
      </w:tr>
      <w:tr>
        <w:trPr>
          <w:cantSplit/>
        </w:trPr>
        <w:tc>
          <w:tcPr>
            <w:tcW w:type="dxa" w:w="223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Exxact DGX Station</w:t>
            </w:r>
          </w:p>
        </w:tc>
        <w:tc>
          <w:tcPr>
            <w:tcW w:type="dxa" w:w="24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Observed $96,250</w:t>
            </w:r>
          </w:p>
        </w:tc>
        <w:tc>
          <w:tcPr>
            <w:tcW w:type="dxa" w:w="538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Essential VWS-158270643 configured listing. [S10]</w:t>
            </w:r>
          </w:p>
        </w:tc>
      </w:tr>
      <w:tr>
        <w:trPr>
          <w:cantSplit/>
        </w:trPr>
        <w:tc>
          <w:tcPr>
            <w:tcW w:type="dxa" w:w="223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DGX Spark</w:t>
            </w:r>
          </w:p>
        </w:tc>
        <w:tc>
          <w:tcPr>
            <w:tcW w:type="dxa" w:w="24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Historical Feb-2026 MSRP $4,699</w:t>
            </w:r>
          </w:p>
        </w:tc>
        <w:tc>
          <w:tcPr>
            <w:tcW w:type="dxa" w:w="538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Current official store price was not verifiable from retrieved text; request a quote. [S07]</w:t>
            </w:r>
          </w:p>
        </w:tc>
      </w:tr>
      <w:tr>
        <w:trPr>
          <w:cantSplit/>
        </w:trPr>
        <w:tc>
          <w:tcPr>
            <w:tcW w:type="dxa" w:w="223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CPU-only reference</w:t>
            </w:r>
          </w:p>
        </w:tc>
        <w:tc>
          <w:tcPr>
            <w:tcW w:type="dxa" w:w="24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EPYC 9355P $2,998 at 1KU launch</w:t>
            </w:r>
          </w:p>
        </w:tc>
        <w:tc>
          <w:tcPr>
            <w:tcW w:type="dxa" w:w="538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Historical Oct-2024 CPU pricing, not a current complete-server quote. [S29]</w:t>
            </w:r>
          </w:p>
        </w:tc>
      </w:tr>
    </w:tbl>
    <w:p>
      <w:pPr>
        <w:spacing w:after="0"/>
      </w:pPr>
      <w:r>
        <w:rPr>
          <w:b w:val="0"/>
        </w:rPr>
      </w:r>
    </w:p>
    <w:p>
      <w:r>
        <w:rPr>
          <w:b w:val="0"/>
        </w:rPr>
        <w:t>The W4 $23k budget is not cheaper than the observed GB10 system. It only merits a product if a larger catalog, richer representation, supported software or a different service profile creates enough additional customer value.</w:t>
      </w:r>
    </w:p>
    <w:p>
      <w:pPr>
        <w:pStyle w:val="Caption"/>
      </w:pPr>
      <w:r>
        <w:rPr>
          <w:b w:val="0"/>
        </w:rPr>
        <w:t>Three-year TCO = acquisition + 3 × annual subscription/support + 3 × measured IT kW × PUE × annual hours × electricity, plus site/migration/HA costs. See §18 for the explicit scenario and exclusions.</w:t>
      </w:r>
    </w:p>
    <w:p>
      <w:r>
        <w:br w:type="page"/>
      </w:r>
    </w:p>
    <w:p>
      <w:bookmarkStart w:id="5" w:name="PRD_05"/>
      <w:pPr>
        <w:pStyle w:val="Heading1"/>
      </w:pPr>
      <w:r>
        <w:t>5. Performance: offer service profiles, not TOPS</w:t>
      </w:r>
      <w:bookmarkEnd w:id="5"/>
    </w:p>
    <w:p>
      <w:r>
        <w:rPr>
          <w:b w:val="0"/>
        </w:rPr>
        <w:t>No achieved ATMOS TTFT or throughput is supplied. The following are proposed qualification targets, not customer SLAs. A saleable profile must name the checkpoint, precision, context, hardware, concurrency, cache state and supported API parameters. Larger SKUs scale replicas/capacity; they do not inherently make one token faster.</w:t>
      </w:r>
    </w:p>
    <w:p>
      <w:pPr>
        <w:pStyle w:val="Heading2"/>
      </w:pPr>
      <w:r>
        <w:t>G1 — Bounded private-generation qualification profile</w:t>
      </w:r>
    </w:p>
    <w:p>
      <w:r>
        <w:rPr>
          <w:b w:val="0"/>
        </w:rPr>
        <w:t>One 8B-class checkpoint selected at G0; qualified FP8 weights, BF16 activation/KV; 2,048 input tokens and 256 output tokens; 8,192-token total-context cap; warm resident model; no reusable-prefix hit; no speculative decoding. Use one complete four-device model replica per domain for the initial test. This is a test deployment, not proven optimal placement.</w:t>
      </w:r>
    </w:p>
    <w:tbl>
      <w:tblPr>
        <w:tblW w:type="auto" w:w="0"/>
        <w:jc w:val="center"/>
        <w:tblLayout w:type="fixed"/>
        <w:tblLook w:firstColumn="1" w:firstRow="1" w:lastColumn="0" w:lastRow="0" w:noHBand="0" w:noVBand="1" w:val="04A0"/>
      </w:tblPr>
      <w:tblGrid>
        <w:gridCol w:w="3528"/>
        <w:gridCol w:w="1296"/>
        <w:gridCol w:w="1296"/>
        <w:gridCol w:w="1296"/>
        <w:gridCol w:w="1310"/>
        <w:gridCol w:w="1310"/>
      </w:tblGrid>
      <w:tr>
        <w:trPr>
          <w:cantSplit/>
          <w:tblHeader/>
        </w:trPr>
        <w:tc>
          <w:tcPr>
            <w:tcW w:type="dxa" w:w="352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Metric / target</w:t>
            </w:r>
          </w:p>
        </w:tc>
        <w:tc>
          <w:tcPr>
            <w:tcW w:type="dxa" w:w="129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W4</w:t>
            </w:r>
          </w:p>
        </w:tc>
        <w:tc>
          <w:tcPr>
            <w:tcW w:type="dxa" w:w="129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D8</w:t>
            </w:r>
          </w:p>
        </w:tc>
        <w:tc>
          <w:tcPr>
            <w:tcW w:type="dxa" w:w="129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E8</w:t>
            </w:r>
          </w:p>
        </w:tc>
        <w:tc>
          <w:tcPr>
            <w:tcW w:type="dxa" w:w="131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E16</w:t>
            </w:r>
          </w:p>
        </w:tc>
        <w:tc>
          <w:tcPr>
            <w:tcW w:type="dxa" w:w="131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E24</w:t>
            </w:r>
          </w:p>
        </w:tc>
      </w:tr>
      <w:tr>
        <w:trPr>
          <w:cantSplit/>
        </w:trPr>
        <w:tc>
          <w:tcPr>
            <w:tcW w:type="dxa" w:w="352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Concurrent decode sequences</w:t>
            </w:r>
          </w:p>
        </w:tc>
        <w:tc>
          <w:tcPr>
            <w:tcW w:type="dxa" w:w="12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4</w:t>
            </w:r>
          </w:p>
        </w:tc>
        <w:tc>
          <w:tcPr>
            <w:tcW w:type="dxa" w:w="12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8</w:t>
            </w:r>
          </w:p>
        </w:tc>
        <w:tc>
          <w:tcPr>
            <w:tcW w:type="dxa" w:w="12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8</w:t>
            </w:r>
          </w:p>
        </w:tc>
        <w:tc>
          <w:tcPr>
            <w:tcW w:type="dxa" w:w="131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16</w:t>
            </w:r>
          </w:p>
        </w:tc>
        <w:tc>
          <w:tcPr>
            <w:tcW w:type="dxa" w:w="131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24</w:t>
            </w:r>
          </w:p>
        </w:tc>
      </w:tr>
      <w:tr>
        <w:trPr>
          <w:cantSplit/>
        </w:trPr>
        <w:tc>
          <w:tcPr>
            <w:tcW w:type="dxa" w:w="352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Aggregate accepted output tok/s ≥</w:t>
            </w:r>
          </w:p>
        </w:tc>
        <w:tc>
          <w:tcPr>
            <w:tcW w:type="dxa" w:w="129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40</w:t>
            </w:r>
          </w:p>
        </w:tc>
        <w:tc>
          <w:tcPr>
            <w:tcW w:type="dxa" w:w="129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80</w:t>
            </w:r>
          </w:p>
        </w:tc>
        <w:tc>
          <w:tcPr>
            <w:tcW w:type="dxa" w:w="129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80</w:t>
            </w:r>
          </w:p>
        </w:tc>
        <w:tc>
          <w:tcPr>
            <w:tcW w:type="dxa" w:w="131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160</w:t>
            </w:r>
          </w:p>
        </w:tc>
        <w:tc>
          <w:tcPr>
            <w:tcW w:type="dxa" w:w="131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240</w:t>
            </w:r>
          </w:p>
        </w:tc>
      </w:tr>
      <w:tr>
        <w:trPr>
          <w:cantSplit/>
        </w:trPr>
        <w:tc>
          <w:tcPr>
            <w:tcW w:type="dxa" w:w="352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p95 request TTFT ≤</w:t>
            </w:r>
          </w:p>
        </w:tc>
        <w:tc>
          <w:tcPr>
            <w:tcW w:type="dxa" w:w="12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3s</w:t>
            </w:r>
          </w:p>
        </w:tc>
        <w:tc>
          <w:tcPr>
            <w:tcW w:type="dxa" w:w="12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3s</w:t>
            </w:r>
          </w:p>
        </w:tc>
        <w:tc>
          <w:tcPr>
            <w:tcW w:type="dxa" w:w="12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3s</w:t>
            </w:r>
          </w:p>
        </w:tc>
        <w:tc>
          <w:tcPr>
            <w:tcW w:type="dxa" w:w="131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3s</w:t>
            </w:r>
          </w:p>
        </w:tc>
        <w:tc>
          <w:tcPr>
            <w:tcW w:type="dxa" w:w="131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3s</w:t>
            </w:r>
          </w:p>
        </w:tc>
      </w:tr>
      <w:tr>
        <w:trPr>
          <w:cantSplit/>
        </w:trPr>
        <w:tc>
          <w:tcPr>
            <w:tcW w:type="dxa" w:w="352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p95 inter-token latency ≤</w:t>
            </w:r>
          </w:p>
        </w:tc>
        <w:tc>
          <w:tcPr>
            <w:tcW w:type="dxa" w:w="129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80ms</w:t>
            </w:r>
          </w:p>
        </w:tc>
        <w:tc>
          <w:tcPr>
            <w:tcW w:type="dxa" w:w="129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80ms</w:t>
            </w:r>
          </w:p>
        </w:tc>
        <w:tc>
          <w:tcPr>
            <w:tcW w:type="dxa" w:w="129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80ms</w:t>
            </w:r>
          </w:p>
        </w:tc>
        <w:tc>
          <w:tcPr>
            <w:tcW w:type="dxa" w:w="131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80ms</w:t>
            </w:r>
          </w:p>
        </w:tc>
        <w:tc>
          <w:tcPr>
            <w:tcW w:type="dxa" w:w="131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80ms</w:t>
            </w:r>
          </w:p>
        </w:tc>
      </w:tr>
      <w:tr>
        <w:trPr>
          <w:cantSplit/>
        </w:trPr>
        <w:tc>
          <w:tcPr>
            <w:tcW w:type="dxa" w:w="352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p99 TTFT / inter-token ceiling</w:t>
            </w:r>
          </w:p>
        </w:tc>
        <w:tc>
          <w:tcPr>
            <w:tcW w:type="dxa" w:w="12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5s / 120ms</w:t>
            </w:r>
          </w:p>
        </w:tc>
        <w:tc>
          <w:tcPr>
            <w:tcW w:type="dxa" w:w="12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same</w:t>
            </w:r>
          </w:p>
        </w:tc>
        <w:tc>
          <w:tcPr>
            <w:tcW w:type="dxa" w:w="12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same</w:t>
            </w:r>
          </w:p>
        </w:tc>
        <w:tc>
          <w:tcPr>
            <w:tcW w:type="dxa" w:w="131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same</w:t>
            </w:r>
          </w:p>
        </w:tc>
        <w:tc>
          <w:tcPr>
            <w:tcW w:type="dxa" w:w="131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same</w:t>
            </w:r>
          </w:p>
        </w:tc>
      </w:tr>
    </w:tbl>
    <w:p>
      <w:pPr>
        <w:spacing w:after="0"/>
      </w:pPr>
      <w:r>
        <w:rPr>
          <w:b w:val="0"/>
        </w:rPr>
      </w:r>
    </w:p>
    <w:p>
      <w:r>
        <w:rPr>
          <w:b w:val="0"/>
        </w:rPr>
        <w:t>Targets are tested together at a sustainable admitted load, including queueing. Report request-average TPOT separately from inter-token latency tails. The 40/80/160/240 ladder is a scale-out requirement, not a claim of measured linear scaling. D8 and E8 have identical performance targets.</w:t>
      </w:r>
    </w:p>
    <w:p>
      <w:pPr>
        <w:pStyle w:val="Heading2"/>
      </w:pPr>
      <w:r>
        <w:t>R1 — Retrieval + reranking qualification profile</w:t>
      </w:r>
    </w:p>
    <w:p>
      <w:r>
        <w:rPr>
          <w:b w:val="0"/>
        </w:rPr>
        <w:t>One million 512-token text chunks; 128-token query; CPU sparse/ANN shortlist plus at most 100 candidates of up to 384 tokens for a certified reranker. Freeze embedding/index generation, recall/NDCG, ACL mix and storage/cache state. No full-corpus scan is assumed.</w:t>
      </w:r>
    </w:p>
    <w:tbl>
      <w:tblPr>
        <w:tblW w:type="auto" w:w="0"/>
        <w:jc w:val="center"/>
        <w:tblLayout w:type="fixed"/>
        <w:tblLook w:firstColumn="1" w:firstRow="1" w:lastColumn="0" w:lastRow="0" w:noHBand="0" w:noVBand="1" w:val="04A0"/>
      </w:tblPr>
      <w:tblGrid>
        <w:gridCol w:w="3528"/>
        <w:gridCol w:w="1627"/>
        <w:gridCol w:w="1627"/>
        <w:gridCol w:w="1627"/>
        <w:gridCol w:w="1627"/>
      </w:tblGrid>
      <w:tr>
        <w:trPr>
          <w:cantSplit/>
          <w:tblHeader/>
        </w:trPr>
        <w:tc>
          <w:tcPr>
            <w:tcW w:type="dxa" w:w="352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Target</w:t>
            </w:r>
          </w:p>
        </w:tc>
        <w:tc>
          <w:tcPr>
            <w:tcW w:type="dxa" w:w="1627"/>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W4</w:t>
            </w:r>
          </w:p>
        </w:tc>
        <w:tc>
          <w:tcPr>
            <w:tcW w:type="dxa" w:w="1627"/>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D8 / E8</w:t>
            </w:r>
          </w:p>
        </w:tc>
        <w:tc>
          <w:tcPr>
            <w:tcW w:type="dxa" w:w="1627"/>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E16</w:t>
            </w:r>
          </w:p>
        </w:tc>
        <w:tc>
          <w:tcPr>
            <w:tcW w:type="dxa" w:w="1627"/>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E24</w:t>
            </w:r>
          </w:p>
        </w:tc>
      </w:tr>
      <w:tr>
        <w:trPr>
          <w:cantSplit/>
        </w:trPr>
        <w:tc>
          <w:tcPr>
            <w:tcW w:type="dxa" w:w="352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Accepted queries/s ≥</w:t>
            </w:r>
          </w:p>
        </w:tc>
        <w:tc>
          <w:tcPr>
            <w:tcW w:type="dxa" w:w="162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5</w:t>
            </w:r>
          </w:p>
        </w:tc>
        <w:tc>
          <w:tcPr>
            <w:tcW w:type="dxa" w:w="162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10</w:t>
            </w:r>
          </w:p>
        </w:tc>
        <w:tc>
          <w:tcPr>
            <w:tcW w:type="dxa" w:w="162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20</w:t>
            </w:r>
          </w:p>
        </w:tc>
        <w:tc>
          <w:tcPr>
            <w:tcW w:type="dxa" w:w="162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30</w:t>
            </w:r>
          </w:p>
        </w:tc>
      </w:tr>
      <w:tr>
        <w:trPr>
          <w:cantSplit/>
        </w:trPr>
        <w:tc>
          <w:tcPr>
            <w:tcW w:type="dxa" w:w="352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p95 / p99 retrieval+rerank ≤</w:t>
            </w:r>
          </w:p>
        </w:tc>
        <w:tc>
          <w:tcPr>
            <w:tcW w:type="dxa" w:w="162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0.5s / 1s</w:t>
            </w:r>
          </w:p>
        </w:tc>
        <w:tc>
          <w:tcPr>
            <w:tcW w:type="dxa" w:w="162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same</w:t>
            </w:r>
          </w:p>
        </w:tc>
        <w:tc>
          <w:tcPr>
            <w:tcW w:type="dxa" w:w="162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same</w:t>
            </w:r>
          </w:p>
        </w:tc>
        <w:tc>
          <w:tcPr>
            <w:tcW w:type="dxa" w:w="162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same</w:t>
            </w:r>
          </w:p>
        </w:tc>
      </w:tr>
    </w:tbl>
    <w:p>
      <w:pPr>
        <w:spacing w:after="0"/>
      </w:pPr>
      <w:r>
        <w:rPr>
          <w:b w:val="0"/>
        </w:rPr>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ACCEPTANCE RULE  </w:t>
            </w:r>
            <w:r>
              <w:rPr>
                <w:sz w:val="20"/>
              </w:rPr>
              <w:t>Generation and retrieval targets are separate profiles; do not add their throughputs or assume both maxima hold concurrently. Full RAG and agentic modes require a mixed-service qualification. Agent progress acknowledgements do not count as first generated tokens.</w:t>
            </w:r>
          </w:p>
        </w:tc>
      </w:tr>
    </w:tbl>
    <w:p>
      <w:r>
        <w:br w:type="page"/>
      </w:r>
    </w:p>
    <w:p>
      <w:bookmarkStart w:id="6" w:name="PRD_06"/>
      <w:pPr>
        <w:pStyle w:val="Heading1"/>
      </w:pPr>
      <w:r>
        <w:t>6. Capacity is valuable only when the execution path uses it</w:t>
      </w:r>
      <w:bookmarkEnd w:id="6"/>
    </w:p>
    <w:p>
      <w:r>
        <w:rPr>
          <w:b w:val="0"/>
        </w:rPr>
        <w:t>The source’s per-module envelope is 128GB nominal HBF, a 100GB planning allocation, 8–16GB LPDDR, roughly 200GB/s local read target and a 30–40W sustained-power target. These remain internal assumptions. The ambiguous 64-TOPS-class number is not used to predict a service rate. [I1 §2]</w:t>
      </w:r>
    </w:p>
    <w:tbl>
      <w:tblPr>
        <w:tblW w:type="auto" w:w="0"/>
        <w:jc w:val="center"/>
        <w:tblLayout w:type="fixed"/>
        <w:tblLook w:firstColumn="1" w:firstRow="1" w:lastColumn="0" w:lastRow="0" w:noHBand="0" w:noVBand="1" w:val="04A0"/>
      </w:tblPr>
      <w:tblGrid>
        <w:gridCol w:w="1843"/>
        <w:gridCol w:w="3888"/>
        <w:gridCol w:w="4306"/>
      </w:tblGrid>
      <w:tr>
        <w:trPr>
          <w:cantSplit/>
          <w:tblHeader/>
        </w:trPr>
        <w:tc>
          <w:tcPr>
            <w:tcW w:type="dxa" w:w="1843"/>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Memory / resource</w:t>
            </w:r>
          </w:p>
        </w:tc>
        <w:tc>
          <w:tcPr>
            <w:tcW w:type="dxa" w:w="388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Intended role</w:t>
            </w:r>
          </w:p>
        </w:tc>
        <w:tc>
          <w:tcPr>
            <w:tcW w:type="dxa" w:w="430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Do not claim</w:t>
            </w:r>
          </w:p>
        </w:tc>
      </w:tr>
      <w:tr>
        <w:trPr>
          <w:cantSplit/>
        </w:trPr>
        <w:tc>
          <w:tcPr>
            <w:tcW w:type="dxa" w:w="184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HBF</w:t>
            </w:r>
          </w:p>
        </w:tc>
        <w:tc>
          <w:tcPr>
            <w:tcW w:type="dxa" w:w="388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Resident weights and selected large neural-data representations.</w:t>
            </w:r>
          </w:p>
        </w:tc>
        <w:tc>
          <w:tcPr>
            <w:tcW w:type="dxa" w:w="430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GPU-like coherence; full advertised read rate for random/scattered access.</w:t>
            </w:r>
          </w:p>
        </w:tc>
      </w:tr>
      <w:tr>
        <w:trPr>
          <w:cantSplit/>
        </w:trPr>
        <w:tc>
          <w:tcPr>
            <w:tcW w:type="dxa" w:w="184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LPDDR / SRAM</w:t>
            </w:r>
          </w:p>
        </w:tc>
        <w:tc>
          <w:tcPr>
            <w:tcW w:type="dxa" w:w="388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Active KV, input/output buffers, operator workspace and tiles.</w:t>
            </w:r>
          </w:p>
        </w:tc>
        <w:tc>
          <w:tcPr>
            <w:tcW w:type="dxa" w:w="430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HBF capacity automatically expands active KV capacity.</w:t>
            </w:r>
          </w:p>
        </w:tc>
      </w:tr>
      <w:tr>
        <w:trPr>
          <w:cantSplit/>
        </w:trPr>
        <w:tc>
          <w:tcPr>
            <w:tcW w:type="dxa" w:w="184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Host ECC DRAM</w:t>
            </w:r>
          </w:p>
        </w:tc>
        <w:tc>
          <w:tcPr>
            <w:tcW w:type="dxa" w:w="388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Metadata, sparse/ANN indexes, queues, parsing and host-side operations.</w:t>
            </w:r>
          </w:p>
        </w:tc>
        <w:tc>
          <w:tcPr>
            <w:tcW w:type="dxa" w:w="430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Transparent NPU access without a qualified path.</w:t>
            </w:r>
          </w:p>
        </w:tc>
      </w:tr>
      <w:tr>
        <w:trPr>
          <w:cantSplit/>
        </w:trPr>
        <w:tc>
          <w:tcPr>
            <w:tcW w:type="dxa" w:w="184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NVMe / object store</w:t>
            </w:r>
          </w:p>
        </w:tc>
        <w:tc>
          <w:tcPr>
            <w:tcW w:type="dxa" w:w="388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Source corpus, rollback generations, backups and rebuild inputs.</w:t>
            </w:r>
          </w:p>
        </w:tc>
        <w:tc>
          <w:tcPr>
            <w:tcW w:type="dxa" w:w="430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ATMOS replaces the source-of-truth storage system.</w:t>
            </w:r>
          </w:p>
        </w:tc>
      </w:tr>
    </w:tbl>
    <w:p>
      <w:pPr>
        <w:spacing w:after="0"/>
      </w:pPr>
      <w:r>
        <w:rPr>
          <w:b w:val="0"/>
        </w:rPr>
      </w:r>
    </w:p>
    <w:p>
      <w:pPr>
        <w:pStyle w:val="Heading2"/>
      </w:pPr>
      <w:r>
        <w:t>A corpus example that prevents a misleading capacity pitch</w:t>
      </w:r>
    </w:p>
    <w:tbl>
      <w:tblPr>
        <w:tblW w:type="auto" w:w="0"/>
        <w:jc w:val="center"/>
        <w:tblLayout w:type="fixed"/>
        <w:tblLook w:firstColumn="1" w:firstRow="1" w:lastColumn="0" w:lastRow="0" w:noHBand="0" w:noVBand="1" w:val="04A0"/>
      </w:tblPr>
      <w:tblGrid>
        <w:gridCol w:w="3168"/>
        <w:gridCol w:w="3600"/>
        <w:gridCol w:w="3269"/>
      </w:tblGrid>
      <w:tr>
        <w:trPr>
          <w:cantSplit/>
          <w:tblHeader/>
        </w:trPr>
        <w:tc>
          <w:tcPr>
            <w:tcW w:type="dxa" w:w="316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Same 5 million chunks</w:t>
            </w:r>
          </w:p>
        </w:tc>
        <w:tc>
          <w:tcPr>
            <w:tcW w:type="dxa" w:w="360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Raw representation arithmetic</w:t>
            </w:r>
          </w:p>
        </w:tc>
        <w:tc>
          <w:tcPr>
            <w:tcW w:type="dxa" w:w="326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Consequence</w:t>
            </w:r>
          </w:p>
        </w:tc>
      </w:tr>
      <w:tr>
        <w:trPr>
          <w:cantSplit/>
        </w:trPr>
        <w:tc>
          <w:tcPr>
            <w:tcW w:type="dxa" w:w="316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One 1,024-d FP16 vector / chunk</w:t>
            </w:r>
          </w:p>
        </w:tc>
        <w:tc>
          <w:tcPr>
            <w:tcW w:type="dxa" w:w="360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5M × 1,024 × 2 = 10.24GB</w:t>
            </w:r>
          </w:p>
        </w:tc>
        <w:tc>
          <w:tcPr>
            <w:tcW w:type="dxa" w:w="326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 CPU-memory index is a strong, inexpensive control.</w:t>
            </w:r>
          </w:p>
        </w:tc>
      </w:tr>
      <w:tr>
        <w:trPr>
          <w:cantSplit/>
        </w:trPr>
        <w:tc>
          <w:tcPr>
            <w:tcW w:type="dxa" w:w="316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128 vectors × 128-d FP16 / chunk</w:t>
            </w:r>
          </w:p>
        </w:tc>
        <w:tc>
          <w:tcPr>
            <w:tcW w:type="dxa" w:w="360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5M × 128 × 128 × 2 = 163.84GB</w:t>
            </w:r>
          </w:p>
        </w:tc>
        <w:tc>
          <w:tcPr>
            <w:tcW w:type="dxa" w:w="326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Richer representation is a possible capacity case only if it improves judged relevance.</w:t>
            </w:r>
          </w:p>
        </w:tc>
      </w:tr>
    </w:tbl>
    <w:p>
      <w:pPr>
        <w:spacing w:after="0"/>
      </w:pPr>
      <w:r>
        <w:rPr>
          <w:b w:val="0"/>
        </w:rPr>
      </w:r>
    </w:p>
    <w:p>
      <w:r>
        <w:rPr>
          <w:b w:val="0"/>
        </w:rPr>
        <w:t>Indexes, metadata, duplicates and retained generations add memory. Use CPU ANN/sparse search to select a bounded candidate set; ATMOS then executes the qualified scoring/reranking path. Scanning 163.84GB on every request at the four-module arithmetic 800GB/s read sum alone would take about 205ms, even before overhead. A 50ms full-scan promise would therefore contradict this bound.</w:t>
      </w:r>
    </w:p>
    <w:p>
      <w:pPr>
        <w:pStyle w:val="Heading2"/>
      </w:pPr>
      <w:r>
        <w:t>Native LLM limit</w:t>
      </w:r>
    </w:p>
    <w:p>
      <w:r>
        <w:rPr>
          <w:b w:val="0"/>
        </w:rPr>
        <w:t>A full ATMOS model needs attention, active KV, router, FFNs and output support. Raw weight fit is only one constraint. KV grows with retained tokens and active sequences; some distributed layouts duplicate it. Every ModelPack declares per-device memory, scratch, replication and transport requirements. Large dense decode remains outside the launch promise.</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HARDWARE DIFFERENTIATOR TO PROVE  </w:t>
            </w:r>
            <w:r>
              <w:rPr>
                <w:sz w:val="20"/>
              </w:rPr>
              <w:t>Local compute must consume useful HBF bytes more efficiently than the matched CPU/GPU control. A new memory tier that simply reloads data elsewhere does not establish the proposed near-data-compute benefit.</w:t>
            </w:r>
          </w:p>
        </w:tc>
      </w:tr>
    </w:tbl>
    <w:p>
      <w:r>
        <w:br w:type="page"/>
      </w:r>
    </w:p>
    <w:p>
      <w:bookmarkStart w:id="7" w:name="PRD_07"/>
      <w:pPr>
        <w:pStyle w:val="Heading1"/>
      </w:pPr>
      <w:r>
        <w:t>7. What the customer receives—and where execution happens</w:t>
      </w:r>
      <w:bookmarkEnd w:id="7"/>
    </w:p>
    <w:p>
      <w:r>
        <w:rPr>
          <w:b w:val="0"/>
        </w:rPr>
        <w:t>Ship a branded service appliance, not a parts kit. Preserve the supplied nine-product software structure and expose complete, ready endpoints. The default commercial integration is an additional request/API endpoint; existing GPU model execution need not change. [I1 §§3–4]</w:t>
      </w:r>
    </w:p>
    <w:tbl>
      <w:tblPr>
        <w:tblW w:type="auto" w:w="0"/>
        <w:jc w:val="center"/>
        <w:tblLayout w:type="fixed"/>
        <w:tblLook w:firstColumn="1" w:firstRow="1" w:lastColumn="0" w:lastRow="0" w:noHBand="0" w:noVBand="1" w:val="04A0"/>
      </w:tblPr>
      <w:tblGrid>
        <w:gridCol w:w="2880"/>
        <w:gridCol w:w="7157"/>
      </w:tblGrid>
      <w:tr>
        <w:trPr>
          <w:cantSplit/>
          <w:tblHeader/>
        </w:trPr>
        <w:tc>
          <w:tcPr>
            <w:tcW w:type="dxa" w:w="288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Included product</w:t>
            </w:r>
          </w:p>
        </w:tc>
        <w:tc>
          <w:tcPr>
            <w:tcW w:type="dxa" w:w="7157"/>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Customer-visible deliverable</w:t>
            </w:r>
          </w:p>
        </w:tc>
      </w:tr>
      <w:tr>
        <w:trPr>
          <w:cantSplit/>
        </w:trPr>
        <w:tc>
          <w:tcPr>
            <w:tcW w:type="dxa" w:w="288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Qualified OEM appliance</w:t>
            </w:r>
          </w:p>
        </w:tc>
        <w:tc>
          <w:tcPr>
            <w:tcW w:type="dxa" w:w="715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Serialized CPU/DRAM/NVMe/NIC/switch/ATMOS BOM, factory burn-in, signed recovery and field-replacement procedures.</w:t>
            </w:r>
          </w:p>
        </w:tc>
      </w:tr>
      <w:tr>
        <w:trPr>
          <w:cantSplit/>
        </w:trPr>
        <w:tc>
          <w:tcPr>
            <w:tcW w:type="dxa" w:w="288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AI OS + Device Service</w:t>
            </w:r>
          </w:p>
        </w:tc>
        <w:tc>
          <w:tcPr>
            <w:tcW w:type="dxa" w:w="715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Hardened distribution; ATMOS driver/runtime; topology, health and allocation; safe reset and signed updates.</w:t>
            </w:r>
          </w:p>
        </w:tc>
      </w:tr>
      <w:tr>
        <w:trPr>
          <w:cantSplit/>
        </w:trPr>
        <w:tc>
          <w:tcPr>
            <w:tcW w:type="dxa" w:w="288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Model Services + Certified ModelPacks</w:t>
            </w:r>
          </w:p>
        </w:tc>
        <w:tc>
          <w:tcPr>
            <w:tcW w:type="dxa" w:w="715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Embedding/rerank/document/generation endpoints with approved shapes, memory plans, quality tests and service limits.</w:t>
            </w:r>
          </w:p>
        </w:tc>
      </w:tr>
      <w:tr>
        <w:trPr>
          <w:cantSplit/>
        </w:trPr>
        <w:tc>
          <w:tcPr>
            <w:tcW w:type="dxa" w:w="288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Serving Manager</w:t>
            </w:r>
          </w:p>
        </w:tc>
        <w:tc>
          <w:tcPr>
            <w:tcW w:type="dxa" w:w="715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Replicas, queues, admission, quotas, model placement and complete-generation readiness.</w:t>
            </w:r>
          </w:p>
        </w:tc>
      </w:tr>
      <w:tr>
        <w:trPr>
          <w:cantSplit/>
        </w:trPr>
        <w:tc>
          <w:tcPr>
            <w:tcW w:type="dxa" w:w="288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Enterprise Knowledge Agent</w:t>
            </w:r>
          </w:p>
        </w:tc>
        <w:tc>
          <w:tcPr>
            <w:tcW w:type="dxa" w:w="715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Sources → ingest → retrieve → rerank → answer/cite, plus bounded governed tool workflows.</w:t>
            </w:r>
          </w:p>
        </w:tc>
      </w:tr>
      <w:tr>
        <w:trPr>
          <w:cantSplit/>
        </w:trPr>
        <w:tc>
          <w:tcPr>
            <w:tcW w:type="dxa" w:w="288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Control Center + SDK + Support</w:t>
            </w:r>
          </w:p>
        </w:tc>
        <w:tc>
          <w:tcPr>
            <w:tcW w:type="dxa" w:w="715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Fleet and service visibility, Python/REST clients, entitlement, cases, updates and one escalation path.</w:t>
            </w:r>
          </w:p>
        </w:tc>
      </w:tr>
    </w:tbl>
    <w:p>
      <w:pPr>
        <w:spacing w:after="0"/>
      </w:pPr>
      <w:r>
        <w:rPr>
          <w:b w:val="0"/>
        </w:rPr>
      </w:r>
    </w:p>
    <w:p>
      <w:pPr>
        <w:pStyle w:val="Heading2"/>
      </w:pPr>
      <w:r>
        <w:t>Three execution roles within one service platform</w:t>
      </w:r>
    </w:p>
    <w:p>
      <w:r>
        <w:rPr>
          <w:b w:val="0"/>
        </w:rPr>
        <w:t>The CPU handles connectors, document parsing, ACL filtering, metadata, ordinary indexes and orchestration. The ATMOS runtime handles only operators certified for the NPU and its memory hierarchy. Generation can be an ATMOS-native certified model or an explicitly configured external model endpoint. External generation is visible in latency, data policy and cost—not hidden fallback.</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NO RETURN TO FINE-GRAINED GPU OFFLOAD  </w:t>
            </w:r>
            <w:r>
              <w:rPr>
                <w:sz w:val="20"/>
              </w:rPr>
              <w:t>This portfolio is a complete knowledge/inference service. It does not reintroduce the discarded per-layer GPU-attention / ATMOS-FFN coupling as a launch dependency. Native multi-device models and retrieval kernels have their own measured collective/peer requirements.</w:t>
            </w:r>
          </w:p>
        </w:tc>
      </w:tr>
    </w:tbl>
    <w:p>
      <w:r>
        <w:rPr>
          <w:b w:val="0"/>
        </w:rPr>
        <w:t>A retrieval-only profile returns evidence to an existing LLM service. A local-generation profile performs full supported model execution on ATMOS. Both use the same governance and service lifecycle; neither implies universal CUDA/ROCm compatibility.</w:t>
      </w:r>
    </w:p>
    <w:p>
      <w:pPr>
        <w:pStyle w:val="Caption"/>
      </w:pPr>
      <w:r>
        <w:rPr>
          <w:b w:val="0"/>
        </w:rPr>
        <w:t>Tenstorrent’s public vLLM plugin is platform-backend precedent, not a certification of ATMOS attention, kernels or native multi-device execution. Kubernetes device allocation does not implement those capabilities. [S37, S39]</w:t>
      </w:r>
    </w:p>
    <w:p>
      <w:r>
        <w:br w:type="page"/>
      </w:r>
    </w:p>
    <w:p>
      <w:bookmarkStart w:id="8" w:name="PRD_08"/>
      <w:pPr>
        <w:pStyle w:val="Heading1"/>
      </w:pPr>
      <w:r>
        <w:t>8. The flagship Knowledge Agent: evidence before autonomy</w:t>
      </w:r>
      <w:bookmarkEnd w:id="8"/>
    </w:p>
    <w:p>
      <w:r>
        <w:rPr>
          <w:b w:val="0"/>
        </w:rPr>
        <w:t>The standard included experience connects approved sources, extracts text and tables, records source/version/tenant/ACL lineage, builds versioned collections, retrieves a bounded candidate set, reranks, and generates cited answers. ACL filtering occurs before evidence is exposed to generation. [I1 §§5–8; S40]</w:t>
      </w:r>
    </w:p>
    <w:tbl>
      <w:tblPr>
        <w:tblW w:type="auto" w:w="0"/>
        <w:jc w:val="center"/>
        <w:tblLayout w:type="fixed"/>
        <w:tblLook w:firstColumn="1" w:firstRow="1" w:lastColumn="0" w:lastRow="0" w:noHBand="0" w:noVBand="1" w:val="04A0"/>
      </w:tblPr>
      <w:tblGrid>
        <w:gridCol w:w="1656"/>
        <w:gridCol w:w="3816"/>
        <w:gridCol w:w="4565"/>
      </w:tblGrid>
      <w:tr>
        <w:trPr>
          <w:cantSplit/>
          <w:tblHeader/>
        </w:trPr>
        <w:tc>
          <w:tcPr>
            <w:tcW w:type="dxa" w:w="165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Mode</w:t>
            </w:r>
          </w:p>
        </w:tc>
        <w:tc>
          <w:tcPr>
            <w:tcW w:type="dxa" w:w="381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the user receives</w:t>
            </w:r>
          </w:p>
        </w:tc>
        <w:tc>
          <w:tcPr>
            <w:tcW w:type="dxa" w:w="456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Control / cost boundary</w:t>
            </w:r>
          </w:p>
        </w:tc>
      </w:tr>
      <w:tr>
        <w:trPr>
          <w:cantSplit/>
        </w:trPr>
        <w:tc>
          <w:tcPr>
            <w:tcW w:type="dxa" w:w="165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Search</w:t>
            </w:r>
          </w:p>
        </w:tc>
        <w:tc>
          <w:tcPr>
            <w:tcW w:type="dxa" w:w="381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Ranked passages and document links.</w:t>
            </w:r>
          </w:p>
        </w:tc>
        <w:tc>
          <w:tcPr>
            <w:tcW w:type="dxa" w:w="456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No generation; retrieval p95/p99 applies.</w:t>
            </w:r>
          </w:p>
        </w:tc>
      </w:tr>
      <w:tr>
        <w:trPr>
          <w:cantSplit/>
        </w:trPr>
        <w:tc>
          <w:tcPr>
            <w:tcW w:type="dxa" w:w="165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Standard RAG</w:t>
            </w:r>
          </w:p>
        </w:tc>
        <w:tc>
          <w:tcPr>
            <w:tcW w:type="dxa" w:w="381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One evidence-backed answer with citations.</w:t>
            </w:r>
          </w:p>
        </w:tc>
        <w:tc>
          <w:tcPr>
            <w:tcW w:type="dxa" w:w="456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One retrieval/rerank/generation pass.</w:t>
            </w:r>
          </w:p>
        </w:tc>
      </w:tr>
      <w:tr>
        <w:trPr>
          <w:cantSplit/>
        </w:trPr>
        <w:tc>
          <w:tcPr>
            <w:tcW w:type="dxa" w:w="165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Deep RAG</w:t>
            </w:r>
          </w:p>
        </w:tc>
        <w:tc>
          <w:tcPr>
            <w:tcW w:type="dxa" w:w="381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Broader, decomposed cross-document synthesis.</w:t>
            </w:r>
          </w:p>
        </w:tc>
        <w:tc>
          <w:tcPr>
            <w:tcW w:type="dxa" w:w="456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Explicit query/call/token/time limits.</w:t>
            </w:r>
          </w:p>
        </w:tc>
      </w:tr>
      <w:tr>
        <w:trPr>
          <w:cantSplit/>
        </w:trPr>
        <w:tc>
          <w:tcPr>
            <w:tcW w:type="dxa" w:w="165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Agentic RAG</w:t>
            </w:r>
          </w:p>
        </w:tc>
        <w:tc>
          <w:tcPr>
            <w:tcW w:type="dxa" w:w="381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Plan and bounded read/tool/retrieve/verify loop.</w:t>
            </w:r>
          </w:p>
        </w:tc>
        <w:tc>
          <w:tcPr>
            <w:tcW w:type="dxa" w:w="456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Approval for actions; no unrestricted shell; higher call budget.</w:t>
            </w:r>
          </w:p>
        </w:tc>
      </w:tr>
      <w:tr>
        <w:trPr>
          <w:cantSplit/>
        </w:trPr>
        <w:tc>
          <w:tcPr>
            <w:tcW w:type="dxa" w:w="165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Retrieval-only</w:t>
            </w:r>
          </w:p>
        </w:tc>
        <w:tc>
          <w:tcPr>
            <w:tcW w:type="dxa" w:w="381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Evidence API to the customer’s selected LLM.</w:t>
            </w:r>
          </w:p>
        </w:tc>
        <w:tc>
          <w:tcPr>
            <w:tcW w:type="dxa" w:w="456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External model latency/cost/privacy separately disclosed.</w:t>
            </w:r>
          </w:p>
        </w:tc>
      </w:tr>
      <w:tr>
        <w:trPr>
          <w:cantSplit/>
        </w:trPr>
        <w:tc>
          <w:tcPr>
            <w:tcW w:type="dxa" w:w="165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Batch knowledge</w:t>
            </w:r>
          </w:p>
        </w:tc>
        <w:tc>
          <w:tcPr>
            <w:tcW w:type="dxa" w:w="381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Summaries, extraction, tags and reports.</w:t>
            </w:r>
          </w:p>
        </w:tc>
        <w:tc>
          <w:tcPr>
            <w:tcW w:type="dxa" w:w="456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Completion deadline and accepted-document throughput.</w:t>
            </w:r>
          </w:p>
        </w:tc>
      </w:tr>
    </w:tbl>
    <w:p>
      <w:pPr>
        <w:spacing w:after="0"/>
      </w:pPr>
      <w:r>
        <w:rPr>
          <w:b w:val="0"/>
        </w:rPr>
      </w:r>
    </w:p>
    <w:p>
      <w:pPr>
        <w:pStyle w:val="Heading2"/>
      </w:pPr>
      <w:r>
        <w:t>Keep the seven API families</w:t>
      </w:r>
    </w:p>
    <w:p>
      <w:r>
        <w:rPr>
          <w:b w:val="0"/>
        </w:rPr>
        <w:t>OpenAI-compatible chat/responses/models for documented parameters; embeddings; retrieval/collection/filter APIs; reranking; document ingestion/status/delete/reindex; agent session/run/tool APIs; and administrative project/user/key/quota/model/update/support APIs. Endpoint similarity is not a promise of another provider’s complete feature set.</w:t>
      </w:r>
    </w:p>
    <w:p>
      <w:pPr>
        <w:pStyle w:val="Heading2"/>
      </w:pPr>
      <w:r>
        <w:t>Safe default workflow</w:t>
      </w:r>
    </w:p>
    <w:p>
      <w:r>
        <w:rPr>
          <w:b w:val="0"/>
        </w:rPr>
        <w:t>Launch read-only search, document fetch and structured lookup. Calculations use a restricted, network-isolated sandbox. Messages are draft-only. Ticket creation and workflow actions require an approved tool schema, scoped credentials and explicit human confirmation. Production executable code, firmware, kernels and ModelPacks are signed and locked.</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CUSTOMER OUTCOME  </w:t>
            </w:r>
            <w:r>
              <w:rPr>
                <w:sz w:val="20"/>
              </w:rPr>
              <w:t>An operator connects identity and one approved source, selects a certified profile, runs a supplied evaluation and exposes the service. “One business day to first service” excludes large-corpus ingestion and assumes site readiness.</w:t>
            </w:r>
          </w:p>
        </w:tc>
      </w:tr>
    </w:tbl>
    <w:p>
      <w:r>
        <w:br w:type="page"/>
      </w:r>
    </w:p>
    <w:p>
      <w:bookmarkStart w:id="9" w:name="PRD_09"/>
      <w:pPr>
        <w:pStyle w:val="Heading1"/>
      </w:pPr>
      <w:r>
        <w:t>9. Enterprise HA is three systems—not two power supplies</w:t>
      </w:r>
      <w:bookmarkEnd w:id="9"/>
    </w:p>
    <w:p>
      <w:r>
        <w:rPr>
          <w:b w:val="0"/>
        </w:rPr>
        <w:t>Protect serving, control and durable data separately. Complete service replicas must survive the declared failure domain. A lost device holding unique required model weights can invalidate an entire serving group. A second switch or PSU alone does not preserve model service. [I1 §11]</w:t>
      </w:r>
    </w:p>
    <w:tbl>
      <w:tblPr>
        <w:tblW w:type="auto" w:w="0"/>
        <w:jc w:val="center"/>
        <w:tblLayout w:type="fixed"/>
        <w:tblLook w:firstColumn="1" w:firstRow="1" w:lastColumn="0" w:lastRow="0" w:noHBand="0" w:noVBand="1" w:val="04A0"/>
      </w:tblPr>
      <w:tblGrid>
        <w:gridCol w:w="1757"/>
        <w:gridCol w:w="4378"/>
        <w:gridCol w:w="3902"/>
      </w:tblGrid>
      <w:tr>
        <w:trPr>
          <w:cantSplit/>
          <w:tblHeader/>
        </w:trPr>
        <w:tc>
          <w:tcPr>
            <w:tcW w:type="dxa" w:w="1757"/>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Plane</w:t>
            </w:r>
          </w:p>
        </w:tc>
        <w:tc>
          <w:tcPr>
            <w:tcW w:type="dxa" w:w="437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Proposed HA design</w:t>
            </w:r>
          </w:p>
        </w:tc>
        <w:tc>
          <w:tcPr>
            <w:tcW w:type="dxa" w:w="390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Failure behavior</w:t>
            </w:r>
          </w:p>
        </w:tc>
      </w:tr>
      <w:tr>
        <w:trPr>
          <w:cantSplit/>
        </w:trPr>
        <w:tc>
          <w:tcPr>
            <w:tcW w:type="dxa" w:w="175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Requests / model service</w:t>
            </w:r>
          </w:p>
        </w:tc>
        <w:tc>
          <w:tcPr>
            <w:tcW w:type="dxa" w:w="437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At least two complete replicas; prefer three-node N+1 with anti-affinity and two service networks.</w:t>
            </w:r>
          </w:p>
        </w:tc>
        <w:tc>
          <w:tcPr>
            <w:tcW w:type="dxa" w:w="390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Route new work to ready replicas; fail/replay interrupted requests within policy.</w:t>
            </w:r>
          </w:p>
        </w:tc>
      </w:tr>
      <w:tr>
        <w:trPr>
          <w:cantSplit/>
        </w:trPr>
        <w:tc>
          <w:tcPr>
            <w:tcW w:type="dxa" w:w="1757"/>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Control / metadata</w:t>
            </w:r>
          </w:p>
        </w:tc>
        <w:tc>
          <w:tcPr>
            <w:tcW w:type="dxa" w:w="437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Three quorum members for cluster state and catalog metadata, colocated or external.</w:t>
            </w:r>
          </w:p>
        </w:tc>
        <w:tc>
          <w:tcPr>
            <w:tcW w:type="dxa" w:w="390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One member loss retains quorum; two nodes alone need an external third voting/control member.</w:t>
            </w:r>
          </w:p>
        </w:tc>
      </w:tr>
      <w:tr>
        <w:trPr>
          <w:cantSplit/>
        </w:trPr>
        <w:tc>
          <w:tcPr>
            <w:tcW w:type="dxa" w:w="1757"/>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Sources / indexes / audit</w:t>
            </w:r>
          </w:p>
        </w:tc>
        <w:tc>
          <w:tcPr>
            <w:tcW w:type="dxa" w:w="437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Replicated or externally protected source-of-truth data; versioned indexes; backup and restore drills.</w:t>
            </w:r>
          </w:p>
        </w:tc>
        <w:tc>
          <w:tcPr>
            <w:tcW w:type="dxa" w:w="390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Rebuild derived indexes only where RTO permits; no single shared NAS without its own HA.</w:t>
            </w:r>
          </w:p>
        </w:tc>
      </w:tr>
    </w:tbl>
    <w:p>
      <w:pPr>
        <w:spacing w:after="0"/>
      </w:pPr>
      <w:r>
        <w:rPr>
          <w:b w:val="0"/>
        </w:rPr>
      </w:r>
    </w:p>
    <w:p>
      <w:pPr>
        <w:pStyle w:val="Heading2"/>
      </w:pPr>
      <w:r>
        <w:t>Size capacity after a failure</w:t>
      </w:r>
    </w:p>
    <w:p>
      <w:r>
        <w:rPr>
          <w:b w:val="0"/>
        </w:rPr>
        <w:t>For a measured per-node service rate q at the same SLO and peak demand R, a simple one-node-reserve fleet is N = ceil(R / q) + 1. If q were 20 accepted R1 queries/s and R were 40, three nodes would be required: two nodes of peak-serving capacity plus one reserve. This is arithmetic using the proposed R1 target, not a measured ATMOS rate.</w:t>
      </w:r>
    </w:p>
    <w:p>
      <w:r>
        <w:rPr>
          <w:b w:val="0"/>
        </w:rPr>
        <w:t>Two nodes can preserve full peak only if either node alone supports the peak workload. A model that spans two physical nodes must reserve a complete two-node group; adding one spare device is not equivalent. Scale out complete replicas first. Scale-up sharding is a separate model/data placement decision.</w:t>
      </w:r>
    </w:p>
    <w:p>
      <w:pPr>
        <w:pStyle w:val="Heading2"/>
      </w:pPr>
      <w:r>
        <w:t>Recovery targets to qualify</w:t>
      </w:r>
    </w:p>
    <w:p>
      <w:r>
        <w:rPr>
          <w:b w:val="0"/>
        </w:rPr>
        <w:t>Propose removal of an unhealthy endpoint within 10 seconds and resumption of new-request service on a warm replica within 30 seconds. Acknowledged metadata writes target RPO 0 only with synchronous durable quorum. Derived indexes follow the selected rebuild/replication policy. In-flight streaming sessions may fail and restart; do not claim seamless KV migration or zero lost tool side effects.</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NO AVAILABILITY PERCENTAGE BY TOPOLOGY ALONE  </w:t>
            </w:r>
            <w:r>
              <w:rPr>
                <w:sz w:val="20"/>
              </w:rPr>
              <w:t>A 99.9% or higher service commitment requires an agreed measurement window, maintenance policy, dependency SLA and fault-injection evidence. The 72-hour soak is a qualification step—not an availability proof.</w:t>
            </w:r>
          </w:p>
        </w:tc>
      </w:tr>
    </w:tbl>
    <w:p>
      <w:r>
        <w:br w:type="page"/>
      </w:r>
    </w:p>
    <w:p>
      <w:bookmarkStart w:id="10" w:name="PRD_10"/>
      <w:pPr>
        <w:pStyle w:val="Heading1"/>
      </w:pPr>
      <w:r>
        <w:t>10. Backend build plan: reuse the commodity layer, own the contract</w:t>
      </w:r>
      <w:bookmarkEnd w:id="10"/>
    </w:p>
    <w:p>
      <w:r>
        <w:rPr>
          <w:b w:val="0"/>
        </w:rPr>
        <w:t>OEM reuse reduces chassis engineering; it does not remove ATMOS runtime, service, security or support work. The table identifies the actual product artifacts. N = build; M = integrate/modify; V = verify/reuse. [I1 §§3–4; S36–S41]</w:t>
      </w:r>
    </w:p>
    <w:tbl>
      <w:tblPr>
        <w:tblW w:type="auto" w:w="0"/>
        <w:jc w:val="center"/>
        <w:tblLayout w:type="fixed"/>
        <w:tblLook w:firstColumn="1" w:firstRow="1" w:lastColumn="0" w:lastRow="0" w:noHBand="0" w:noVBand="1" w:val="04A0"/>
      </w:tblPr>
      <w:tblGrid>
        <w:gridCol w:w="1843"/>
        <w:gridCol w:w="2909"/>
        <w:gridCol w:w="5285"/>
      </w:tblGrid>
      <w:tr>
        <w:trPr>
          <w:cantSplit/>
          <w:tblHeader/>
        </w:trPr>
        <w:tc>
          <w:tcPr>
            <w:tcW w:type="dxa" w:w="1843"/>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Artifact</w:t>
            </w:r>
          </w:p>
        </w:tc>
        <w:tc>
          <w:tcPr>
            <w:tcW w:type="dxa" w:w="290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Action / reusable base</w:t>
            </w:r>
          </w:p>
        </w:tc>
        <w:tc>
          <w:tcPr>
            <w:tcW w:type="dxa" w:w="528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SanDisk / partner obligation</w:t>
            </w:r>
          </w:p>
        </w:tc>
      </w:tr>
      <w:tr>
        <w:trPr>
          <w:cantSplit/>
        </w:trPr>
        <w:tc>
          <w:tcPr>
            <w:tcW w:type="dxa" w:w="184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AI OS</w:t>
            </w:r>
          </w:p>
        </w:tc>
        <w:tc>
          <w:tcPr>
            <w:tcW w:type="dxa" w:w="290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M/V: enterprise Linux, container runtime</w:t>
            </w:r>
          </w:p>
        </w:tc>
        <w:tc>
          <w:tcPr>
            <w:tcW w:type="dxa" w:w="528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Signed immutable/A-B image, secure boot integration, offline bundle, recovery and compatibility manifest.</w:t>
            </w:r>
          </w:p>
        </w:tc>
      </w:tr>
      <w:tr>
        <w:trPr>
          <w:cantSplit/>
        </w:trPr>
        <w:tc>
          <w:tcPr>
            <w:tcW w:type="dxa" w:w="184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Device Service</w:t>
            </w:r>
          </w:p>
        </w:tc>
        <w:tc>
          <w:tcPr>
            <w:tcW w:type="dxa" w:w="290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N: ATMOS-specific driver/operator</w:t>
            </w:r>
          </w:p>
        </w:tc>
        <w:tc>
          <w:tcPr>
            <w:tcW w:type="dxa" w:w="528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DMA queues, completion/reset epochs, isolation, thermal health, P2P capability map and group allocation.</w:t>
            </w:r>
          </w:p>
        </w:tc>
      </w:tr>
      <w:tr>
        <w:trPr>
          <w:cantSplit/>
        </w:trPr>
        <w:tc>
          <w:tcPr>
            <w:tcW w:type="dxa" w:w="184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Model Services</w:t>
            </w:r>
          </w:p>
        </w:tc>
        <w:tc>
          <w:tcPr>
            <w:tcW w:type="dxa" w:w="290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N/M: contracted NPU compiler/runtime; vLLM plugin where suitable</w:t>
            </w:r>
          </w:p>
        </w:tc>
        <w:tc>
          <w:tcPr>
            <w:tcW w:type="dxa" w:w="528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Full certified operators; active-state allocator; supported collectives; latency/batch curves. Tenstorrent scope must be explicit.</w:t>
            </w:r>
          </w:p>
        </w:tc>
      </w:tr>
      <w:tr>
        <w:trPr>
          <w:cantSplit/>
        </w:trPr>
        <w:tc>
          <w:tcPr>
            <w:tcW w:type="dxa" w:w="184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Certified ModelPacks</w:t>
            </w:r>
          </w:p>
        </w:tc>
        <w:tc>
          <w:tcPr>
            <w:tcW w:type="dxa" w:w="290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N: package and certification pipeline</w:t>
            </w:r>
          </w:p>
        </w:tc>
        <w:tc>
          <w:tcPr>
            <w:tcW w:type="dxa" w:w="528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Weights/tokenizer/precision/compiler/runtime identity, license, signed artifacts, golden outputs and memory/SLO limits.</w:t>
            </w:r>
          </w:p>
        </w:tc>
      </w:tr>
      <w:tr>
        <w:trPr>
          <w:cantSplit/>
        </w:trPr>
        <w:tc>
          <w:tcPr>
            <w:tcW w:type="dxa" w:w="184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Serving Manager</w:t>
            </w:r>
          </w:p>
        </w:tc>
        <w:tc>
          <w:tcPr>
            <w:tcW w:type="dxa" w:w="290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M/V: KServe/gateway candidate</w:t>
            </w:r>
          </w:p>
        </w:tc>
        <w:tc>
          <w:tcPr>
            <w:tcW w:type="dxa" w:w="528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ATMOS admission, readiness, tenancy and service profiles; stock upstream components are not ATMOS-ready by default.</w:t>
            </w:r>
          </w:p>
        </w:tc>
      </w:tr>
      <w:tr>
        <w:trPr>
          <w:cantSplit/>
        </w:trPr>
        <w:tc>
          <w:tcPr>
            <w:tcW w:type="dxa" w:w="184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Knowledge Agent</w:t>
            </w:r>
          </w:p>
        </w:tc>
        <w:tc>
          <w:tcPr>
            <w:tcW w:type="dxa" w:w="290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M/N: connector/search/RAG components</w:t>
            </w:r>
          </w:p>
        </w:tc>
        <w:tc>
          <w:tcPr>
            <w:tcW w:type="dxa" w:w="528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Governance-first ingestion, bounded workflows, citations, evaluations and version-compatible data lifecycle.</w:t>
            </w:r>
          </w:p>
        </w:tc>
      </w:tr>
      <w:tr>
        <w:trPr>
          <w:cantSplit/>
        </w:trPr>
        <w:tc>
          <w:tcPr>
            <w:tcW w:type="dxa" w:w="184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Control Center</w:t>
            </w:r>
          </w:p>
        </w:tc>
        <w:tc>
          <w:tcPr>
            <w:tcW w:type="dxa" w:w="290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N/M: observability + inventory services</w:t>
            </w:r>
          </w:p>
        </w:tc>
        <w:tc>
          <w:tcPr>
            <w:tcW w:type="dxa" w:w="528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Correlate device, model, query, thermal and lifecycle state; customer-facing update and support workflows.</w:t>
            </w:r>
          </w:p>
        </w:tc>
      </w:tr>
      <w:tr>
        <w:trPr>
          <w:cantSplit/>
        </w:trPr>
        <w:tc>
          <w:tcPr>
            <w:tcW w:type="dxa" w:w="184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SDK</w:t>
            </w:r>
          </w:p>
        </w:tc>
        <w:tc>
          <w:tcPr>
            <w:tcW w:type="dxa" w:w="290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N/M: stable REST/Python interfaces</w:t>
            </w:r>
          </w:p>
        </w:tc>
        <w:tc>
          <w:tcPr>
            <w:tcW w:type="dxa" w:w="528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Document supported parameters, samples, profiling and certified extension path.</w:t>
            </w:r>
          </w:p>
        </w:tc>
      </w:tr>
      <w:tr>
        <w:trPr>
          <w:cantSplit/>
        </w:trPr>
        <w:tc>
          <w:tcPr>
            <w:tcW w:type="dxa" w:w="184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Enterprise Support</w:t>
            </w:r>
          </w:p>
        </w:tc>
        <w:tc>
          <w:tcPr>
            <w:tcW w:type="dxa" w:w="290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N/M: ticketing/entitlement/CRM stack</w:t>
            </w:r>
          </w:p>
        </w:tc>
        <w:tc>
          <w:tcPr>
            <w:tcW w:type="dxa" w:w="528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Signed release repository, product security response, LTS, support knowledge base and OEM field escalation.</w:t>
            </w:r>
          </w:p>
        </w:tc>
      </w:tr>
    </w:tbl>
    <w:p>
      <w:pPr>
        <w:spacing w:after="0"/>
      </w:pPr>
      <w:r>
        <w:rPr>
          <w:b w:val="0"/>
        </w:rPr>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AVOID PLATFORM FORKS  </w:t>
            </w:r>
            <w:r>
              <w:rPr>
                <w:sz w:val="20"/>
              </w:rPr>
              <w:t>Prefer maintained public interfaces. GPU systems remain stock for external-generation integration. Do not promise “no engineering”: native ATMOS model execution and appliance integration are material new deliverables.</w:t>
            </w:r>
          </w:p>
        </w:tc>
      </w:tr>
    </w:tbl>
    <w:p>
      <w:r>
        <w:br w:type="page"/>
      </w:r>
    </w:p>
    <w:p>
      <w:bookmarkStart w:id="11" w:name="PRD_11"/>
      <w:pPr>
        <w:pStyle w:val="Heading1"/>
      </w:pPr>
      <w:r>
        <w:t>11. Build a support business behind the appliance</w:t>
      </w:r>
      <w:bookmarkEnd w:id="11"/>
    </w:p>
    <w:p>
      <w:r>
        <w:rPr>
          <w:b w:val="0"/>
        </w:rPr>
        <w:t>The customer promise is one accountable first contact and an end-to-end supported release. NVIDIA already provides enterprise support and lifecycle services; the presence of a portal is not differentiation. ATMOS needs staffed delivery, measurable responsiveness and partner contracts. [S36; I1 §§10–11]</w:t>
      </w:r>
    </w:p>
    <w:tbl>
      <w:tblPr>
        <w:tblW w:type="auto" w:w="0"/>
        <w:jc w:val="center"/>
        <w:tblLayout w:type="fixed"/>
        <w:tblLook w:firstColumn="1" w:firstRow="1" w:lastColumn="0" w:lastRow="0" w:noHBand="0" w:noVBand="1" w:val="04A0"/>
      </w:tblPr>
      <w:tblGrid>
        <w:gridCol w:w="2045"/>
        <w:gridCol w:w="5328"/>
        <w:gridCol w:w="2664"/>
      </w:tblGrid>
      <w:tr>
        <w:trPr>
          <w:cantSplit/>
          <w:tblHeader/>
        </w:trPr>
        <w:tc>
          <w:tcPr>
            <w:tcW w:type="dxa" w:w="204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Backend service</w:t>
            </w:r>
          </w:p>
        </w:tc>
        <w:tc>
          <w:tcPr>
            <w:tcW w:type="dxa" w:w="532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must exist before production</w:t>
            </w:r>
          </w:p>
        </w:tc>
        <w:tc>
          <w:tcPr>
            <w:tcW w:type="dxa" w:w="266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Owner</w:t>
            </w:r>
          </w:p>
        </w:tc>
      </w:tr>
      <w:tr>
        <w:trPr>
          <w:cantSplit/>
        </w:trPr>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Customer and entitlement portal</w:t>
            </w:r>
          </w:p>
        </w:tc>
        <w:tc>
          <w:tcPr>
            <w:tcW w:type="dxa" w:w="532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Serial/BOM, contracts, model licenses, download access, case records and escalation.</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SanDisk support/product ops</w:t>
            </w:r>
          </w:p>
        </w:tc>
      </w:tr>
      <w:tr>
        <w:trPr>
          <w:cantSplit/>
        </w:trPr>
        <w:tc>
          <w:tcPr>
            <w:tcW w:type="dxa" w:w="204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Signed distribution / offline mirror</w:t>
            </w:r>
          </w:p>
        </w:tc>
        <w:tc>
          <w:tcPr>
            <w:tcW w:type="dxa" w:w="532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Firmware/OS/container/ModelPack provenance, SBOM, CVE status, canary channel and rollback archive.</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Release engineering + PSIRT</w:t>
            </w:r>
          </w:p>
        </w:tc>
      </w:tr>
      <w:tr>
        <w:trPr>
          <w:cantSplit/>
        </w:trPr>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Fleet diagnostics</w:t>
            </w:r>
          </w:p>
        </w:tc>
        <w:tc>
          <w:tcPr>
            <w:tcW w:type="dxa" w:w="532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Opt-in redacted bundles, SLO/device/thermal history, reproduction tools and remote-access approval.</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SRE + field engineering</w:t>
            </w:r>
          </w:p>
        </w:tc>
      </w:tr>
      <w:tr>
        <w:trPr>
          <w:cantSplit/>
        </w:trPr>
        <w:tc>
          <w:tcPr>
            <w:tcW w:type="dxa" w:w="204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Compatibility laboratory</w:t>
            </w:r>
          </w:p>
        </w:tc>
        <w:tc>
          <w:tcPr>
            <w:tcW w:type="dxa" w:w="532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Golden configurations for CPU/NIC/switch/NPU/kernel/runtime/model combinations; failure and upgrade tests.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Validation + OEM + NPU partner</w:t>
            </w:r>
          </w:p>
        </w:tc>
      </w:tr>
      <w:tr>
        <w:trPr>
          <w:cantSplit/>
        </w:trPr>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Field service / spares</w:t>
            </w:r>
          </w:p>
        </w:tc>
        <w:tc>
          <w:tcPr>
            <w:tcW w:type="dxa" w:w="532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RMA workflow, device secure erase/retention, advance replacement, onsite geography and inventory.</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OEM under SanDisk prime contract</w:t>
            </w:r>
          </w:p>
        </w:tc>
      </w:tr>
      <w:tr>
        <w:trPr>
          <w:cantSplit/>
        </w:trPr>
        <w:tc>
          <w:tcPr>
            <w:tcW w:type="dxa" w:w="204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Knowledge / enablement</w:t>
            </w:r>
          </w:p>
        </w:tc>
        <w:tc>
          <w:tcPr>
            <w:tcW w:type="dxa" w:w="532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Admin runbooks, developer docs, certifications, troubleshooting and partner training.</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Support + developer relations</w:t>
            </w:r>
          </w:p>
        </w:tc>
      </w:tr>
    </w:tbl>
    <w:p>
      <w:pPr>
        <w:spacing w:after="0"/>
      </w:pPr>
      <w:r>
        <w:rPr>
          <w:b w:val="0"/>
        </w:rPr>
      </w:r>
    </w:p>
    <w:p>
      <w:pPr>
        <w:pStyle w:val="Heading2"/>
      </w:pPr>
      <w:r>
        <w:t>Proposed entitlement—not a contracted SLA</w:t>
      </w:r>
    </w:p>
    <w:tbl>
      <w:tblPr>
        <w:tblW w:type="auto" w:w="0"/>
        <w:jc w:val="center"/>
        <w:tblLayout w:type="fixed"/>
        <w:tblLook w:firstColumn="1" w:firstRow="1" w:lastColumn="0" w:lastRow="0" w:noHBand="0" w:noVBand="1" w:val="04A0"/>
      </w:tblPr>
      <w:tblGrid>
        <w:gridCol w:w="1944"/>
        <w:gridCol w:w="4118"/>
        <w:gridCol w:w="3974"/>
      </w:tblGrid>
      <w:tr>
        <w:trPr>
          <w:cantSplit/>
          <w:tblHeader/>
        </w:trPr>
        <w:tc>
          <w:tcPr>
            <w:tcW w:type="dxa" w:w="194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Tier</w:t>
            </w:r>
          </w:p>
        </w:tc>
        <w:tc>
          <w:tcPr>
            <w:tcW w:type="dxa" w:w="411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Service target</w:t>
            </w:r>
          </w:p>
        </w:tc>
        <w:tc>
          <w:tcPr>
            <w:tcW w:type="dxa" w:w="397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Important boundary</w:t>
            </w:r>
          </w:p>
        </w:tc>
      </w:tr>
      <w:tr>
        <w:trPr>
          <w:cantSplit/>
        </w:trPr>
        <w:tc>
          <w:tcPr>
            <w:tcW w:type="dxa" w:w="194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W4 / development</w:t>
            </w:r>
          </w:p>
        </w:tc>
        <w:tc>
          <w:tcPr>
            <w:tcW w:type="dxa" w:w="411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Business-hours support; next-business-day initial response.</w:t>
            </w:r>
          </w:p>
        </w:tc>
        <w:tc>
          <w:tcPr>
            <w:tcW w:type="dxa" w:w="397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No single-node service HA.</w:t>
            </w:r>
          </w:p>
        </w:tc>
      </w:tr>
      <w:tr>
        <w:trPr>
          <w:cantSplit/>
        </w:trPr>
        <w:tc>
          <w:tcPr>
            <w:tcW w:type="dxa" w:w="194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D8 / business</w:t>
            </w:r>
          </w:p>
        </w:tc>
        <w:tc>
          <w:tcPr>
            <w:tcW w:type="dxa" w:w="411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Business-hours standard; paid 24×7 option.</w:t>
            </w:r>
          </w:p>
        </w:tc>
        <w:tc>
          <w:tcPr>
            <w:tcW w:type="dxa" w:w="397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Response and repair are separate commitments.</w:t>
            </w:r>
          </w:p>
        </w:tc>
      </w:tr>
      <w:tr>
        <w:trPr>
          <w:cantSplit/>
        </w:trPr>
        <w:tc>
          <w:tcPr>
            <w:tcW w:type="dxa" w:w="194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E8 / E16 production</w:t>
            </w:r>
          </w:p>
        </w:tc>
        <w:tc>
          <w:tcPr>
            <w:tcW w:type="dxa" w:w="411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24×7 Sev-1 intake; ≤1-hour initial response target.</w:t>
            </w:r>
          </w:p>
        </w:tc>
        <w:tc>
          <w:tcPr>
            <w:tcW w:type="dxa" w:w="397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Follow-the-sun coverage, OEM dispatch and spares must be funded.</w:t>
            </w:r>
          </w:p>
        </w:tc>
      </w:tr>
      <w:tr>
        <w:trPr>
          <w:cantSplit/>
        </w:trPr>
        <w:tc>
          <w:tcPr>
            <w:tcW w:type="dxa" w:w="194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Lifecycle</w:t>
            </w:r>
          </w:p>
        </w:tc>
        <w:tc>
          <w:tcPr>
            <w:tcW w:type="dxa" w:w="411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3-year Production; 5-year LTS target; optional extensions.</w:t>
            </w:r>
          </w:p>
        </w:tc>
        <w:tc>
          <w:tcPr>
            <w:tcW w:type="dxa" w:w="397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Vertical 7–10 years requires its own costed program.</w:t>
            </w:r>
          </w:p>
        </w:tc>
      </w:tr>
    </w:tbl>
    <w:p>
      <w:pPr>
        <w:spacing w:after="0"/>
      </w:pPr>
      <w:r>
        <w:rPr>
          <w:b w:val="0"/>
        </w:rPr>
      </w:r>
    </w:p>
    <w:p>
      <w:r>
        <w:rPr>
          <w:b w:val="0"/>
        </w:rPr>
        <w:t>Base annual software/support budgets are shown in §4, but pricing, geographic coverage, premium onsite service and response obligations need approval. Product ownership must explicitly cover incident commanders, reproducibility, security advisories and upstream vulnerabilities—not rely on community support.</w:t>
      </w:r>
    </w:p>
    <w:p>
      <w:r>
        <w:br w:type="page"/>
      </w:r>
    </w:p>
    <w:p>
      <w:bookmarkStart w:id="12" w:name="PRD_12"/>
      <w:pPr>
        <w:pStyle w:val="Heading1"/>
      </w:pPr>
      <w:r>
        <w:t>12. Security, tenants and regulated use</w:t>
      </w:r>
      <w:bookmarkEnd w:id="12"/>
    </w:p>
    <w:p>
      <w:r>
        <w:rPr>
          <w:b w:val="0"/>
        </w:rPr>
        <w:t>Local processing can support a customer’s data policy; it does not automatically confer a regulatory certification. Do not equate data residency with legal compliance. The product should provide documented controls and auditable evidence for the customer’s assessment. [I1 §12]</w:t>
      </w:r>
    </w:p>
    <w:tbl>
      <w:tblPr>
        <w:tblW w:type="auto" w:w="0"/>
        <w:jc w:val="center"/>
        <w:tblLayout w:type="fixed"/>
        <w:tblLook w:firstColumn="1" w:firstRow="1" w:lastColumn="0" w:lastRow="0" w:noHBand="0" w:noVBand="1" w:val="04A0"/>
      </w:tblPr>
      <w:tblGrid>
        <w:gridCol w:w="2376"/>
        <w:gridCol w:w="7661"/>
      </w:tblGrid>
      <w:tr>
        <w:trPr>
          <w:cantSplit/>
          <w:tblHeader/>
        </w:trPr>
        <w:tc>
          <w:tcPr>
            <w:tcW w:type="dxa" w:w="237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Control surface</w:t>
            </w:r>
          </w:p>
        </w:tc>
        <w:tc>
          <w:tcPr>
            <w:tcW w:type="dxa" w:w="7661"/>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Required behavior</w:t>
            </w:r>
          </w:p>
        </w:tc>
      </w:tr>
      <w:tr>
        <w:trPr>
          <w:cantSplit/>
        </w:trPr>
        <w:tc>
          <w:tcPr>
            <w:tcW w:type="dxa" w:w="237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Identity / tenant</w:t>
            </w:r>
          </w:p>
        </w:tc>
        <w:tc>
          <w:tcPr>
            <w:tcW w:type="dxa" w:w="766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OIDC/SAML integration, RBAC, scoped service accounts and distinct project/model/data namespaces.</w:t>
            </w:r>
          </w:p>
        </w:tc>
      </w:tr>
      <w:tr>
        <w:trPr>
          <w:cantSplit/>
        </w:trPr>
        <w:tc>
          <w:tcPr>
            <w:tcW w:type="dxa" w:w="237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Ingestion / retrieval</w:t>
            </w:r>
          </w:p>
        </w:tc>
        <w:tc>
          <w:tcPr>
            <w:tcW w:type="dxa" w:w="766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Allow-listed sources; malware/type/size checks; source ACL translation; deletion propagation; ACL filters before reranking/generation.</w:t>
            </w:r>
          </w:p>
        </w:tc>
      </w:tr>
      <w:tr>
        <w:trPr>
          <w:cantSplit/>
        </w:trPr>
        <w:tc>
          <w:tcPr>
            <w:tcW w:type="dxa" w:w="237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Tools / agents</w:t>
            </w:r>
          </w:p>
        </w:tc>
        <w:tc>
          <w:tcPr>
            <w:tcW w:type="dxa" w:w="766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Read-only defaults; signed schemas; scoped credentials; action confirmation; step/token/time budgets; prompt-injection evaluation.</w:t>
            </w:r>
          </w:p>
        </w:tc>
      </w:tr>
      <w:tr>
        <w:trPr>
          <w:cantSplit/>
        </w:trPr>
        <w:tc>
          <w:tcPr>
            <w:tcW w:type="dxa" w:w="237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Device / PCIe</w:t>
            </w:r>
          </w:p>
        </w:tc>
        <w:tc>
          <w:tcPr>
            <w:tcW w:type="dxa" w:w="766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Bounded DMA buffers, IOMMU policy, trusted-group P2P only, cancellation/reset invalidation; no cross-tenant peer access.</w:t>
            </w:r>
          </w:p>
        </w:tc>
      </w:tr>
      <w:tr>
        <w:trPr>
          <w:cantSplit/>
        </w:trPr>
        <w:tc>
          <w:tcPr>
            <w:tcW w:type="dxa" w:w="237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Supply chain</w:t>
            </w:r>
          </w:p>
        </w:tc>
        <w:tc>
          <w:tcPr>
            <w:tcW w:type="dxa" w:w="766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Signed firmware, OS and containers; SBOM; verified ModelPacks; reproducible provenance and secure recovery.</w:t>
            </w:r>
          </w:p>
        </w:tc>
      </w:tr>
      <w:tr>
        <w:trPr>
          <w:cantSplit/>
        </w:trPr>
        <w:tc>
          <w:tcPr>
            <w:tcW w:type="dxa" w:w="237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Transport / storage</w:t>
            </w:r>
          </w:p>
        </w:tc>
        <w:tc>
          <w:tcPr>
            <w:tcW w:type="dxa" w:w="766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TLS/mTLS; encryption and key management; segregated management/service paths; source and audit retention policy.</w:t>
            </w:r>
          </w:p>
        </w:tc>
      </w:tr>
      <w:tr>
        <w:trPr>
          <w:cantSplit/>
        </w:trPr>
        <w:tc>
          <w:tcPr>
            <w:tcW w:type="dxa" w:w="237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Evidence</w:t>
            </w:r>
          </w:p>
        </w:tc>
        <w:tc>
          <w:tcPr>
            <w:tcW w:type="dxa" w:w="766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Tenant-aware request/model/source/tool/policy traces with redaction and controlled export.</w:t>
            </w:r>
          </w:p>
        </w:tc>
      </w:tr>
    </w:tbl>
    <w:p>
      <w:pPr>
        <w:spacing w:after="0"/>
      </w:pPr>
      <w:r>
        <w:rPr>
          <w:b w:val="0"/>
        </w:rPr>
      </w:r>
    </w:p>
    <w:p>
      <w:pPr>
        <w:pStyle w:val="Heading2"/>
      </w:pPr>
      <w:r>
        <w:t>What customers can change</w:t>
      </w:r>
    </w:p>
    <w:p>
      <w:r>
        <w:rPr>
          <w:b w:val="0"/>
        </w:rPr>
        <w:t>Permit collections, approved source schedules, retrieval settings within certified ranges, versioned prompts, citation style, approved tools, quotas, selected certified models and evaluation sets. Provide a connector SDK in a restricted container and a model-certification request path.</w:t>
      </w:r>
    </w:p>
    <w:p>
      <w:pPr>
        <w:pStyle w:val="Heading2"/>
      </w:pPr>
      <w:r>
        <w:t>What remains locked</w:t>
      </w:r>
    </w:p>
    <w:p>
      <w:r>
        <w:rPr>
          <w:b w:val="0"/>
        </w:rPr>
        <w:t>Production firmware, drivers, NPU kernels, switch policy and unsigned executable artifacts are not self-service. New quantization, tokenizer, embeddings or schema versions require compatibility tests and potentially a new index generation. Developer mode is separately labeled and isolated from production data.</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VERTICAL SCOPE  </w:t>
            </w:r>
            <w:r>
              <w:rPr>
                <w:sz w:val="20"/>
              </w:rPr>
              <w:t>Healthcare is knowledge/coding/document assistance—not diagnosis. Finance is investigation, policy and document support—not autonomous credit/trading decisions. Industrial and robotics packs do not control machines or claim functional safety.</w:t>
            </w:r>
          </w:p>
        </w:tc>
      </w:tr>
    </w:tbl>
    <w:p>
      <w:r>
        <w:br w:type="page"/>
      </w:r>
    </w:p>
    <w:p>
      <w:bookmarkStart w:id="13" w:name="PRD_13"/>
      <w:pPr>
        <w:pStyle w:val="Heading1"/>
      </w:pPr>
      <w:r>
        <w:t>13. Own the SanDisk brand without inventing a server</w:t>
      </w:r>
      <w:bookmarkEnd w:id="13"/>
    </w:p>
    <w:p>
      <w:r>
        <w:rPr>
          <w:b w:val="0"/>
        </w:rPr>
        <w:t>Brand ownership and motherboard ownership are separate decisions. The recommended contract is an OEM-built, SanDisk-branded appliance with SanDisk software, certification, portal, subscription and prime support. Manufacturing, field service and branding rights must be negotiated; no partner commitment is assumed.</w:t>
      </w:r>
    </w:p>
    <w:tbl>
      <w:tblPr>
        <w:tblW w:type="auto" w:w="0"/>
        <w:jc w:val="center"/>
        <w:tblLayout w:type="fixed"/>
        <w:tblLook w:firstColumn="1" w:firstRow="1" w:lastColumn="0" w:lastRow="0" w:noHBand="0" w:noVBand="1" w:val="04A0"/>
      </w:tblPr>
      <w:tblGrid>
        <w:gridCol w:w="2592"/>
        <w:gridCol w:w="3744"/>
        <w:gridCol w:w="3701"/>
      </w:tblGrid>
      <w:tr>
        <w:trPr>
          <w:cantSplit/>
          <w:tblHeader/>
        </w:trPr>
        <w:tc>
          <w:tcPr>
            <w:tcW w:type="dxa" w:w="259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Business model</w:t>
            </w:r>
          </w:p>
        </w:tc>
        <w:tc>
          <w:tcPr>
            <w:tcW w:type="dxa" w:w="374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Benefits</w:t>
            </w:r>
          </w:p>
        </w:tc>
        <w:tc>
          <w:tcPr>
            <w:tcW w:type="dxa" w:w="3701"/>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Trade-offs / obligations</w:t>
            </w:r>
          </w:p>
        </w:tc>
      </w:tr>
      <w:tr>
        <w:trPr>
          <w:cantSplit/>
        </w:trPr>
        <w:tc>
          <w:tcPr>
            <w:tcW w:type="dxa" w:w="259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Component / “powered by ATMOS”</w:t>
            </w:r>
          </w:p>
        </w:tc>
        <w:tc>
          <w:tcPr>
            <w:tcW w:type="dxa" w:w="374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Fastest route to OEM channels; lower inventory and appliance-service exposure.</w:t>
            </w:r>
          </w:p>
        </w:tc>
        <w:tc>
          <w:tcPr>
            <w:tcW w:type="dxa" w:w="370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Lowest SanDisk customer relationship; OEM controls packaging and often renewal/support. SanDisk still builds device/runtime enablement.</w:t>
            </w:r>
          </w:p>
        </w:tc>
      </w:tr>
      <w:tr>
        <w:trPr>
          <w:cantSplit/>
        </w:trPr>
        <w:tc>
          <w:tcPr>
            <w:tcW w:type="dxa" w:w="259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OEM-built, SanDisk-branded — recommended</w:t>
            </w:r>
          </w:p>
        </w:tc>
        <w:tc>
          <w:tcPr>
            <w:tcW w:type="dxa" w:w="374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Visible SanDisk appliance, console, packs, service and recurring software relationship; reuse proven platform supply chain.</w:t>
            </w:r>
          </w:p>
        </w:tc>
        <w:tc>
          <w:tcPr>
            <w:tcW w:type="dxa" w:w="370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SanDisk funds software/integration/certification and acts as prime support; negotiates logo, BIOS splash, portal, entitlement and field SLA.</w:t>
            </w:r>
          </w:p>
        </w:tc>
      </w:tr>
      <w:tr>
        <w:trPr>
          <w:cantSplit/>
        </w:trPr>
        <w:tc>
          <w:tcPr>
            <w:tcW w:type="dxa" w:w="259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Fully custom SanDisk/ODM system</w:t>
            </w:r>
          </w:p>
        </w:tc>
        <w:tc>
          <w:tcPr>
            <w:tcW w:type="dxa" w:w="374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Maximum mechanical/topology/IP control and product differentiation.</w:t>
            </w:r>
          </w:p>
        </w:tc>
        <w:tc>
          <w:tcPr>
            <w:tcW w:type="dxa" w:w="370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Largest NRE, inventory, regulatory, thermal, qualification and worldwide service exposure. Use only if OEM platforms cannot meet needs.</w:t>
            </w:r>
          </w:p>
        </w:tc>
      </w:tr>
    </w:tbl>
    <w:p>
      <w:pPr>
        <w:spacing w:after="0"/>
      </w:pPr>
      <w:r>
        <w:rPr>
          <w:b w:val="0"/>
        </w:rPr>
      </w:r>
    </w:p>
    <w:p>
      <w:pPr>
        <w:pStyle w:val="Heading2"/>
      </w:pPr>
      <w:r>
        <w:t>The brand contract should name the customer touchpoints</w:t>
      </w:r>
    </w:p>
    <w:p>
      <w:r>
        <w:rPr>
          <w:b w:val="0"/>
        </w:rPr>
        <w:t>Appliance and packaging identity; setup experience and Control Center; signed catalog and model certification; software release naming; serial/entitlement; support portal and first-response ownership; channel positioning; telemetry/data ownership; roadmap and end-of-life notices.</w:t>
      </w:r>
    </w:p>
    <w:p>
      <w:pPr>
        <w:pStyle w:val="Heading2"/>
      </w:pPr>
      <w:r>
        <w:t>Commercial responsibility remains substantial</w:t>
      </w:r>
    </w:p>
    <w:p>
      <w:r>
        <w:rPr>
          <w:b w:val="0"/>
        </w:rPr>
        <w:t>OEM sourcing does not mean SanDisk develops nothing. The NPU runtime, workload kernels, data/agent plane, signed software, acceptance tests and support integration still need owners. Conversely, SanDisk need not design the CPU motherboard or operate a global spare-parts network to establish a credible AI brand.</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PROCUREMENT DECISION  </w:t>
            </w:r>
            <w:r>
              <w:rPr>
                <w:sz w:val="20"/>
              </w:rPr>
              <w:t>Issue one common RFI to Supermicro, Dell and HPE. Select one primary integration and a second-source roadmap using scored technical and lifecycle evidence—not a presumed ranking by brand. Keep custom ODM as a gated fallback.</w:t>
            </w:r>
          </w:p>
        </w:tc>
      </w:tr>
    </w:tbl>
    <w:p>
      <w:pPr>
        <w:pStyle w:val="Caption"/>
      </w:pPr>
      <w:r>
        <w:rPr>
          <w:b w:val="0"/>
        </w:rPr>
        <w:t>The supplied PRD’s OEM rationale is retained as a hypothesis. This revision removes unsupported claims that a specific OEM is necessarily faster/cheaper to engage. Public E3.S capability is not interoperability evidence. [I1 §§13–15; S25–S27]</w:t>
      </w:r>
    </w:p>
    <w:p>
      <w:r>
        <w:br w:type="page"/>
      </w:r>
    </w:p>
    <w:p>
      <w:bookmarkStart w:id="14" w:name="PRD_14"/>
      <w:pPr>
        <w:pStyle w:val="Heading1"/>
      </w:pPr>
      <w:r>
        <w:t>14. Model, index and platform upgrades are product releases</w:t>
      </w:r>
      <w:bookmarkEnd w:id="14"/>
    </w:p>
    <w:p>
      <w:pPr>
        <w:pStyle w:val="Heading2"/>
      </w:pPr>
      <w:r>
        <w:t>ModelPack lifecycle</w:t>
      </w:r>
    </w:p>
    <w:p>
      <w:r>
        <w:rPr>
          <w:b w:val="0"/>
        </w:rPr>
        <w:t>Available → Staged → Validated → Canary → Production → Draining → Retired; any failed promotion can enter Rolled back. The signed pack binds the checkpoint, tokenizer, preprocessing, precision/scales, compiler output, firmware/runtime compatibility, memory plan, APIs, golden tests and SLO profile. Active sessions remain generation-pinned. [I1 §9]</w:t>
      </w:r>
    </w:p>
    <w:tbl>
      <w:tblPr>
        <w:tblW w:type="auto" w:w="0"/>
        <w:jc w:val="center"/>
        <w:tblLayout w:type="fixed"/>
        <w:tblLook w:firstColumn="1" w:firstRow="1" w:lastColumn="0" w:lastRow="0" w:noHBand="0" w:noVBand="1" w:val="04A0"/>
      </w:tblPr>
      <w:tblGrid>
        <w:gridCol w:w="2304"/>
        <w:gridCol w:w="4752"/>
        <w:gridCol w:w="2981"/>
      </w:tblGrid>
      <w:tr>
        <w:trPr>
          <w:cantSplit/>
          <w:tblHeader/>
        </w:trPr>
        <w:tc>
          <w:tcPr>
            <w:tcW w:type="dxa" w:w="230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Change</w:t>
            </w:r>
          </w:p>
        </w:tc>
        <w:tc>
          <w:tcPr>
            <w:tcW w:type="dxa" w:w="475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Required release path</w:t>
            </w:r>
          </w:p>
        </w:tc>
        <w:tc>
          <w:tcPr>
            <w:tcW w:type="dxa" w:w="2981"/>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Extra resources</w:t>
            </w:r>
          </w:p>
        </w:tc>
      </w:tr>
      <w:tr>
        <w:trPr>
          <w:cantSplit/>
        </w:trPr>
        <w:tc>
          <w:tcPr>
            <w:tcW w:type="dxa" w:w="230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Generator or reranker; same embedding/index</w:t>
            </w:r>
          </w:p>
        </w:tc>
        <w:tc>
          <w:tcPr>
            <w:tcW w:type="dxa" w:w="475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Stage, validate, shadow/canary, compare quality and tails, promote gradually.</w:t>
            </w:r>
          </w:p>
        </w:tc>
        <w:tc>
          <w:tcPr>
            <w:tcW w:type="dxa" w:w="298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One rollback generation and enough serving reserve.</w:t>
            </w:r>
          </w:p>
        </w:tc>
      </w:tr>
      <w:tr>
        <w:trPr>
          <w:cantSplit/>
        </w:trPr>
        <w:tc>
          <w:tcPr>
            <w:tcW w:type="dxa" w:w="230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Embedding or index schema</w:t>
            </w:r>
          </w:p>
        </w:tc>
        <w:tc>
          <w:tcPr>
            <w:tcW w:type="dxa" w:w="475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Build a shadow collection; re-embed; evaluate retrieval; optionally dual-read; switch atomically.</w:t>
            </w:r>
          </w:p>
        </w:tc>
        <w:tc>
          <w:tcPr>
            <w:tcW w:type="dxa" w:w="298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Two index generations and ingestion capacity during migration.</w:t>
            </w:r>
          </w:p>
        </w:tc>
      </w:tr>
      <w:tr>
        <w:trPr>
          <w:cantSplit/>
        </w:trPr>
        <w:tc>
          <w:tcPr>
            <w:tcW w:type="dxa" w:w="230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Parser, chunking or policy</w:t>
            </w:r>
          </w:p>
        </w:tc>
        <w:tc>
          <w:tcPr>
            <w:tcW w:type="dxa" w:w="475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Re-evaluate lineage, ACLs and retrieval; declare rebuild scope.</w:t>
            </w:r>
          </w:p>
        </w:tc>
        <w:tc>
          <w:tcPr>
            <w:tcW w:type="dxa" w:w="298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Source snapshots and explicit rollback constraints.</w:t>
            </w:r>
          </w:p>
        </w:tc>
      </w:tr>
      <w:tr>
        <w:trPr>
          <w:cantSplit/>
        </w:trPr>
        <w:tc>
          <w:tcPr>
            <w:tcW w:type="dxa" w:w="230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Platform firmware/OS/runtime</w:t>
            </w:r>
          </w:p>
        </w:tc>
        <w:tc>
          <w:tcPr>
            <w:tcW w:type="dxa" w:w="475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Preflight, backup, drain one failure domain, boot signed candidate, smoke/canary, promote or revert.</w:t>
            </w:r>
          </w:p>
        </w:tc>
        <w:tc>
          <w:tcPr>
            <w:tcW w:type="dxa" w:w="298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N+1 service capacity, firmware recovery and compatibility matrix.</w:t>
            </w:r>
          </w:p>
        </w:tc>
      </w:tr>
    </w:tbl>
    <w:p>
      <w:pPr>
        <w:spacing w:after="0"/>
      </w:pPr>
      <w:r>
        <w:rPr>
          <w:b w:val="0"/>
        </w:rPr>
      </w:r>
    </w:p>
    <w:p>
      <w:pPr>
        <w:pStyle w:val="Heading2"/>
      </w:pPr>
      <w:r>
        <w:t>Offline / disconnected mode</w:t>
      </w:r>
    </w:p>
    <w:p>
      <w:r>
        <w:rPr>
          <w:b w:val="0"/>
        </w:rPr>
        <w:t>Provide signed repository exports and customer-controlled maintenance windows. The appliance must not require a cloud callback to continue a contracted offline service. License validation and vulnerability notices need a documented offline mechanism. Never retain source data in a support bundle by default.</w:t>
      </w:r>
    </w:p>
    <w:p>
      <w:pPr>
        <w:pStyle w:val="Heading2"/>
      </w:pPr>
      <w:r>
        <w:t>Day-0 / day-1 / day-2</w:t>
      </w:r>
    </w:p>
    <w:p>
      <w:r>
        <w:rPr>
          <w:b w:val="0"/>
        </w:rPr>
        <w:t>Day 0 confirms site power, acoustics/cooling, network, DNS/NTP, identity and sources. Day 1 runs hardware preflight and publishes the first evaluated service. Day 2 operates ingestion, quotas, monitoring and audit. A large initial corpus has its own throughput and freshness plan; it is not promised complete within the first day.</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UPDATE ECONOMICS  </w:t>
            </w:r>
            <w:r>
              <w:rPr>
                <w:sz w:val="20"/>
              </w:rPr>
              <w:t>Reserve capacity and duplicate generations belong in the BOM/TCO. A smaller box that cannot upgrade safely without downtime is not equivalent to the enterprise control.</w:t>
            </w:r>
          </w:p>
        </w:tc>
      </w:tr>
    </w:tbl>
    <w:p>
      <w:r>
        <w:br w:type="page"/>
      </w:r>
    </w:p>
    <w:p>
      <w:bookmarkStart w:id="15" w:name="PRD_15"/>
      <w:pPr>
        <w:pStyle w:val="Heading1"/>
      </w:pPr>
      <w:r>
        <w:t>15. Market and revenue: do not mistake adjacent revenue for TAM</w:t>
      </w:r>
      <w:bookmarkEnd w:id="15"/>
    </w:p>
    <w:p>
      <w:r>
        <w:rPr>
          <w:b w:val="0"/>
        </w:rPr>
        <w:t>The supplied phrase “workstation and Age” is treated here as workstation and edge. NVIDIA now reports Edge Computing, while historical Professional Visualization is the closest disclosed workstation-related proxy. Neither reveals AI-workstation-only appliance revenue.</w:t>
      </w:r>
    </w:p>
    <w:tbl>
      <w:tblPr>
        <w:tblW w:type="auto" w:w="0"/>
        <w:jc w:val="center"/>
        <w:tblLayout w:type="fixed"/>
        <w:tblLook w:firstColumn="1" w:firstRow="1" w:lastColumn="0" w:lastRow="0" w:noHBand="0" w:noVBand="1" w:val="04A0"/>
      </w:tblPr>
      <w:tblGrid>
        <w:gridCol w:w="2419"/>
        <w:gridCol w:w="3240"/>
        <w:gridCol w:w="4378"/>
      </w:tblGrid>
      <w:tr>
        <w:trPr>
          <w:cantSplit/>
          <w:tblHeader/>
        </w:trPr>
        <w:tc>
          <w:tcPr>
            <w:tcW w:type="dxa" w:w="241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Published fact</w:t>
            </w:r>
          </w:p>
        </w:tc>
        <w:tc>
          <w:tcPr>
            <w:tcW w:type="dxa" w:w="324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Period / amount</w:t>
            </w:r>
          </w:p>
        </w:tc>
        <w:tc>
          <w:tcPr>
            <w:tcW w:type="dxa" w:w="437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How to use it</w:t>
            </w:r>
          </w:p>
        </w:tc>
      </w:tr>
      <w:tr>
        <w:trPr>
          <w:cantSplit/>
        </w:trPr>
        <w:tc>
          <w:tcPr>
            <w:tcW w:type="dxa" w:w="24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Professional Visualization</w:t>
            </w:r>
          </w:p>
        </w:tc>
        <w:tc>
          <w:tcPr>
            <w:tcW w:type="dxa" w:w="324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FY2026: approximately $3.2B; +70%</w:t>
            </w:r>
          </w:p>
        </w:tc>
        <w:tc>
          <w:tcPr>
            <w:tcW w:type="dxa" w:w="437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Historical workstation-related market platform, not solely AI inference. [S03]</w:t>
            </w:r>
          </w:p>
        </w:tc>
      </w:tr>
      <w:tr>
        <w:trPr>
          <w:cantSplit/>
        </w:trPr>
        <w:tc>
          <w:tcPr>
            <w:tcW w:type="dxa" w:w="24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Edge Computing</w:t>
            </w:r>
          </w:p>
        </w:tc>
        <w:tc>
          <w:tcPr>
            <w:tcW w:type="dxa" w:w="324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Q2 FY2027: $7.2B</w:t>
            </w:r>
          </w:p>
        </w:tc>
        <w:tc>
          <w:tcPr>
            <w:tcW w:type="dxa" w:w="437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Quarter ended 26 July 2026; wider edge category. Not directly comparable to the annual figure. [S04, S05]</w:t>
            </w:r>
          </w:p>
        </w:tc>
      </w:tr>
      <w:tr>
        <w:trPr>
          <w:cantSplit/>
        </w:trPr>
        <w:tc>
          <w:tcPr>
            <w:tcW w:type="dxa" w:w="24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Nasdaq knowledge platform</w:t>
            </w:r>
          </w:p>
        </w:tc>
        <w:tc>
          <w:tcPr>
            <w:tcW w:type="dxa" w:w="324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30% faster response; 30% improved accuracy reported</w:t>
            </w:r>
          </w:p>
        </w:tc>
        <w:tc>
          <w:tcPr>
            <w:tcW w:type="dxa" w:w="437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Confirms relevance of retrieval/model-service outcomes; no ATMOS or disclosed GPU-cost baseline. [S30]</w:t>
            </w:r>
          </w:p>
        </w:tc>
      </w:tr>
      <w:tr>
        <w:trPr>
          <w:cantSplit/>
        </w:trPr>
        <w:tc>
          <w:tcPr>
            <w:tcW w:type="dxa" w:w="24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EPRI Power Chat</w:t>
            </w:r>
          </w:p>
        </w:tc>
        <w:tc>
          <w:tcPr>
            <w:tcW w:type="dxa" w:w="324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35 tok/s single-user; ~150 aggregate at 10 users reported</w:t>
            </w:r>
          </w:p>
        </w:tc>
        <w:tc>
          <w:tcPr>
            <w:tcW w:type="dxa" w:w="437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GB10 / gpt-oss-120b with prefix caching. A strong local-control example, not a matched G1 benchmark. [S31]</w:t>
            </w:r>
          </w:p>
        </w:tc>
      </w:tr>
    </w:tbl>
    <w:p>
      <w:pPr>
        <w:spacing w:after="0"/>
      </w:pPr>
      <w:r>
        <w:rPr>
          <w:b w:val="0"/>
        </w:rPr>
      </w:r>
    </w:p>
    <w:p>
      <w:r>
        <w:rPr>
          <w:b w:val="0"/>
        </w:rPr>
        <w:t>The annual and quarterly revenue figures overlap in product scope and must not be added. “Age” is not a disclosed NVIDIA reporting segment. Workstation-only AI, agentic-AI appliance and ATMOS-addressable revenue cannot be calculated from these disclosures.</w:t>
      </w:r>
    </w:p>
    <w:p>
      <w:pPr>
        <w:pStyle w:val="Heading2"/>
      </w:pPr>
      <w:r>
        <w:t>What the competitive landscape changes in our opening</w:t>
      </w:r>
    </w:p>
    <w:p>
      <w:r>
        <w:rPr>
          <w:b w:val="0"/>
        </w:rPr>
        <w:t>HPE Private Cloud AI and Nutanix already address turnkey private AI. DGX Spark/GB10 and DGX Station address local models. d-Matrix and SambaNova already pursue inference-specific or memory-centric systems. Therefore the opportunity is not an empty category; it is a workload segment where ATMOS plus a simpler supported product can earn better unit economics. [S06, S09, S13, S15, S19, S22]</w:t>
      </w:r>
    </w:p>
    <w:p>
      <w:pPr>
        <w:pStyle w:val="Heading2"/>
      </w:pPr>
      <w:r>
        <w:t>Build a bottom-up opportunity model</w:t>
      </w:r>
    </w:p>
    <w:p>
      <w:r>
        <w:rPr>
          <w:b w:val="0"/>
        </w:rPr>
        <w:t>Size qualified sites × appliances per site × approved ASP, plus contracted software attach and renewals. Before projecting revenue, record the buyer, replaceable workload, incumbent bill, deployable model, acceptance criteria and procurement cycle. A supplier’s total revenue is neither SanDisk TAM nor obtainable share.</w:t>
      </w:r>
    </w:p>
    <w:p>
      <w:pPr>
        <w:pStyle w:val="Caption"/>
      </w:pPr>
      <w:r>
        <w:rPr>
          <w:b w:val="0"/>
        </w:rPr>
        <w:t>Competitor catalog and specific price evidence appear in Appendix D. Current configured quotes are required for procurement; historical MSRP is explicitly dated.</w:t>
      </w:r>
    </w:p>
    <w:p>
      <w:r>
        <w:br w:type="page"/>
      </w:r>
    </w:p>
    <w:p>
      <w:bookmarkStart w:id="16" w:name="PRD_16"/>
      <w:pPr>
        <w:pStyle w:val="Heading1"/>
      </w:pPr>
      <w:r>
        <w:t>16. Prioritize use cases by near-term ROI evidence</w:t>
      </w:r>
      <w:bookmarkEnd w:id="16"/>
    </w:p>
    <w:p>
      <w:r>
        <w:rPr>
          <w:b w:val="0"/>
        </w:rPr>
        <w:t>This is an analyst prioritization for an initial product program—not measured ROI or a forecast of customer willingness to pay. It combines repeatable task value, certified-workload fit, ease of proving benefit, data/connector readiness and sales/security friction. It intentionally refines the source’s broad market-fit order; government remains attractive but procurement friction reduces its near-term position.</w:t>
      </w:r>
    </w:p>
    <w:tbl>
      <w:tblPr>
        <w:tblW w:type="auto" w:w="0"/>
        <w:jc w:val="center"/>
        <w:tblLayout w:type="fixed"/>
        <w:tblLook w:firstColumn="1" w:firstRow="1" w:lastColumn="0" w:lastRow="0" w:noHBand="0" w:noVBand="1" w:val="04A0"/>
      </w:tblPr>
      <w:tblGrid>
        <w:gridCol w:w="619"/>
        <w:gridCol w:w="2131"/>
        <w:gridCol w:w="3312"/>
        <w:gridCol w:w="3974"/>
      </w:tblGrid>
      <w:tr>
        <w:trPr>
          <w:cantSplit/>
          <w:tblHeader/>
        </w:trPr>
        <w:tc>
          <w:tcPr>
            <w:tcW w:type="dxa" w:w="61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Rank</w:t>
            </w:r>
          </w:p>
        </w:tc>
        <w:tc>
          <w:tcPr>
            <w:tcW w:type="dxa" w:w="2131"/>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Market</w:t>
            </w:r>
          </w:p>
        </w:tc>
        <w:tc>
          <w:tcPr>
            <w:tcW w:type="dxa" w:w="331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First service</w:t>
            </w:r>
          </w:p>
        </w:tc>
        <w:tc>
          <w:tcPr>
            <w:tcW w:type="dxa" w:w="397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ROI evidence</w:t>
            </w:r>
          </w:p>
        </w:tc>
      </w:tr>
      <w:tr>
        <w:trPr>
          <w:cantSplit/>
        </w:trPr>
        <w:tc>
          <w:tcPr>
            <w:tcW w:type="dxa" w:w="6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Finance / insurance</w:t>
            </w:r>
          </w:p>
        </w:tc>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Document and policy workflows</w:t>
            </w:r>
          </w:p>
        </w:tc>
        <w:tc>
          <w:tcPr>
            <w:tcW w:type="dxa" w:w="397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Reviewer time, accepted fields, audit evidence</w:t>
            </w:r>
          </w:p>
        </w:tc>
      </w:tr>
      <w:tr>
        <w:trPr>
          <w:cantSplit/>
        </w:trPr>
        <w:tc>
          <w:tcPr>
            <w:tcW w:type="dxa" w:w="6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2</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Manufacturing knowledge</w:t>
            </w:r>
          </w:p>
        </w:tc>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Manuals, quality and service cases</w:t>
            </w:r>
          </w:p>
        </w:tc>
        <w:tc>
          <w:tcPr>
            <w:tcW w:type="dxa" w:w="397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Search/triage time, correct version</w:t>
            </w:r>
          </w:p>
        </w:tc>
      </w:tr>
      <w:tr>
        <w:trPr>
          <w:cantSplit/>
        </w:trPr>
        <w:tc>
          <w:tcPr>
            <w:tcW w:type="dxa" w:w="6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3</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Energy / utilities</w:t>
            </w:r>
          </w:p>
        </w:tc>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Engineering / procedure knowledge</w:t>
            </w:r>
          </w:p>
        </w:tc>
        <w:tc>
          <w:tcPr>
            <w:tcW w:type="dxa" w:w="397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Cited research and local availability</w:t>
            </w:r>
          </w:p>
        </w:tc>
      </w:tr>
      <w:tr>
        <w:trPr>
          <w:cantSplit/>
        </w:trPr>
        <w:tc>
          <w:tcPr>
            <w:tcW w:type="dxa" w:w="6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4</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Legal / professional</w:t>
            </w:r>
          </w:p>
        </w:tc>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Matter / contract evidence</w:t>
            </w:r>
          </w:p>
        </w:tc>
        <w:tc>
          <w:tcPr>
            <w:tcW w:type="dxa" w:w="397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Review time with privilege isolation</w:t>
            </w:r>
          </w:p>
        </w:tc>
      </w:tr>
      <w:tr>
        <w:trPr>
          <w:cantSplit/>
        </w:trPr>
        <w:tc>
          <w:tcPr>
            <w:tcW w:type="dxa" w:w="6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5</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Government / sovereign</w:t>
            </w:r>
          </w:p>
        </w:tc>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Rules, applications and evidence</w:t>
            </w:r>
          </w:p>
        </w:tc>
        <w:tc>
          <w:tcPr>
            <w:tcW w:type="dxa" w:w="397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Correct citations; secure deployment</w:t>
            </w:r>
          </w:p>
        </w:tc>
      </w:tr>
      <w:tr>
        <w:trPr>
          <w:cantSplit/>
        </w:trPr>
        <w:tc>
          <w:tcPr>
            <w:tcW w:type="dxa" w:w="6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6</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Telecommunications</w:t>
            </w:r>
          </w:p>
        </w:tc>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Ticket / runbook / billing evidence</w:t>
            </w:r>
          </w:p>
        </w:tc>
        <w:tc>
          <w:tcPr>
            <w:tcW w:type="dxa" w:w="397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Handle time, case relevance</w:t>
            </w:r>
          </w:p>
        </w:tc>
      </w:tr>
      <w:tr>
        <w:trPr>
          <w:cantSplit/>
        </w:trPr>
        <w:tc>
          <w:tcPr>
            <w:tcW w:type="dxa" w:w="6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7</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Retail</w:t>
            </w:r>
          </w:p>
        </w:tc>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Catalog / associate knowledge</w:t>
            </w:r>
          </w:p>
        </w:tc>
        <w:tc>
          <w:tcPr>
            <w:tcW w:type="dxa" w:w="397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Task success, candidate relevance</w:t>
            </w:r>
          </w:p>
        </w:tc>
      </w:tr>
      <w:tr>
        <w:trPr>
          <w:cantSplit/>
        </w:trPr>
        <w:tc>
          <w:tcPr>
            <w:tcW w:type="dxa" w:w="6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8</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Higher education</w:t>
            </w:r>
          </w:p>
        </w:tc>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Libraries and shared inference</w:t>
            </w:r>
          </w:p>
        </w:tc>
        <w:tc>
          <w:tcPr>
            <w:tcW w:type="dxa" w:w="397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Research time; service utilization</w:t>
            </w:r>
          </w:p>
        </w:tc>
      </w:tr>
      <w:tr>
        <w:trPr>
          <w:cantSplit/>
        </w:trPr>
        <w:tc>
          <w:tcPr>
            <w:tcW w:type="dxa" w:w="6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9</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Healthcare knowledge</w:t>
            </w:r>
          </w:p>
        </w:tc>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Policy, research and document assist</w:t>
            </w:r>
          </w:p>
        </w:tc>
        <w:tc>
          <w:tcPr>
            <w:tcW w:type="dxa" w:w="397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Reviewer acceptance; no diagnostic claim</w:t>
            </w:r>
          </w:p>
        </w:tc>
      </w:tr>
      <w:tr>
        <w:trPr>
          <w:cantSplit/>
        </w:trPr>
        <w:tc>
          <w:tcPr>
            <w:tcW w:type="dxa" w:w="6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10</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Oil / gas / mining</w:t>
            </w:r>
          </w:p>
        </w:tc>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Field and maintenance knowledge</w:t>
            </w:r>
          </w:p>
        </w:tc>
        <w:tc>
          <w:tcPr>
            <w:tcW w:type="dxa" w:w="397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Offline completion; incident prep</w:t>
            </w:r>
          </w:p>
        </w:tc>
      </w:tr>
      <w:tr>
        <w:trPr>
          <w:cantSplit/>
        </w:trPr>
        <w:tc>
          <w:tcPr>
            <w:tcW w:type="dxa" w:w="6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11</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Geospatial / defense</w:t>
            </w:r>
          </w:p>
        </w:tc>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Metadata / features / reports</w:t>
            </w:r>
          </w:p>
        </w:tc>
        <w:tc>
          <w:tcPr>
            <w:tcW w:type="dxa" w:w="397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Analyst evidence; no image-decode claim</w:t>
            </w:r>
          </w:p>
        </w:tc>
      </w:tr>
      <w:tr>
        <w:trPr>
          <w:cantSplit/>
        </w:trPr>
        <w:tc>
          <w:tcPr>
            <w:tcW w:type="dxa" w:w="6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12</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Media</w:t>
            </w:r>
          </w:p>
        </w:tc>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Rights / transcript / archives</w:t>
            </w:r>
          </w:p>
        </w:tc>
        <w:tc>
          <w:tcPr>
            <w:tcW w:type="dxa" w:w="397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Asset discovery; clearance preparation</w:t>
            </w:r>
          </w:p>
        </w:tc>
      </w:tr>
      <w:tr>
        <w:trPr>
          <w:cantSplit/>
        </w:trPr>
        <w:tc>
          <w:tcPr>
            <w:tcW w:type="dxa" w:w="6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13</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Automotive</w:t>
            </w:r>
          </w:p>
        </w:tc>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Service and supplier evidence</w:t>
            </w:r>
          </w:p>
        </w:tc>
        <w:tc>
          <w:tcPr>
            <w:tcW w:type="dxa" w:w="397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Case / document productivity</w:t>
            </w:r>
          </w:p>
        </w:tc>
      </w:tr>
      <w:tr>
        <w:trPr>
          <w:cantSplit/>
        </w:trPr>
        <w:tc>
          <w:tcPr>
            <w:tcW w:type="dxa" w:w="6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14</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Architecture / engineering</w:t>
            </w:r>
          </w:p>
        </w:tc>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Codes, specs and submittals</w:t>
            </w:r>
          </w:p>
        </w:tc>
        <w:tc>
          <w:tcPr>
            <w:tcW w:type="dxa" w:w="397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Research / review time</w:t>
            </w:r>
          </w:p>
        </w:tc>
      </w:tr>
      <w:tr>
        <w:trPr>
          <w:cantSplit/>
        </w:trPr>
        <w:tc>
          <w:tcPr>
            <w:tcW w:type="dxa" w:w="61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15</w:t>
            </w:r>
          </w:p>
        </w:tc>
        <w:tc>
          <w:tcPr>
            <w:tcW w:type="dxa" w:w="213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Semiconductor</w:t>
            </w:r>
          </w:p>
        </w:tc>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IP knowledge / failure evidence</w:t>
            </w:r>
          </w:p>
        </w:tc>
        <w:tc>
          <w:tcPr>
            <w:tcW w:type="dxa" w:w="397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Search time and IP isolation</w:t>
            </w:r>
          </w:p>
        </w:tc>
      </w:tr>
      <w:tr>
        <w:trPr>
          <w:cantSplit/>
        </w:trPr>
        <w:tc>
          <w:tcPr>
            <w:tcW w:type="dxa" w:w="61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16</w:t>
            </w:r>
          </w:p>
        </w:tc>
        <w:tc>
          <w:tcPr>
            <w:tcW w:type="dxa" w:w="213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Robotics</w:t>
            </w:r>
          </w:p>
        </w:tc>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Maintenance / engineering knowledge</w:t>
            </w:r>
          </w:p>
        </w:tc>
        <w:tc>
          <w:tcPr>
            <w:tcW w:type="dxa" w:w="397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Service workflow; no control claim</w:t>
            </w:r>
          </w:p>
        </w:tc>
      </w:tr>
    </w:tbl>
    <w:p>
      <w:pPr>
        <w:spacing w:after="0"/>
      </w:pPr>
      <w:r>
        <w:rPr>
          <w:b w:val="0"/>
        </w:rPr>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REUSE BEFORE VERTICAL EXPANSION  </w:t>
            </w:r>
            <w:r>
              <w:rPr>
                <w:sz w:val="20"/>
              </w:rPr>
              <w:t>Build one governed knowledge platform. Vertical packs add approved connectors, terminology, golden tasks and retention policy—not a separate serving stack. Appendix A preserves all 92 explicitly listed use cases from the source, with an implementation and KPI for each.</w:t>
            </w:r>
          </w:p>
        </w:tc>
      </w:tr>
    </w:tbl>
    <w:p>
      <w:r>
        <w:br w:type="page"/>
      </w:r>
    </w:p>
    <w:p>
      <w:bookmarkStart w:id="17" w:name="PRD_17"/>
      <w:pPr>
        <w:pStyle w:val="Heading1"/>
      </w:pPr>
      <w:r>
        <w:t>17. A customer proof that can produce a buying decision</w:t>
      </w:r>
      <w:bookmarkEnd w:id="17"/>
    </w:p>
    <w:p>
      <w:r>
        <w:rPr>
          <w:b w:val="0"/>
        </w:rPr>
        <w:t>Use Nasdaq as a public market archetype, not as an ATMOS customer. Its reported retrieval/response and accuracy improvements motivate the workflow; they do not establish ATMOS savings. The proposed pilot below is new and independent. [S30]</w:t>
      </w:r>
    </w:p>
    <w:tbl>
      <w:tblPr>
        <w:tblW w:type="auto" w:w="0"/>
        <w:jc w:val="center"/>
        <w:tblLayout w:type="fixed"/>
        <w:tblLook w:firstColumn="1" w:firstRow="1" w:lastColumn="0" w:lastRow="0" w:noHBand="0" w:noVBand="1" w:val="04A0"/>
      </w:tblPr>
      <w:tblGrid>
        <w:gridCol w:w="2304"/>
        <w:gridCol w:w="7733"/>
      </w:tblGrid>
      <w:tr>
        <w:trPr>
          <w:cantSplit/>
          <w:tblHeader/>
        </w:trPr>
        <w:tc>
          <w:tcPr>
            <w:tcW w:type="dxa" w:w="230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Pilot element</w:t>
            </w:r>
          </w:p>
        </w:tc>
        <w:tc>
          <w:tcPr>
            <w:tcW w:type="dxa" w:w="7733"/>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Proposed requirement</w:t>
            </w:r>
          </w:p>
        </w:tc>
      </w:tr>
      <w:tr>
        <w:trPr>
          <w:cantSplit/>
        </w:trPr>
        <w:tc>
          <w:tcPr>
            <w:tcW w:type="dxa" w:w="230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Sponsor and workflow</w:t>
            </w:r>
          </w:p>
        </w:tc>
        <w:tc>
          <w:tcPr>
            <w:tcW w:type="dxa" w:w="773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One bank/insurer knowledge owner and one infrastructure owner; policy research or claims-document review.</w:t>
            </w:r>
          </w:p>
        </w:tc>
      </w:tr>
      <w:tr>
        <w:trPr>
          <w:cantSplit/>
        </w:trPr>
        <w:tc>
          <w:tcPr>
            <w:tcW w:type="dxa" w:w="230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Quality set</w:t>
            </w:r>
          </w:p>
        </w:tc>
        <w:tc>
          <w:tcPr>
            <w:tcW w:type="dxa" w:w="773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400 approved questions/cases, including access-denied, changed-policy, missing-evidence and adversarial cases.</w:t>
            </w:r>
          </w:p>
        </w:tc>
      </w:tr>
      <w:tr>
        <w:trPr>
          <w:cantSplit/>
        </w:trPr>
        <w:tc>
          <w:tcPr>
            <w:tcW w:type="dxa" w:w="230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Data</w:t>
            </w:r>
          </w:p>
        </w:tc>
        <w:tc>
          <w:tcPr>
            <w:tcW w:type="dxa" w:w="773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1M versioned text chunks for R1; a separate rich-representation profile only after retrieval quality improves.</w:t>
            </w:r>
          </w:p>
        </w:tc>
      </w:tr>
      <w:tr>
        <w:trPr>
          <w:cantSplit/>
        </w:trPr>
        <w:tc>
          <w:tcPr>
            <w:tcW w:type="dxa" w:w="230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Controls</w:t>
            </w:r>
          </w:p>
        </w:tc>
        <w:tc>
          <w:tcPr>
            <w:tcW w:type="dxa" w:w="773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Optimized CPU+DRAM search, existing GPU RAG, and managed/local endpoint where permitted. Same source corpus, evaluation and lifecycle scope.</w:t>
            </w:r>
          </w:p>
        </w:tc>
      </w:tr>
      <w:tr>
        <w:trPr>
          <w:cantSplit/>
        </w:trPr>
        <w:tc>
          <w:tcPr>
            <w:tcW w:type="dxa" w:w="230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Success measures</w:t>
            </w:r>
          </w:p>
        </w:tc>
        <w:tc>
          <w:tcPr>
            <w:tcW w:type="dxa" w:w="773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Accepted task completion, citation precision, ACL correctness, response tails, device/whole-node power, operator effort and unit cost.</w:t>
            </w:r>
          </w:p>
        </w:tc>
      </w:tr>
      <w:tr>
        <w:trPr>
          <w:cantSplit/>
        </w:trPr>
        <w:tc>
          <w:tcPr>
            <w:tcW w:type="dxa" w:w="230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Adoption path</w:t>
            </w:r>
          </w:p>
        </w:tc>
        <w:tc>
          <w:tcPr>
            <w:tcW w:type="dxa" w:w="773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Retrieval-only sidecar first when it is sufficient; local generation only after the exact full-model profile qualifies.</w:t>
            </w:r>
          </w:p>
        </w:tc>
      </w:tr>
      <w:tr>
        <w:trPr>
          <w:cantSplit/>
        </w:trPr>
        <w:tc>
          <w:tcPr>
            <w:tcW w:type="dxa" w:w="230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Buying decision</w:t>
            </w:r>
          </w:p>
        </w:tc>
        <w:tc>
          <w:tcPr>
            <w:tcW w:type="dxa" w:w="773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Scale only when the measured system relieves a priced bottleneck or creates a valued service capability the customer will fund.</w:t>
            </w:r>
          </w:p>
        </w:tc>
      </w:tr>
    </w:tbl>
    <w:p>
      <w:pPr>
        <w:spacing w:after="0"/>
      </w:pPr>
      <w:r>
        <w:rPr>
          <w:b w:val="0"/>
        </w:rPr>
      </w:r>
    </w:p>
    <w:p>
      <w:pPr>
        <w:pStyle w:val="Heading2"/>
      </w:pPr>
      <w:r>
        <w:t>Calculate business productivity without confusing it with cash savings</w:t>
      </w:r>
    </w:p>
    <w:p>
      <w:r>
        <w:rPr>
          <w:b w:val="0"/>
        </w:rPr>
        <w:t>Illustration: 1,000 staff × four eligible tasks/day × one measured minute saved × 20 working days = 1,333 hours/month of gross time released. This is a task-study scenario, not a Nasdaq result. Cash benefit requires a realization factor, work reallocation or avoided hiring; do not label all time saved as infrastructure savings.</w:t>
      </w:r>
    </w:p>
    <w:p>
      <w:pPr>
        <w:pStyle w:val="Heading2"/>
      </w:pPr>
      <w:r>
        <w:t>Distinguish four benefits</w:t>
      </w:r>
    </w:p>
    <w:p>
      <w:r>
        <w:rPr>
          <w:b w:val="0"/>
        </w:rPr>
        <w:t>Infrastructure savings require avoidable nodes or bills. Productivity requires a task baseline and adoption. Risk reduction requires a defined control/evidence measure. Operational simplicity requires fewer manual steps, faster restore or less support effort. Report them separately and avoid adding the same value twice.</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PILOT ANTI-PATTERN  </w:t>
            </w:r>
            <w:r>
              <w:rPr>
                <w:sz w:val="20"/>
              </w:rPr>
              <w:t>Do not choose E16 merely because it has a larger HBF number. A small approved service that already fits and performs on a cheaper CPU or GB10 control is a valid no-fit outcome for ATMOS.</w:t>
            </w:r>
          </w:p>
        </w:tc>
      </w:tr>
    </w:tbl>
    <w:p>
      <w:r>
        <w:br w:type="page"/>
      </w:r>
    </w:p>
    <w:p>
      <w:bookmarkStart w:id="18" w:name="PRD_18"/>
      <w:pPr>
        <w:pStyle w:val="Heading1"/>
      </w:pPr>
      <w:r>
        <w:t>18. Commercial model and cost-per-service gate</w:t>
      </w:r>
      <w:bookmarkEnd w:id="18"/>
    </w:p>
    <w:p>
      <w:r>
        <w:rPr>
          <w:b w:val="0"/>
        </w:rPr>
        <w:t>This revision retains the original 70% acquisition objective only as a historical design aspiration. It does not use a universal 70% price rule or claim a 24.8% TCO saving. The new budget is bottom-up and explicitly hypothetical. Prices for enterprise OEM controls remain quote-required. [I1 §§17–18]</w:t>
      </w:r>
    </w:p>
    <w:tbl>
      <w:tblPr>
        <w:tblW w:type="auto" w:w="0"/>
        <w:jc w:val="center"/>
        <w:tblLayout w:type="fixed"/>
        <w:tblLook w:firstColumn="1" w:firstRow="1" w:lastColumn="0" w:lastRow="0" w:noHBand="0" w:noVBand="1" w:val="04A0"/>
      </w:tblPr>
      <w:tblGrid>
        <w:gridCol w:w="1440"/>
        <w:gridCol w:w="2405"/>
        <w:gridCol w:w="2880"/>
        <w:gridCol w:w="3312"/>
      </w:tblGrid>
      <w:tr>
        <w:trPr>
          <w:cantSplit/>
          <w:tblHeader/>
        </w:trPr>
        <w:tc>
          <w:tcPr>
            <w:tcW w:type="dxa" w:w="144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Profile</w:t>
            </w:r>
          </w:p>
        </w:tc>
        <w:tc>
          <w:tcPr>
            <w:tcW w:type="dxa" w:w="240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Acquisition budget</w:t>
            </w:r>
          </w:p>
        </w:tc>
        <w:tc>
          <w:tcPr>
            <w:tcW w:type="dxa" w:w="288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Annual SW/support target</w:t>
            </w:r>
          </w:p>
        </w:tc>
        <w:tc>
          <w:tcPr>
            <w:tcW w:type="dxa" w:w="331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3-year narrow TCO scenario</w:t>
            </w:r>
          </w:p>
        </w:tc>
      </w:tr>
      <w:tr>
        <w:trPr>
          <w:cantSplit/>
        </w:trPr>
        <w:tc>
          <w:tcPr>
            <w:tcW w:type="dxa" w:w="144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W4</w:t>
            </w:r>
          </w:p>
        </w:tc>
        <w:tc>
          <w:tcPr>
            <w:tcW w:type="dxa" w:w="240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$23k</w:t>
            </w:r>
          </w:p>
        </w:tc>
        <w:tc>
          <w:tcPr>
            <w:tcW w:type="dxa" w:w="288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$2k</w:t>
            </w:r>
          </w:p>
        </w:tc>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$31.5k</w:t>
            </w:r>
          </w:p>
        </w:tc>
      </w:tr>
      <w:tr>
        <w:trPr>
          <w:cantSplit/>
        </w:trPr>
        <w:tc>
          <w:tcPr>
            <w:tcW w:type="dxa" w:w="144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D8</w:t>
            </w:r>
          </w:p>
        </w:tc>
        <w:tc>
          <w:tcPr>
            <w:tcW w:type="dxa" w:w="240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$48k</w:t>
            </w:r>
          </w:p>
        </w:tc>
        <w:tc>
          <w:tcPr>
            <w:tcW w:type="dxa" w:w="288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$6k</w:t>
            </w:r>
          </w:p>
        </w:tc>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$70.4k</w:t>
            </w:r>
          </w:p>
        </w:tc>
      </w:tr>
      <w:tr>
        <w:trPr>
          <w:cantSplit/>
        </w:trPr>
        <w:tc>
          <w:tcPr>
            <w:tcW w:type="dxa" w:w="144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E8</w:t>
            </w:r>
          </w:p>
        </w:tc>
        <w:tc>
          <w:tcPr>
            <w:tcW w:type="dxa" w:w="240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$52k</w:t>
            </w:r>
          </w:p>
        </w:tc>
        <w:tc>
          <w:tcPr>
            <w:tcW w:type="dxa" w:w="288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$8k</w:t>
            </w:r>
          </w:p>
        </w:tc>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$81.0k</w:t>
            </w:r>
          </w:p>
        </w:tc>
      </w:tr>
      <w:tr>
        <w:trPr>
          <w:cantSplit/>
        </w:trPr>
        <w:tc>
          <w:tcPr>
            <w:tcW w:type="dxa" w:w="144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E16</w:t>
            </w:r>
          </w:p>
        </w:tc>
        <w:tc>
          <w:tcPr>
            <w:tcW w:type="dxa" w:w="240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$96k</w:t>
            </w:r>
          </w:p>
        </w:tc>
        <w:tc>
          <w:tcPr>
            <w:tcW w:type="dxa" w:w="288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$12k</w:t>
            </w:r>
          </w:p>
        </w:tc>
        <w:tc>
          <w:tcPr>
            <w:tcW w:type="dxa" w:w="331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$140.3k</w:t>
            </w:r>
          </w:p>
        </w:tc>
      </w:tr>
      <w:tr>
        <w:trPr>
          <w:cantSplit/>
        </w:trPr>
        <w:tc>
          <w:tcPr>
            <w:tcW w:type="dxa" w:w="144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E24</w:t>
            </w:r>
          </w:p>
        </w:tc>
        <w:tc>
          <w:tcPr>
            <w:tcW w:type="dxa" w:w="240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$144k</w:t>
            </w:r>
          </w:p>
        </w:tc>
        <w:tc>
          <w:tcPr>
            <w:tcW w:type="dxa" w:w="288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$18k</w:t>
            </w:r>
          </w:p>
        </w:tc>
        <w:tc>
          <w:tcPr>
            <w:tcW w:type="dxa" w:w="331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$210.1k</w:t>
            </w:r>
          </w:p>
        </w:tc>
      </w:tr>
    </w:tbl>
    <w:p>
      <w:pPr>
        <w:spacing w:after="0"/>
      </w:pPr>
      <w:r>
        <w:rPr>
          <w:b w:val="0"/>
        </w:rPr>
      </w:r>
    </w:p>
    <w:p>
      <w:pPr>
        <w:pStyle w:val="Caption"/>
      </w:pPr>
      <w:r>
        <w:rPr>
          <w:b w:val="0"/>
        </w:rPr>
        <w:t>Calculated: purchase + three annual subscriptions + energy at proposed whole-node draw × PUE 1.4 × $0.15/kWh × 8,760h/year × 3. No discounting or residual value. Power, purchase and subscription are assumptions. Excludes customer migration, shared storage/network, tax, financing, development, OEM NRE and extra failure reserve.</w:t>
      </w:r>
    </w:p>
    <w:p>
      <w:pPr>
        <w:pStyle w:val="Heading2"/>
      </w:pPr>
      <w:r>
        <w:t>The fleet is the unit of enterprise economics</w:t>
      </w:r>
    </w:p>
    <w:p>
      <w:r>
        <w:rPr>
          <w:b w:val="0"/>
        </w:rPr>
        <w:t>A three-node E16 N+1 study begins at 3 × $96k = $288k of reference acquisition budget, before switches/storage/site work outside each node and before support. Its usable one-node-failure capacity is two nodes of measured service. Do not compare this with one unprotected competitor box.</w:t>
      </w:r>
    </w:p>
    <w:p>
      <w:r>
        <w:rPr>
          <w:b w:val="0"/>
        </w:rPr>
        <w:t>For workload W, define q as the sustainable service rate meeting quality, latency and error limits. Cost per accepted service unit uses the full comparable fleet cost divided by accepted work over the same useful operating period. Intermittent demand can favor elastic cloud or existing spare CPU/GPU capacity. Installed GPU purchase cost is not automatically avoidable.</w:t>
      </w:r>
    </w:p>
    <w:p>
      <w:pPr>
        <w:pStyle w:val="Heading2"/>
      </w:pPr>
      <w:r>
        <w:t>SanDisk revenue is not customer savings</w:t>
      </w:r>
    </w:p>
    <w:p>
      <w:r>
        <w:rPr>
          <w:b w:val="0"/>
        </w:rPr>
        <w:t>A possible commercial structure is appliance revenue plus annual platform/support and certified vertical-pack services. A scenario of 100 nodes at an illustrative $60k ASP and $6k annual attach would yield $6M hardware revenue and $0.6M annualized attach at full enrollment. This is a sizing identity, not a forecast, approved price, margin or market-size estimate.</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FINANCE GATE  </w:t>
            </w:r>
            <w:r>
              <w:rPr>
                <w:sz w:val="20"/>
              </w:rPr>
              <w:t>Obtain OEM unit/NRE quotes, device economics, warranty/spares, support staffing, channel terms, actual utilization and measured service rate. Approve ASP and gross margin only after the complete landed cost and contractual exposure are known.</w:t>
            </w:r>
          </w:p>
        </w:tc>
      </w:tr>
    </w:tbl>
    <w:p>
      <w:r>
        <w:br w:type="page"/>
      </w:r>
    </w:p>
    <w:p>
      <w:bookmarkStart w:id="19" w:name="PRD_19"/>
      <w:pPr>
        <w:pStyle w:val="Heading1"/>
      </w:pPr>
      <w:r>
        <w:t>19. Delivery plan: four evidence programs, staged SKU release</w:t>
      </w:r>
      <w:bookmarkEnd w:id="19"/>
    </w:p>
    <w:p>
      <w:r>
        <w:rPr>
          <w:b w:val="0"/>
        </w:rPr>
        <w:t>Retain the source’s G0–G8 acceptance vocabulary, but group execution into four manageable programs. Simulator and emulator work can overlap after interfaces are fixed. Calendar dates follow hardware and partner readiness, not a diagram. [I1 §19]</w:t>
      </w:r>
    </w:p>
    <w:tbl>
      <w:tblPr>
        <w:tblW w:type="auto" w:w="0"/>
        <w:jc w:val="center"/>
        <w:tblLayout w:type="fixed"/>
        <w:tblLook w:firstColumn="1" w:firstRow="1" w:lastColumn="0" w:lastRow="0" w:noHBand="0" w:noVBand="1" w:val="04A0"/>
      </w:tblPr>
      <w:tblGrid>
        <w:gridCol w:w="2246"/>
        <w:gridCol w:w="4781"/>
        <w:gridCol w:w="3010"/>
      </w:tblGrid>
      <w:tr>
        <w:trPr>
          <w:cantSplit/>
          <w:tblHeader/>
        </w:trPr>
        <w:tc>
          <w:tcPr>
            <w:tcW w:type="dxa" w:w="224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Program</w:t>
            </w:r>
          </w:p>
        </w:tc>
        <w:tc>
          <w:tcPr>
            <w:tcW w:type="dxa" w:w="4781"/>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Deliverables</w:t>
            </w:r>
          </w:p>
        </w:tc>
        <w:tc>
          <w:tcPr>
            <w:tcW w:type="dxa" w:w="301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Release decision</w:t>
            </w:r>
          </w:p>
        </w:tc>
      </w:tr>
      <w:tr>
        <w:trPr>
          <w:cantSplit/>
        </w:trPr>
        <w:tc>
          <w:tcPr>
            <w:tcW w:type="dxa" w:w="224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1 / Define and model — G0–G1</w:t>
            </w:r>
          </w:p>
        </w:tc>
        <w:tc>
          <w:tcPr>
            <w:tcW w:type="dxa" w:w="478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Freeze first profiles and cost ceilings; characterize HBF/NPU/working-state requirements; simulator with workload/queue/topology assumptions; native-runtime scope from partner.</w:t>
            </w:r>
          </w:p>
        </w:tc>
        <w:tc>
          <w:tcPr>
            <w:tcW w:type="dxa" w:w="301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Narrow to workloads with plausible operator and memory paths.</w:t>
            </w:r>
          </w:p>
        </w:tc>
      </w:tr>
      <w:tr>
        <w:trPr>
          <w:cantSplit/>
        </w:trPr>
        <w:tc>
          <w:tcPr>
            <w:tcW w:type="dxa" w:w="224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2 / Emulate and integrate — G2–G4 preparation</w:t>
            </w:r>
          </w:p>
        </w:tc>
        <w:tc>
          <w:tcPr>
            <w:tcW w:type="dxa" w:w="478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Complete service APIs, governed RAG, signed packs, device contracts, state/error model and offline lifecycle using surrogate execution.</w:t>
            </w:r>
          </w:p>
        </w:tc>
        <w:tc>
          <w:tcPr>
            <w:tcW w:type="dxa" w:w="301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Software readiness only; no silicon performance claims.</w:t>
            </w:r>
          </w:p>
        </w:tc>
      </w:tr>
      <w:tr>
        <w:trPr>
          <w:cantSplit/>
        </w:trPr>
        <w:tc>
          <w:tcPr>
            <w:tcW w:type="dxa" w:w="224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3 / Physical 8/16 qualification — G2–G5</w:t>
            </w:r>
          </w:p>
        </w:tc>
        <w:tc>
          <w:tcPr>
            <w:tcW w:type="dxa" w:w="4781"/>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Four-device domains; D8 complete service; E16 thermals, failure reserve, security, 72-hour soak, model/collection/platform update and rollback.</w:t>
            </w:r>
          </w:p>
        </w:tc>
        <w:tc>
          <w:tcPr>
            <w:tcW w:type="dxa" w:w="301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Qualified pilot BOM and measured profiles; no broad GA claim.</w:t>
            </w:r>
          </w:p>
        </w:tc>
      </w:tr>
      <w:tr>
        <w:trPr>
          <w:cantSplit/>
        </w:trPr>
        <w:tc>
          <w:tcPr>
            <w:tcW w:type="dxa" w:w="224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4 / Customer and scale — G6–G8</w:t>
            </w:r>
          </w:p>
        </w:tc>
        <w:tc>
          <w:tcPr>
            <w:tcW w:type="dxa" w:w="4781"/>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Matched customer evaluation, support drill and economics; vertical pack; E24 only if demanded and technically justified.</w:t>
            </w:r>
          </w:p>
        </w:tc>
        <w:tc>
          <w:tcPr>
            <w:tcW w:type="dxa" w:w="301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Product, finance, legal and support approve the named configuration.</w:t>
            </w:r>
          </w:p>
        </w:tc>
      </w:tr>
    </w:tbl>
    <w:p>
      <w:pPr>
        <w:spacing w:after="0"/>
      </w:pPr>
      <w:r>
        <w:rPr>
          <w:b w:val="0"/>
        </w:rPr>
      </w:r>
    </w:p>
    <w:p>
      <w:pPr>
        <w:pStyle w:val="Heading2"/>
      </w:pPr>
      <w:r>
        <w:t>Accountability and initial resourcing</w:t>
      </w:r>
    </w:p>
    <w:p>
      <w:r>
        <w:rPr>
          <w:b w:val="0"/>
        </w:rPr>
        <w:t>Name a product/solution lead, native-runtime/compiler lead, device/firmware lead, OEM/platform lead, knowledge-application lead, security lead, performance/QA lead and support/SRE owner. These are responsibilities, not eight assumed hires. Request a scoped 12-week plan with explicit partner capacity, deliverables and budget before funding a full product team.</w:t>
      </w:r>
    </w:p>
    <w:p>
      <w:pPr>
        <w:pStyle w:val="Heading2"/>
      </w:pPr>
      <w:r>
        <w:t>First management checkpoint</w:t>
      </w:r>
    </w:p>
    <w:p>
      <w:r>
        <w:rPr>
          <w:b w:val="0"/>
        </w:rPr>
        <w:t>Return one signed workload charter, measured incumbent controls, an ATMOS feasibility envelope, one agreed NPU/runtime deliverable matrix, two comparable OEM RFIs, a cost/risk ledger, and a reproducible emulator demo. Silicon tapeout, all model ports, nationwide field coverage and production certifications are not implicitly included.</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SUPPORT IS A GATE  </w:t>
            </w:r>
            <w:r>
              <w:rPr>
                <w:sz w:val="20"/>
              </w:rPr>
              <w:t>A successful benchmark with no supported update, rollback, recovery and field-service path is not an orderable enterprise appliance.</w:t>
            </w:r>
          </w:p>
        </w:tc>
      </w:tr>
    </w:tbl>
    <w:p>
      <w:r>
        <w:br w:type="page"/>
      </w:r>
    </w:p>
    <w:p>
      <w:bookmarkStart w:id="20" w:name="PRD_20"/>
      <w:pPr>
        <w:pStyle w:val="Heading1"/>
      </w:pPr>
      <w:r>
        <w:t>20. Decisions, corrections and no-go criteria</w:t>
      </w:r>
      <w:bookmarkEnd w:id="20"/>
    </w:p>
    <w:tbl>
      <w:tblPr>
        <w:tblW w:type="auto" w:w="0"/>
        <w:jc w:val="center"/>
        <w:tblLayout w:type="fixed"/>
        <w:tblLook w:firstColumn="1" w:firstRow="1" w:lastColumn="0" w:lastRow="0" w:noHBand="0" w:noVBand="1" w:val="04A0"/>
      </w:tblPr>
      <w:tblGrid>
        <w:gridCol w:w="1944"/>
        <w:gridCol w:w="4104"/>
        <w:gridCol w:w="3989"/>
      </w:tblGrid>
      <w:tr>
        <w:trPr>
          <w:cantSplit/>
          <w:tblHeader/>
        </w:trPr>
        <w:tc>
          <w:tcPr>
            <w:tcW w:type="dxa" w:w="194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Decision / risk</w:t>
            </w:r>
          </w:p>
        </w:tc>
        <w:tc>
          <w:tcPr>
            <w:tcW w:type="dxa" w:w="410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Proceed when</w:t>
            </w:r>
          </w:p>
        </w:tc>
        <w:tc>
          <w:tcPr>
            <w:tcW w:type="dxa" w:w="398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Stop or narrow when</w:t>
            </w:r>
          </w:p>
        </w:tc>
      </w:tr>
      <w:tr>
        <w:trPr>
          <w:cantSplit/>
        </w:trPr>
        <w:tc>
          <w:tcPr>
            <w:tcW w:type="dxa" w:w="194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Hardware-to-service value</w:t>
            </w:r>
          </w:p>
        </w:tc>
        <w:tc>
          <w:tcPr>
            <w:tcW w:type="dxa" w:w="410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Local HBF/NPU path improves a priced bottleneck.</w:t>
            </w:r>
          </w:p>
        </w:tc>
        <w:tc>
          <w:tcPr>
            <w:tcW w:type="dxa" w:w="39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CPU/DRAM or existing GPU controls are cheaper for the same accepted work.</w:t>
            </w:r>
          </w:p>
        </w:tc>
      </w:tr>
      <w:tr>
        <w:trPr>
          <w:cantSplit/>
        </w:trPr>
        <w:tc>
          <w:tcPr>
            <w:tcW w:type="dxa" w:w="194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Native model support</w:t>
            </w:r>
          </w:p>
        </w:tc>
        <w:tc>
          <w:tcPr>
            <w:tcW w:type="dxa" w:w="410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Exact model, precision, shapes and memory plan pass.</w:t>
            </w:r>
          </w:p>
        </w:tc>
        <w:tc>
          <w:tcPr>
            <w:tcW w:type="dxa" w:w="398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Only weight-fit or peak TOPS evidence exists.</w:t>
            </w:r>
          </w:p>
        </w:tc>
      </w:tr>
      <w:tr>
        <w:trPr>
          <w:cantSplit/>
        </w:trPr>
        <w:tc>
          <w:tcPr>
            <w:tcW w:type="dxa" w:w="194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Platform compatibility</w:t>
            </w:r>
          </w:p>
        </w:tc>
        <w:tc>
          <w:tcPr>
            <w:tcW w:type="dxa" w:w="410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OEM signs 2T/x4/power/cooling/firmware/route BOM.</w:t>
            </w:r>
          </w:p>
        </w:tc>
        <w:tc>
          <w:tcPr>
            <w:tcW w:type="dxa" w:w="39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Storage bay count is the only evidence.</w:t>
            </w:r>
          </w:p>
        </w:tc>
      </w:tr>
      <w:tr>
        <w:trPr>
          <w:cantSplit/>
        </w:trPr>
        <w:tc>
          <w:tcPr>
            <w:tcW w:type="dxa" w:w="194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Latency / throughput</w:t>
            </w:r>
          </w:p>
        </w:tc>
        <w:tc>
          <w:tcPr>
            <w:tcW w:type="dxa" w:w="410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G1/R1 or approved replacement profiles pass together under target load.</w:t>
            </w:r>
          </w:p>
        </w:tc>
        <w:tc>
          <w:tcPr>
            <w:tcW w:type="dxa" w:w="398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Extra queueing, working memory or collectives violate the service envelope.</w:t>
            </w:r>
          </w:p>
        </w:tc>
      </w:tr>
      <w:tr>
        <w:trPr>
          <w:cantSplit/>
        </w:trPr>
        <w:tc>
          <w:tcPr>
            <w:tcW w:type="dxa" w:w="194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HA / security</w:t>
            </w:r>
          </w:p>
        </w:tc>
        <w:tc>
          <w:tcPr>
            <w:tcW w:type="dxa" w:w="410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Complete replicas, durable state, isolation and recovery pass.</w:t>
            </w:r>
          </w:p>
        </w:tc>
        <w:tc>
          <w:tcPr>
            <w:tcW w:type="dxa" w:w="39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 fault loses required experts/indexes or permits unauthorized access.</w:t>
            </w:r>
          </w:p>
        </w:tc>
      </w:tr>
      <w:tr>
        <w:trPr>
          <w:cantSplit/>
        </w:trPr>
        <w:tc>
          <w:tcPr>
            <w:tcW w:type="dxa" w:w="194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Business / brand</w:t>
            </w:r>
          </w:p>
        </w:tc>
        <w:tc>
          <w:tcPr>
            <w:tcW w:type="dxa" w:w="410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SanDisk owns the supported service and a viable commercial contract.</w:t>
            </w:r>
          </w:p>
        </w:tc>
        <w:tc>
          <w:tcPr>
            <w:tcW w:type="dxa" w:w="398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Unfunded support, margins or OEM dependence make the promise unsustainable.</w:t>
            </w:r>
          </w:p>
        </w:tc>
      </w:tr>
    </w:tbl>
    <w:p>
      <w:pPr>
        <w:spacing w:after="0"/>
      </w:pPr>
      <w:r>
        <w:rPr>
          <w:b w:val="0"/>
        </w:rPr>
      </w:r>
    </w:p>
    <w:p>
      <w:pPr>
        <w:pStyle w:val="Heading2"/>
      </w:pPr>
      <w:r>
        <w:t>What changed from the supplied files</w:t>
      </w:r>
    </w:p>
    <w:p>
      <w:r>
        <w:rPr>
          <w:b w:val="0"/>
        </w:rPr>
        <w:t>Preserved: all five profiles, four-device local groups, the nine software products, six Knowledge Agent modes, seven API families, model/index/platform lifecycle, support targets and the complete use-case inventory. Added: measured-versus-target labels, concrete service profiles, bottom-up acquisition budgets, three-plane HA, broader competitors, current revenue context, a branded-OEM strategy and use-case implementation/KPI detail.</w:t>
      </w:r>
    </w:p>
    <w:p>
      <w:r>
        <w:rPr>
          <w:b w:val="0"/>
        </w:rPr>
        <w:t>Corrected explicitly: the old universal 70% counterpart pricing and automatic 24.8% saving are not evidence; four x4 endpoints behind x16 do not save host lanes versus direct x4; P2P is not coherence or service HA; source-corpus size does not equal HBF need; workstation, edge and AI market revenue are not interchangeable. Appended placeholder-linked customer anecdotes were treated as leads unless revalidated; their use-case concepts remain in the catalog.</w:t>
      </w:r>
    </w:p>
    <w:p>
      <w:pPr>
        <w:pStyle w:val="Heading2"/>
      </w:pPr>
      <w:r>
        <w:t>Leadership request</w:t>
      </w:r>
    </w:p>
    <w:p>
      <w:r>
        <w:rPr>
          <w:b w:val="0"/>
        </w:rPr>
        <w:t>Approve the D8/E16 evidence program and Knowledge Agent product definition; appoint software/service owners; issue a brand-preserving OEM RFI; and require workload, physical, security, HA and economic gates before launch. Keep W4 commercial release, E24, unsupported models, safety/diagnostic control and performance superiority claims gated.</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FINAL STATEMENT TO EARN  </w:t>
            </w:r>
            <w:r>
              <w:rPr>
                <w:sz w:val="20"/>
              </w:rPr>
              <w:t>For the named workload, model, OEM configuration and service policy, a SanDisk ATMOS appliance delivers a better accepted-service outcome or lower comparable cost while preserving quality, governance, availability and supportability.</w:t>
            </w:r>
          </w:p>
        </w:tc>
      </w:tr>
    </w:tbl>
    <w:p>
      <w:r>
        <w:br w:type="page"/>
      </w:r>
    </w:p>
    <w:p>
      <w:pPr>
        <w:pStyle w:val="Heading1"/>
      </w:pPr>
      <w:r>
        <w:t>Appendix A / Rank 01</w:t>
        <w:br/>
        <w:t>Finance &amp; insurance</w:t>
      </w:r>
    </w:p>
    <w:p>
      <w:r>
        <w:rPr>
          <w:b w:val="0"/>
        </w:rPr>
        <w:t>Recommended entry profile: E8 / E16. Case-file, policy and compliance assistance; human decisions retained.</w:t>
      </w:r>
    </w:p>
    <w:p>
      <w:r>
        <w:rPr>
          <w:b w:val="0"/>
        </w:rPr>
        <w:t>Priority is a planning judgment, not a measured return. The labels below preserve the supplied use-case inventory; the implementation and KPI columns are new proposal detail. [I1; S30]</w:t>
      </w:r>
    </w:p>
    <w:tbl>
      <w:tblPr>
        <w:tblW w:type="auto" w:w="0"/>
        <w:jc w:val="center"/>
        <w:tblLayout w:type="fixed"/>
        <w:tblLook w:firstColumn="1" w:firstRow="1" w:lastColumn="0" w:lastRow="0" w:noHBand="0" w:noVBand="1" w:val="04A0"/>
      </w:tblPr>
      <w:tblGrid>
        <w:gridCol w:w="3125"/>
        <w:gridCol w:w="4248"/>
        <w:gridCol w:w="2664"/>
      </w:tblGrid>
      <w:tr>
        <w:trPr>
          <w:cantSplit/>
          <w:tblHeader/>
        </w:trPr>
        <w:tc>
          <w:tcPr>
            <w:tcW w:type="dxa" w:w="312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from source</w:t>
            </w:r>
          </w:p>
        </w:tc>
        <w:tc>
          <w:tcPr>
            <w:tcW w:type="dxa" w:w="424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the solution actually does</w:t>
            </w:r>
          </w:p>
        </w:tc>
        <w:tc>
          <w:tcPr>
            <w:tcW w:type="dxa" w:w="266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Acceptance / value KPI</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Research and regulatory-document agent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Search filings and internal research with source/version citations.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Analyst minutes; citation precision</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Fraud-investigation evidence retrieval</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Assemble authorized evidence around an investigation.</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Time to evidence; case completeness</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Know-your-customer document processing</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Extract fields, check missing evidence and prepare review.</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Fields accepted; review time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Anti-money-laundering case summarization</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Draft case summaries linked to source transactions/documents.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Reviewer edits; case turnaround</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Policy and procedure assistant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Answer internal procedure questions using current policy.</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Resolution time; policy freshness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Insurance claims document intelligence</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Summarize claim files and reconcile document evidence.</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Handling minutes; factual error rate</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Credit-policy retrieval</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Retrieve applicable credit policy; do not decide eligibility.</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Policy-match accuracy; review time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Customer-care knowledge service</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Ground service-agent drafts in approved bank knowledge.</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Handle time; escalation rate</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Large feature and recommendation tables</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Serve bounded feature lookup / candidate scoring.</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p99 lookup; cost per score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Batch compliance review</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Classify and extract reporting evidence in scheduled jobs.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Accepted documents/hour; exceptions</w:t>
            </w:r>
          </w:p>
        </w:tc>
      </w:tr>
    </w:tbl>
    <w:p>
      <w:pPr>
        <w:spacing w:after="0"/>
      </w:pPr>
      <w:r>
        <w:rPr>
          <w:b w:val="0"/>
        </w:rPr>
      </w:r>
    </w:p>
    <w:p>
      <w:pPr>
        <w:pStyle w:val="Heading2"/>
      </w:pPr>
      <w:r>
        <w:t>Pilot and product boundary</w:t>
      </w:r>
    </w:p>
    <w:p>
      <w:r>
        <w:rPr>
          <w:b w:val="0"/>
        </w:rPr>
        <w:t>Select one workflow, one accountable business owner, authorized sources and a golden evaluation. Certify the exact data/ACL/model profile before adding users. Establish baseline staff time, quality, peak demand and operating cost; do not equate a large industry data estate with automatic hardware demand.</w:t>
      </w:r>
    </w:p>
    <w:p>
      <w:pPr>
        <w:pStyle w:val="Caption"/>
      </w:pPr>
      <w:r>
        <w:rPr>
          <w:b w:val="0"/>
        </w:rPr>
        <w:t>Launch first through the common Knowledge Agent, retrieval or batch service. Domain connectors, taxonomy, evaluation and retention are a solution pack; real-time decisions, unrestricted autonomous actions and unrelated compute remain out of scope.</w:t>
      </w:r>
    </w:p>
    <w:p>
      <w:r>
        <w:br w:type="page"/>
      </w:r>
    </w:p>
    <w:p>
      <w:pPr>
        <w:pStyle w:val="Heading1"/>
      </w:pPr>
      <w:r>
        <w:t>Appendix A / Rank 02</w:t>
        <w:br/>
        <w:t>Manufacturing</w:t>
      </w:r>
    </w:p>
    <w:p>
      <w:r>
        <w:rPr>
          <w:b w:val="0"/>
        </w:rPr>
        <w:t>Recommended entry profile: D8 / E16. Factory knowledge rather than robotics control, graphics or digital-twin simulation.</w:t>
      </w:r>
    </w:p>
    <w:p>
      <w:r>
        <w:rPr>
          <w:b w:val="0"/>
        </w:rPr>
        <w:t>Priority is a planning judgment, not a measured return. The labels below preserve the supplied use-case inventory; the implementation and KPI columns are new proposal detail. [I1; I1]</w:t>
      </w:r>
    </w:p>
    <w:tbl>
      <w:tblPr>
        <w:tblW w:type="auto" w:w="0"/>
        <w:jc w:val="center"/>
        <w:tblLayout w:type="fixed"/>
        <w:tblLook w:firstColumn="1" w:firstRow="1" w:lastColumn="0" w:lastRow="0" w:noHBand="0" w:noVBand="1" w:val="04A0"/>
      </w:tblPr>
      <w:tblGrid>
        <w:gridCol w:w="3125"/>
        <w:gridCol w:w="4248"/>
        <w:gridCol w:w="2664"/>
      </w:tblGrid>
      <w:tr>
        <w:trPr>
          <w:cantSplit/>
          <w:tblHeader/>
        </w:trPr>
        <w:tc>
          <w:tcPr>
            <w:tcW w:type="dxa" w:w="312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from source</w:t>
            </w:r>
          </w:p>
        </w:tc>
        <w:tc>
          <w:tcPr>
            <w:tcW w:type="dxa" w:w="424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the solution actually does</w:t>
            </w:r>
          </w:p>
        </w:tc>
        <w:tc>
          <w:tcPr>
            <w:tcW w:type="dxa" w:w="266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Acceptance / value KPI</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Maintenance-manual agent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Find the correct manual/version for an asset and task.</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Search time; correct version rate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Quality-report search and summarization</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Retrieve comparable quality reports and draft summaries.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Investigation time; cited findings</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Work-instruction assistant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Answer procedure questions from approved instructions.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First-time resolution; safety review</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Corrective-action and incident retrieval</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Retrieve prior incidents and corrective actions.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Repeat incident analysis time</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Spare-parts recommendation</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Suggest compatible part candidates for human approval.</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Candidate precision; fulfillment time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Supplier-quality document processing</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Extract supplier evidence and flag missing documents.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Accepted fields; review backlog</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Engineering change-order analysis</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Compare change orders with prior approved designs.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Review time; missed-change rate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Historical sensor-event retrieval</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Search previously extracted sensor-event features.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Recall@k; p99 retrieval</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Warranty and service-case similarity</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Retrieve similar warranty and service cases.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Case-match relevance; handling time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Factory agent memory</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Persist approved facts and references for bounded agents.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Reuse hit rate; unauthorized recall</w:t>
            </w:r>
          </w:p>
        </w:tc>
      </w:tr>
    </w:tbl>
    <w:p>
      <w:pPr>
        <w:spacing w:after="0"/>
      </w:pPr>
      <w:r>
        <w:rPr>
          <w:b w:val="0"/>
        </w:rPr>
      </w:r>
    </w:p>
    <w:p>
      <w:pPr>
        <w:pStyle w:val="Heading2"/>
      </w:pPr>
      <w:r>
        <w:t>Pilot and product boundary</w:t>
      </w:r>
    </w:p>
    <w:p>
      <w:r>
        <w:rPr>
          <w:b w:val="0"/>
        </w:rPr>
        <w:t>Select one workflow, one accountable business owner, authorized sources and a golden evaluation. Certify the exact data/ACL/model profile before adding users. Establish baseline staff time, quality, peak demand and operating cost; do not equate a large industry data estate with automatic hardware demand.</w:t>
      </w:r>
    </w:p>
    <w:p>
      <w:pPr>
        <w:pStyle w:val="Caption"/>
      </w:pPr>
      <w:r>
        <w:rPr>
          <w:b w:val="0"/>
        </w:rPr>
        <w:t>Launch first through the common Knowledge Agent, retrieval or batch service. Domain connectors, taxonomy, evaluation and retention are a solution pack; real-time decisions, unrestricted autonomous actions and unrelated compute remain out of scope.</w:t>
      </w:r>
    </w:p>
    <w:p>
      <w:r>
        <w:br w:type="page"/>
      </w:r>
    </w:p>
    <w:p>
      <w:pPr>
        <w:pStyle w:val="Heading1"/>
      </w:pPr>
      <w:r>
        <w:t>Appendix A / Rank 03</w:t>
        <w:br/>
        <w:t>Energy &amp; utilities</w:t>
      </w:r>
    </w:p>
    <w:p>
      <w:r>
        <w:rPr>
          <w:b w:val="0"/>
        </w:rPr>
        <w:t>Recommended entry profile: D8 / E16. Engineering evidence and local document research, not grid dispatch or forecasting compute.</w:t>
      </w:r>
    </w:p>
    <w:p>
      <w:r>
        <w:rPr>
          <w:b w:val="0"/>
        </w:rPr>
        <w:t>Priority is a planning judgment, not a measured return. The labels below preserve the supplied use-case inventory; the implementation and KPI columns are new proposal detail. [I1; S31]</w:t>
      </w:r>
    </w:p>
    <w:tbl>
      <w:tblPr>
        <w:tblW w:type="auto" w:w="0"/>
        <w:jc w:val="center"/>
        <w:tblLayout w:type="fixed"/>
        <w:tblLook w:firstColumn="1" w:firstRow="1" w:lastColumn="0" w:lastRow="0" w:noHBand="0" w:noVBand="1" w:val="04A0"/>
      </w:tblPr>
      <w:tblGrid>
        <w:gridCol w:w="3125"/>
        <w:gridCol w:w="4248"/>
        <w:gridCol w:w="2664"/>
      </w:tblGrid>
      <w:tr>
        <w:trPr>
          <w:cantSplit/>
          <w:tblHeader/>
        </w:trPr>
        <w:tc>
          <w:tcPr>
            <w:tcW w:type="dxa" w:w="312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from source</w:t>
            </w:r>
          </w:p>
        </w:tc>
        <w:tc>
          <w:tcPr>
            <w:tcW w:type="dxa" w:w="424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the solution actually does</w:t>
            </w:r>
          </w:p>
        </w:tc>
        <w:tc>
          <w:tcPr>
            <w:tcW w:type="dxa" w:w="266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Acceptance / value KPI</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Grid engineering knowledge agent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Answer engineering-document questions with cited passages.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Research time; groundedness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Operating-procedure retrieval</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Retrieve the currently approved operating procedure.</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Correct-version rate; time to evidence</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Maintenance-history search</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Find similar asset events in maintenance records.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Investigation time; retrieval recall</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Asset-manual assistant</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Provide manual sections for named equipment.</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First-time retrieval success</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Regulatory filing analysis</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Extract and summarize regulatory filing evidence.</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Accepted fields; reviewer time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Interconnection-study retrieval</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Locate relevant interconnection assumptions and studies.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Research lead time; citation accuracy</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Outage postmortem analysis</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Synthesize outage reports without controlling equipment.</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Report turnaround; factual errors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Environmental-report processing</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Batch extract environmental-report fields for review.</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Accepted documents/hour</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Field-worker knowledge system</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Provide locally accessible technical knowledge.</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Offline availability; task resolution</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Air-gapped technical research assistant</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Run approved technical retrieval without cloud dependency.</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Offline test pass; audit completeness</w:t>
            </w:r>
          </w:p>
        </w:tc>
      </w:tr>
    </w:tbl>
    <w:p>
      <w:pPr>
        <w:spacing w:after="0"/>
      </w:pPr>
      <w:r>
        <w:rPr>
          <w:b w:val="0"/>
        </w:rPr>
      </w:r>
    </w:p>
    <w:p>
      <w:pPr>
        <w:pStyle w:val="Heading2"/>
      </w:pPr>
      <w:r>
        <w:t>Pilot and product boundary</w:t>
      </w:r>
    </w:p>
    <w:p>
      <w:r>
        <w:rPr>
          <w:b w:val="0"/>
        </w:rPr>
        <w:t>Select one workflow, one accountable business owner, authorized sources and a golden evaluation. Certify the exact data/ACL/model profile before adding users. Establish baseline staff time, quality, peak demand and operating cost; do not equate a large industry data estate with automatic hardware demand.</w:t>
      </w:r>
    </w:p>
    <w:p>
      <w:pPr>
        <w:pStyle w:val="Caption"/>
      </w:pPr>
      <w:r>
        <w:rPr>
          <w:b w:val="0"/>
        </w:rPr>
        <w:t>Launch first through the common Knowledge Agent, retrieval or batch service. Domain connectors, taxonomy, evaluation and retention are a solution pack; real-time decisions, unrestricted autonomous actions and unrelated compute remain out of scope.</w:t>
      </w:r>
    </w:p>
    <w:p>
      <w:r>
        <w:br w:type="page"/>
      </w:r>
    </w:p>
    <w:p>
      <w:pPr>
        <w:pStyle w:val="Heading1"/>
      </w:pPr>
      <w:r>
        <w:t>Appendix A / Rank 04</w:t>
        <w:br/>
        <w:t>Legal &amp; professional services</w:t>
      </w:r>
    </w:p>
    <w:p>
      <w:r>
        <w:rPr>
          <w:b w:val="0"/>
        </w:rPr>
        <w:t>Recommended entry profile: D8 / E8. Client-isolated evidence and drafting; privilege, citations and reviewer approval.</w:t>
      </w:r>
    </w:p>
    <w:p>
      <w:r>
        <w:rPr>
          <w:b w:val="0"/>
        </w:rPr>
        <w:t>Priority is a planning judgment, not a measured return. The labels below preserve the supplied use-case inventory; the implementation and KPI columns are new proposal detail. [I1; I1]</w:t>
      </w:r>
    </w:p>
    <w:tbl>
      <w:tblPr>
        <w:tblW w:type="auto" w:w="0"/>
        <w:jc w:val="center"/>
        <w:tblLayout w:type="fixed"/>
        <w:tblLook w:firstColumn="1" w:firstRow="1" w:lastColumn="0" w:lastRow="0" w:noHBand="0" w:noVBand="1" w:val="04A0"/>
      </w:tblPr>
      <w:tblGrid>
        <w:gridCol w:w="3125"/>
        <w:gridCol w:w="4248"/>
        <w:gridCol w:w="2664"/>
      </w:tblGrid>
      <w:tr>
        <w:trPr>
          <w:cantSplit/>
          <w:tblHeader/>
        </w:trPr>
        <w:tc>
          <w:tcPr>
            <w:tcW w:type="dxa" w:w="312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from source</w:t>
            </w:r>
          </w:p>
        </w:tc>
        <w:tc>
          <w:tcPr>
            <w:tcW w:type="dxa" w:w="424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the solution actually does</w:t>
            </w:r>
          </w:p>
        </w:tc>
        <w:tc>
          <w:tcPr>
            <w:tcW w:type="dxa" w:w="266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Acceptance / value KPI</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Contract review and clause retrieval</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Find clauses and draft comparisons with source anchors.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Review minutes; clause recall</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Matter and precedent search</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Search precedents within matter/privilege boundaries.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Relevant hits; access leakage</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Regulatory and tax knowledge</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Retrieve current tax/regulatory sources for professionals.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Citation currency; research time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Audit-support evidence retrieval</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Collect source-linked evidence for audit review.</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Evidence preparation time</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Due-diligence document processing</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Extract and organize diligence files into review queues.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Backlog throughput; missing fields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Policy consistency analysis</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Compare policy versions and flag inconsistencies.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Reviewer agreement; exceptions</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Proposal and research assistant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Draft evidence-linked research/proposals for approval.</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Accepted draft rate; editing time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Client-isolated knowledge bases</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Enforce separate tenant, matter and retention policies.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Isolation tests; support cost</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Cited batch summaries</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Summarize documents asynchronously with citations.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Accepted pages/hour; factuality</w:t>
            </w:r>
          </w:p>
        </w:tc>
      </w:tr>
    </w:tbl>
    <w:p>
      <w:pPr>
        <w:spacing w:after="0"/>
      </w:pPr>
      <w:r>
        <w:rPr>
          <w:b w:val="0"/>
        </w:rPr>
      </w:r>
    </w:p>
    <w:p>
      <w:pPr>
        <w:pStyle w:val="Heading2"/>
      </w:pPr>
      <w:r>
        <w:t>Pilot and product boundary</w:t>
      </w:r>
    </w:p>
    <w:p>
      <w:r>
        <w:rPr>
          <w:b w:val="0"/>
        </w:rPr>
        <w:t>Select one workflow, one accountable business owner, authorized sources and a golden evaluation. Certify the exact data/ACL/model profile before adding users. Establish baseline staff time, quality, peak demand and operating cost; do not equate a large industry data estate with automatic hardware demand.</w:t>
      </w:r>
    </w:p>
    <w:p>
      <w:pPr>
        <w:pStyle w:val="Caption"/>
      </w:pPr>
      <w:r>
        <w:rPr>
          <w:b w:val="0"/>
        </w:rPr>
        <w:t>Launch first through the common Knowledge Agent, retrieval or batch service. Domain connectors, taxonomy, evaluation and retention are a solution pack; real-time decisions, unrestricted autonomous actions and unrelated compute remain out of scope.</w:t>
      </w:r>
    </w:p>
    <w:p>
      <w:r>
        <w:br w:type="page"/>
      </w:r>
    </w:p>
    <w:p>
      <w:pPr>
        <w:pStyle w:val="Heading1"/>
      </w:pPr>
      <w:r>
        <w:t>Appendix A / Rank 05</w:t>
        <w:br/>
        <w:t>Government &amp; regulated services</w:t>
      </w:r>
    </w:p>
    <w:p>
      <w:r>
        <w:rPr>
          <w:b w:val="0"/>
        </w:rPr>
        <w:t>Recommended entry profile: E16. High fit but procurement, accreditation and connector approval can delay revenue.</w:t>
      </w:r>
    </w:p>
    <w:p>
      <w:r>
        <w:rPr>
          <w:b w:val="0"/>
        </w:rPr>
        <w:t>Priority is a planning judgment, not a measured return. The labels below preserve the supplied use-case inventory; the implementation and KPI columns are new proposal detail. [I1; S32]</w:t>
      </w:r>
    </w:p>
    <w:tbl>
      <w:tblPr>
        <w:tblW w:type="auto" w:w="0"/>
        <w:jc w:val="center"/>
        <w:tblLayout w:type="fixed"/>
        <w:tblLook w:firstColumn="1" w:firstRow="1" w:lastColumn="0" w:lastRow="0" w:noHBand="0" w:noVBand="1" w:val="04A0"/>
      </w:tblPr>
      <w:tblGrid>
        <w:gridCol w:w="3125"/>
        <w:gridCol w:w="4248"/>
        <w:gridCol w:w="2664"/>
      </w:tblGrid>
      <w:tr>
        <w:trPr>
          <w:cantSplit/>
          <w:tblHeader/>
        </w:trPr>
        <w:tc>
          <w:tcPr>
            <w:tcW w:type="dxa" w:w="312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from source</w:t>
            </w:r>
          </w:p>
        </w:tc>
        <w:tc>
          <w:tcPr>
            <w:tcW w:type="dxa" w:w="424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the solution actually does</w:t>
            </w:r>
          </w:p>
        </w:tc>
        <w:tc>
          <w:tcPr>
            <w:tcW w:type="dxa" w:w="266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Acceptance / value KPI</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Policy and regulation assistant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Retrieve applicable rules and provide cited drafts.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Response time; source accuracy</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Benefits and application processing</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Extract application evidence; leave entitlement decisions to staff.</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Processing minutes; exception rate</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Tax and finance document retrieval</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Find authorized tax/finance evidence for staff review.</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Search time; ACL correctness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Contract and procurement analysis</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Compare procurement documents and extract obligations.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Reviewer time; obligation recall</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Legislative and case-law research</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Retrieve laws and precedents with jurisdiction/version.</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Citation correctness; research minutes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Secure defense knowledge service</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Serve approved knowledge on an isolated network.</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Offline operation; compartment isolation</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Fraud-investigation evidence retrieval</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Find source-linked evidence for authorized investigations.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Time to evidence; trace completeness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Air-gapped enterprise search</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Search local collections with signed offline updates.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Update success; query p99</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Cited responses with immutable audit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Attach traceable source/model/policy records to responses.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Audit completeness; citation precision</w:t>
            </w:r>
          </w:p>
        </w:tc>
      </w:tr>
    </w:tbl>
    <w:p>
      <w:pPr>
        <w:spacing w:after="0"/>
      </w:pPr>
      <w:r>
        <w:rPr>
          <w:b w:val="0"/>
        </w:rPr>
      </w:r>
    </w:p>
    <w:p>
      <w:pPr>
        <w:pStyle w:val="Heading2"/>
      </w:pPr>
      <w:r>
        <w:t>Pilot and product boundary</w:t>
      </w:r>
    </w:p>
    <w:p>
      <w:r>
        <w:rPr>
          <w:b w:val="0"/>
        </w:rPr>
        <w:t>Select one workflow, one accountable business owner, authorized sources and a golden evaluation. Certify the exact data/ACL/model profile before adding users. Establish baseline staff time, quality, peak demand and operating cost; do not equate a large industry data estate with automatic hardware demand.</w:t>
      </w:r>
    </w:p>
    <w:p>
      <w:pPr>
        <w:pStyle w:val="Caption"/>
      </w:pPr>
      <w:r>
        <w:rPr>
          <w:b w:val="0"/>
        </w:rPr>
        <w:t>Launch first through the common Knowledge Agent, retrieval or batch service. Domain connectors, taxonomy, evaluation and retention are a solution pack; real-time decisions, unrestricted autonomous actions and unrelated compute remain out of scope.</w:t>
      </w:r>
    </w:p>
    <w:p>
      <w:r>
        <w:br w:type="page"/>
      </w:r>
    </w:p>
    <w:p>
      <w:pPr>
        <w:pStyle w:val="Heading1"/>
      </w:pPr>
      <w:r>
        <w:t>Appendix A / Rank 06</w:t>
        <w:br/>
        <w:t>Telecommunications</w:t>
      </w:r>
    </w:p>
    <w:p>
      <w:r>
        <w:rPr>
          <w:b w:val="0"/>
        </w:rPr>
        <w:t>Recommended entry profile: E16. Read-only network/care evidence first; network changes remain approval-controlled.</w:t>
      </w:r>
    </w:p>
    <w:p>
      <w:r>
        <w:rPr>
          <w:b w:val="0"/>
        </w:rPr>
        <w:t>Priority is a planning judgment, not a measured return. The labels below preserve the supplied use-case inventory; the implementation and KPI columns are new proposal detail. [I1; S33]</w:t>
      </w:r>
    </w:p>
    <w:tbl>
      <w:tblPr>
        <w:tblW w:type="auto" w:w="0"/>
        <w:jc w:val="center"/>
        <w:tblLayout w:type="fixed"/>
        <w:tblLook w:firstColumn="1" w:firstRow="1" w:lastColumn="0" w:lastRow="0" w:noHBand="0" w:noVBand="1" w:val="04A0"/>
      </w:tblPr>
      <w:tblGrid>
        <w:gridCol w:w="3125"/>
        <w:gridCol w:w="4248"/>
        <w:gridCol w:w="2664"/>
      </w:tblGrid>
      <w:tr>
        <w:trPr>
          <w:cantSplit/>
          <w:tblHeader/>
        </w:trPr>
        <w:tc>
          <w:tcPr>
            <w:tcW w:type="dxa" w:w="312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from source</w:t>
            </w:r>
          </w:p>
        </w:tc>
        <w:tc>
          <w:tcPr>
            <w:tcW w:type="dxa" w:w="424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the solution actually does</w:t>
            </w:r>
          </w:p>
        </w:tc>
        <w:tc>
          <w:tcPr>
            <w:tcW w:type="dxa" w:w="266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Acceptance / value KPI</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Network operations knowledge agent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Ground operations answers in tickets and runbooks.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Operator time; groundedness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Alarm and incident correlation</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Correlate historical alarms for investigation only.</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Relevant incident recall; triage time</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Trouble-ticket similarity search</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Retrieve comparable resolved tickets.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Top-k resolution relevance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Root-cause evidence retrieval</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Compile evidence for a proposed root cause.</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Investigation duration; reviewer agreement</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Equipment-manual assistant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Find equipment-specific service instructions.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Manual/version precision</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Field-technician assistant</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Deliver authorized site knowledge to technicians.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First-visit resolution; offline success</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Customer-care knowledge system</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Ground care-agent response drafts.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Handle time; repeat contacts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Billing-dispute document agent</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Extract billing evidence and draft an explanation.</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Reviewer edits; dispute turnaround</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Network-change review</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Check a proposed change against policy; do not apply it.</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Review time; policy violation recall</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Batch call-summary classification</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Classify previously transcribed calls in batches.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Accepted labels/hour; classifier quality</w:t>
            </w:r>
          </w:p>
        </w:tc>
      </w:tr>
    </w:tbl>
    <w:p>
      <w:pPr>
        <w:spacing w:after="0"/>
      </w:pPr>
      <w:r>
        <w:rPr>
          <w:b w:val="0"/>
        </w:rPr>
      </w:r>
    </w:p>
    <w:p>
      <w:pPr>
        <w:pStyle w:val="Heading2"/>
      </w:pPr>
      <w:r>
        <w:t>Pilot and product boundary</w:t>
      </w:r>
    </w:p>
    <w:p>
      <w:r>
        <w:rPr>
          <w:b w:val="0"/>
        </w:rPr>
        <w:t>Select one workflow, one accountable business owner, authorized sources and a golden evaluation. Certify the exact data/ACL/model profile before adding users. Establish baseline staff time, quality, peak demand and operating cost; do not equate a large industry data estate with automatic hardware demand.</w:t>
      </w:r>
    </w:p>
    <w:p>
      <w:pPr>
        <w:pStyle w:val="Caption"/>
      </w:pPr>
      <w:r>
        <w:rPr>
          <w:b w:val="0"/>
        </w:rPr>
        <w:t>Launch first through the common Knowledge Agent, retrieval or batch service. Domain connectors, taxonomy, evaluation and retention are a solution pack; real-time decisions, unrestricted autonomous actions and unrelated compute remain out of scope.</w:t>
      </w:r>
    </w:p>
    <w:p>
      <w:r>
        <w:br w:type="page"/>
      </w:r>
    </w:p>
    <w:p>
      <w:pPr>
        <w:pStyle w:val="Heading1"/>
      </w:pPr>
      <w:r>
        <w:t>Appendix A / Rank 07</w:t>
        <w:br/>
        <w:t>Retail &amp; consumer products</w:t>
      </w:r>
    </w:p>
    <w:p>
      <w:r>
        <w:rPr>
          <w:b w:val="0"/>
        </w:rPr>
        <w:t>Recommended entry profile: D8 / E16. Catalog and associate knowledge; recommendation serving needs separate latency proof.</w:t>
      </w:r>
    </w:p>
    <w:p>
      <w:r>
        <w:rPr>
          <w:b w:val="0"/>
        </w:rPr>
        <w:t>Priority is a planning judgment, not a measured return. The labels below preserve the supplied use-case inventory; the implementation and KPI columns are new proposal detail. [I1; S34]</w:t>
      </w:r>
    </w:p>
    <w:tbl>
      <w:tblPr>
        <w:tblW w:type="auto" w:w="0"/>
        <w:jc w:val="center"/>
        <w:tblLayout w:type="fixed"/>
        <w:tblLook w:firstColumn="1" w:firstRow="1" w:lastColumn="0" w:lastRow="0" w:noHBand="0" w:noVBand="1" w:val="04A0"/>
      </w:tblPr>
      <w:tblGrid>
        <w:gridCol w:w="3125"/>
        <w:gridCol w:w="4248"/>
        <w:gridCol w:w="2664"/>
      </w:tblGrid>
      <w:tr>
        <w:trPr>
          <w:cantSplit/>
          <w:tblHeader/>
        </w:trPr>
        <w:tc>
          <w:tcPr>
            <w:tcW w:type="dxa" w:w="312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from source</w:t>
            </w:r>
          </w:p>
        </w:tc>
        <w:tc>
          <w:tcPr>
            <w:tcW w:type="dxa" w:w="424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the solution actually does</w:t>
            </w:r>
          </w:p>
        </w:tc>
        <w:tc>
          <w:tcPr>
            <w:tcW w:type="dxa" w:w="266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Acceptance / value KPI</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Product discovery and project assistant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Retrieve product/project evidence for guided assistance.</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Task completion; evidence accuracy</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Item and catalog embeddings</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Build versioned catalog embeddings in bounded batches.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Accepted items/hour; freshness</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Associate knowledge agent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Answer associate questions from current product knowledge.</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Search time; answer acceptance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Product compatibility retrieval</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Find compatible product combinations from approved records.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Compatibility precision; returns proxy</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Recommendation candidate generation</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Return a scored shortlist to an existing recommender.</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Recall@k; p99; conversion experiment</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Customer-support knowledge</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Ground support-agent drafts in approved answers.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Handle time; resolution quality</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Supplier-document processing</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Extract supplier forms and check completeness.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Accepted fields; backlog</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Store-policy and operating-procedure search</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Retrieve current store procedures by role/location.</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Policy precision; task completion</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Large user/item feature tables</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Serve feature data with tenant and retention controls.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Lookup p99; update freshness</w:t>
            </w:r>
          </w:p>
        </w:tc>
      </w:tr>
    </w:tbl>
    <w:p>
      <w:pPr>
        <w:spacing w:after="0"/>
      </w:pPr>
      <w:r>
        <w:rPr>
          <w:b w:val="0"/>
        </w:rPr>
      </w:r>
    </w:p>
    <w:p>
      <w:pPr>
        <w:pStyle w:val="Heading2"/>
      </w:pPr>
      <w:r>
        <w:t>Pilot and product boundary</w:t>
      </w:r>
    </w:p>
    <w:p>
      <w:r>
        <w:rPr>
          <w:b w:val="0"/>
        </w:rPr>
        <w:t>Select one workflow, one accountable business owner, authorized sources and a golden evaluation. Certify the exact data/ACL/model profile before adding users. Establish baseline staff time, quality, peak demand and operating cost; do not equate a large industry data estate with automatic hardware demand.</w:t>
      </w:r>
    </w:p>
    <w:p>
      <w:pPr>
        <w:pStyle w:val="Caption"/>
      </w:pPr>
      <w:r>
        <w:rPr>
          <w:b w:val="0"/>
        </w:rPr>
        <w:t>Launch first through the common Knowledge Agent, retrieval or batch service. Domain connectors, taxonomy, evaluation and retention are a solution pack; real-time decisions, unrestricted autonomous actions and unrelated compute remain out of scope.</w:t>
      </w:r>
    </w:p>
    <w:p>
      <w:r>
        <w:br w:type="page"/>
      </w:r>
    </w:p>
    <w:p>
      <w:pPr>
        <w:pStyle w:val="Heading1"/>
      </w:pPr>
      <w:r>
        <w:t>Appendix A / Rank 08</w:t>
        <w:br/>
        <w:t>Higher education &amp; research</w:t>
      </w:r>
    </w:p>
    <w:p>
      <w:r>
        <w:rPr>
          <w:b w:val="0"/>
        </w:rPr>
        <w:t>Recommended entry profile: W4 / D8. Library and shared inference, not a replacement for research training/simulation clusters.</w:t>
      </w:r>
    </w:p>
    <w:p>
      <w:r>
        <w:rPr>
          <w:b w:val="0"/>
        </w:rPr>
        <w:t>Priority is a planning judgment, not a measured return. The labels below preserve the supplied use-case inventory; the implementation and KPI columns are new proposal detail. [I1; S35]</w:t>
      </w:r>
    </w:p>
    <w:tbl>
      <w:tblPr>
        <w:tblW w:type="auto" w:w="0"/>
        <w:jc w:val="center"/>
        <w:tblLayout w:type="fixed"/>
        <w:tblLook w:firstColumn="1" w:firstRow="1" w:lastColumn="0" w:lastRow="0" w:noHBand="0" w:noVBand="1" w:val="04A0"/>
      </w:tblPr>
      <w:tblGrid>
        <w:gridCol w:w="3125"/>
        <w:gridCol w:w="4248"/>
        <w:gridCol w:w="2664"/>
      </w:tblGrid>
      <w:tr>
        <w:trPr>
          <w:cantSplit/>
          <w:tblHeader/>
        </w:trPr>
        <w:tc>
          <w:tcPr>
            <w:tcW w:type="dxa" w:w="312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from source</w:t>
            </w:r>
          </w:p>
        </w:tc>
        <w:tc>
          <w:tcPr>
            <w:tcW w:type="dxa" w:w="424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the solution actually does</w:t>
            </w:r>
          </w:p>
        </w:tc>
        <w:tc>
          <w:tcPr>
            <w:tcW w:type="dxa" w:w="266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Acceptance / value KPI</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University research-library agent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Search library and licensed institutional sources.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Research minutes; licensed-access correctness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Cited literature review</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Draft source-linked literature synthesis for review.</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Citation precision; useful-source coverage</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Grant and policy retrieval</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Find current grant and administrative requirements.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Application prep time; rule accuracy</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Course-material assistant</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Answer within authorized course materials.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Groundedness; learning-task evaluation</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Institutional knowledge search</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Search cross-department policies and archives.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Resolution time; ACL tests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Research-data catalog</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Index dataset descriptions and permitted access paths.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Catalog recall; discovery time</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Shared embedding/reranking service</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Expose certified embedding/rerank APIs to teams.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Cost/query; service utilization</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Batch document inference</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Summarize and extract approved documents in batches.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Accepted documents/hour</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Departmental private models</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Offer bounded local model endpoints.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SLO-compliant tokens; project adoption</w:t>
            </w:r>
          </w:p>
        </w:tc>
      </w:tr>
    </w:tbl>
    <w:p>
      <w:pPr>
        <w:spacing w:after="0"/>
      </w:pPr>
      <w:r>
        <w:rPr>
          <w:b w:val="0"/>
        </w:rPr>
      </w:r>
    </w:p>
    <w:p>
      <w:pPr>
        <w:pStyle w:val="Heading2"/>
      </w:pPr>
      <w:r>
        <w:t>Pilot and product boundary</w:t>
      </w:r>
    </w:p>
    <w:p>
      <w:r>
        <w:rPr>
          <w:b w:val="0"/>
        </w:rPr>
        <w:t>Select one workflow, one accountable business owner, authorized sources and a golden evaluation. Certify the exact data/ACL/model profile before adding users. Establish baseline staff time, quality, peak demand and operating cost; do not equate a large industry data estate with automatic hardware demand.</w:t>
      </w:r>
    </w:p>
    <w:p>
      <w:pPr>
        <w:pStyle w:val="Caption"/>
      </w:pPr>
      <w:r>
        <w:rPr>
          <w:b w:val="0"/>
        </w:rPr>
        <w:t>Launch first through the common Knowledge Agent, retrieval or batch service. Domain connectors, taxonomy, evaluation and retention are a solution pack; real-time decisions, unrestricted autonomous actions and unrelated compute remain out of scope.</w:t>
      </w:r>
    </w:p>
    <w:p>
      <w:r>
        <w:br w:type="page"/>
      </w:r>
    </w:p>
    <w:p>
      <w:pPr>
        <w:pStyle w:val="Heading1"/>
      </w:pPr>
      <w:r>
        <w:t>Appendix A / Rank 11</w:t>
        <w:br/>
        <w:t>Geospatial / aerospace / defense</w:t>
      </w:r>
    </w:p>
    <w:p>
      <w:r>
        <w:rPr>
          <w:b w:val="0"/>
        </w:rPr>
        <w:t>Recommended entry profile: E16. Metadata, scene features and documents; imagery decode and live sensor fusion excluded.</w:t>
      </w:r>
    </w:p>
    <w:p>
      <w:r>
        <w:rPr>
          <w:b w:val="0"/>
        </w:rPr>
        <w:t>Priority is a planning judgment, not a measured return. The labels below preserve the supplied use-case inventory; the implementation and KPI columns are new proposal detail. [I1; I1]</w:t>
      </w:r>
    </w:p>
    <w:tbl>
      <w:tblPr>
        <w:tblW w:type="auto" w:w="0"/>
        <w:jc w:val="center"/>
        <w:tblLayout w:type="fixed"/>
        <w:tblLook w:firstColumn="1" w:firstRow="1" w:lastColumn="0" w:lastRow="0" w:noHBand="0" w:noVBand="1" w:val="04A0"/>
      </w:tblPr>
      <w:tblGrid>
        <w:gridCol w:w="3125"/>
        <w:gridCol w:w="4248"/>
        <w:gridCol w:w="2664"/>
      </w:tblGrid>
      <w:tr>
        <w:trPr>
          <w:cantSplit/>
          <w:tblHeader/>
        </w:trPr>
        <w:tc>
          <w:tcPr>
            <w:tcW w:type="dxa" w:w="312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from source</w:t>
            </w:r>
          </w:p>
        </w:tc>
        <w:tc>
          <w:tcPr>
            <w:tcW w:type="dxa" w:w="424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the solution actually does</w:t>
            </w:r>
          </w:p>
        </w:tc>
        <w:tc>
          <w:tcPr>
            <w:tcW w:type="dxa" w:w="266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Acceptance / value KPI</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Satellite-scene feature catalog</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Index features produced by an approved vision pipeline.</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Scene recall; catalog freshness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Geospatial metadata retrieval</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Search geographic/time/sensor metadata with ACLs.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Filtered recall; query p99</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Historical image-similarity search</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Retrieve similar scenes using existing embeddings.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Recall@k; analyst validation</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Mission-document knowledge agent</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Search mission documents with compartment-aware citations.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Research time; isolation pass</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Intelligence-report correlation</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Correlate authorized reports for human review.</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Analyst time; provenance completeness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Air-gapped technical assistant</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Provide approved technical knowledge offline.</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Disconnected operation; audit tests</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Sensor archive indexing</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Index extracted sensor metadata, not live control.</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Ingest rate; archive freshness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Large local feature repositories</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Keep qualified feature representations local.</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Cost/query; storage/compute locality</w:t>
            </w:r>
          </w:p>
        </w:tc>
      </w:tr>
    </w:tbl>
    <w:p>
      <w:pPr>
        <w:spacing w:after="0"/>
      </w:pPr>
      <w:r>
        <w:rPr>
          <w:b w:val="0"/>
        </w:rPr>
      </w:r>
    </w:p>
    <w:p>
      <w:pPr>
        <w:pStyle w:val="Heading2"/>
      </w:pPr>
      <w:r>
        <w:t>Pilot and product boundary</w:t>
      </w:r>
    </w:p>
    <w:p>
      <w:r>
        <w:rPr>
          <w:b w:val="0"/>
        </w:rPr>
        <w:t>Select one workflow, one accountable business owner, authorized sources and a golden evaluation. Certify the exact data/ACL/model profile before adding users. Establish baseline staff time, quality, peak demand and operating cost; do not equate a large industry data estate with automatic hardware demand.</w:t>
      </w:r>
    </w:p>
    <w:p>
      <w:pPr>
        <w:pStyle w:val="Caption"/>
      </w:pPr>
      <w:r>
        <w:rPr>
          <w:b w:val="0"/>
        </w:rPr>
        <w:t>Launch first through the common Knowledge Agent, retrieval or batch service. Domain connectors, taxonomy, evaluation and retention are a solution pack; real-time decisions, unrestricted autonomous actions and unrelated compute remain out of scope.</w:t>
      </w:r>
    </w:p>
    <w:p>
      <w:r>
        <w:br w:type="page"/>
      </w:r>
    </w:p>
    <w:p>
      <w:pPr>
        <w:pStyle w:val="Heading1"/>
      </w:pPr>
      <w:r>
        <w:t>Appendix A / Rank 12</w:t>
        <w:br/>
        <w:t>Media &amp; entertainment</w:t>
      </w:r>
    </w:p>
    <w:p>
      <w:r>
        <w:rPr>
          <w:b w:val="0"/>
        </w:rPr>
        <w:t>Recommended entry profile: D8 / E16. Rights, transcripts, metadata and archive search; rendering/video generation excluded.</w:t>
      </w:r>
    </w:p>
    <w:p>
      <w:r>
        <w:rPr>
          <w:b w:val="0"/>
        </w:rPr>
        <w:t>Priority is a planning judgment, not a measured return. The labels below preserve the supplied use-case inventory; the implementation and KPI columns are new proposal detail. [I1; I1]</w:t>
      </w:r>
    </w:p>
    <w:tbl>
      <w:tblPr>
        <w:tblW w:type="auto" w:w="0"/>
        <w:jc w:val="center"/>
        <w:tblLayout w:type="fixed"/>
        <w:tblLook w:firstColumn="1" w:firstRow="1" w:lastColumn="0" w:lastRow="0" w:noHBand="0" w:noVBand="1" w:val="04A0"/>
      </w:tblPr>
      <w:tblGrid>
        <w:gridCol w:w="3125"/>
        <w:gridCol w:w="4248"/>
        <w:gridCol w:w="2664"/>
      </w:tblGrid>
      <w:tr>
        <w:trPr>
          <w:cantSplit/>
          <w:tblHeader/>
        </w:trPr>
        <w:tc>
          <w:tcPr>
            <w:tcW w:type="dxa" w:w="312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from source</w:t>
            </w:r>
          </w:p>
        </w:tc>
        <w:tc>
          <w:tcPr>
            <w:tcW w:type="dxa" w:w="4248"/>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What the solution actually does</w:t>
            </w:r>
          </w:p>
        </w:tc>
        <w:tc>
          <w:tcPr>
            <w:tcW w:type="dxa" w:w="266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Acceptance / value KPI</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Media archive semantic search</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Search asset descriptions, transcripts and features.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Asset discovery time; relevance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Video and image feature catalog</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Store searchable features from existing media pipelines.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Feature recall; update cost</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Rights and licensing document agent</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Retrieve rights terms with contract/version evidence.</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Clearance review time; citation accuracy</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Content recommendation</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Return candidates to an existing recommendation system.</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Recall@k; A/B outcome; p99</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Advertising-campaign knowledge</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Search approved campaign records and guidance.</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Prep time; evidence reuse</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Transcript and subtitle retrieval</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Index and retrieve authorized transcript segments.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Segment recall; source timestamps</w:t>
            </w:r>
          </w:p>
        </w:tc>
      </w:tr>
      <w:tr>
        <w:trPr>
          <w:cantSplit/>
        </w:trPr>
        <w:tc>
          <w:tcPr>
            <w:tcW w:type="dxa" w:w="312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Production-document search</w:t>
            </w:r>
          </w:p>
        </w:tc>
        <w:tc>
          <w:tcPr>
            <w:tcW w:type="dxa" w:w="4248"/>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Find production documents with project permissions.</w:t>
            </w:r>
          </w:p>
        </w:tc>
        <w:tc>
          <w:tcPr>
            <w:tcW w:type="dxa" w:w="266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Search time; ACL correctness</w:t>
            </w:r>
          </w:p>
        </w:tc>
      </w:tr>
      <w:tr>
        <w:trPr>
          <w:cantSplit/>
        </w:trPr>
        <w:tc>
          <w:tcPr>
            <w:tcW w:type="dxa" w:w="312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Batch metadata enrichment</w:t>
            </w:r>
          </w:p>
        </w:tc>
        <w:tc>
          <w:tcPr>
            <w:tcW w:type="dxa" w:w="4248"/>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Tag and extract metadata from prepared text/features.</w:t>
            </w:r>
          </w:p>
        </w:tc>
        <w:tc>
          <w:tcPr>
            <w:tcW w:type="dxa" w:w="266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Accepted assets/hour; quality</w:t>
            </w:r>
          </w:p>
        </w:tc>
      </w:tr>
    </w:tbl>
    <w:p>
      <w:pPr>
        <w:spacing w:after="0"/>
      </w:pPr>
      <w:r>
        <w:rPr>
          <w:b w:val="0"/>
        </w:rPr>
      </w:r>
    </w:p>
    <w:p>
      <w:pPr>
        <w:pStyle w:val="Heading2"/>
      </w:pPr>
      <w:r>
        <w:t>Pilot and product boundary</w:t>
      </w:r>
    </w:p>
    <w:p>
      <w:r>
        <w:rPr>
          <w:b w:val="0"/>
        </w:rPr>
        <w:t>Select one workflow, one accountable business owner, authorized sources and a golden evaluation. Certify the exact data/ACL/model profile before adding users. Establish baseline staff time, quality, peak demand and operating cost; do not equate a large industry data estate with automatic hardware demand.</w:t>
      </w:r>
    </w:p>
    <w:p>
      <w:pPr>
        <w:pStyle w:val="Caption"/>
      </w:pPr>
      <w:r>
        <w:rPr>
          <w:b w:val="0"/>
        </w:rPr>
        <w:t>Launch first through the common Knowledge Agent, retrieval or batch service. Domain connectors, taxonomy, evaluation and retention are a solution pack; real-time decisions, unrestricted autonomous actions and unrelated compute remain out of scope.</w:t>
      </w:r>
    </w:p>
    <w:p>
      <w:r>
        <w:br w:type="page"/>
      </w:r>
    </w:p>
    <w:p>
      <w:pPr>
        <w:pStyle w:val="Heading1"/>
      </w:pPr>
      <w:r>
        <w:t>Appendix B / Additional source solution packs</w:t>
      </w:r>
    </w:p>
    <w:p>
      <w:pPr>
        <w:pStyle w:val="Heading2"/>
      </w:pPr>
      <w:r>
        <w:t>Rank 09 — Healthcare knowledge (E8 / E16)</w:t>
      </w:r>
    </w:p>
    <w:tbl>
      <w:tblPr>
        <w:tblW w:type="auto" w:w="0"/>
        <w:jc w:val="center"/>
        <w:tblLayout w:type="fixed"/>
        <w:tblLook w:firstColumn="1" w:firstRow="1" w:lastColumn="0" w:lastRow="0" w:noHBand="0" w:noVBand="1" w:val="04A0"/>
      </w:tblPr>
      <w:tblGrid>
        <w:gridCol w:w="3024"/>
        <w:gridCol w:w="4320"/>
        <w:gridCol w:w="2693"/>
      </w:tblGrid>
      <w:tr>
        <w:trPr>
          <w:cantSplit/>
          <w:tblHeader/>
        </w:trPr>
        <w:tc>
          <w:tcPr>
            <w:tcW w:type="dxa" w:w="302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 source extension</w:t>
            </w:r>
          </w:p>
        </w:tc>
        <w:tc>
          <w:tcPr>
            <w:tcW w:type="dxa" w:w="432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Delivery scope</w:t>
            </w:r>
          </w:p>
        </w:tc>
        <w:tc>
          <w:tcPr>
            <w:tcW w:type="dxa" w:w="2693"/>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KPI</w:t>
            </w:r>
          </w:p>
        </w:tc>
      </w:tr>
      <w:tr>
        <w:trPr>
          <w:cantSplit/>
        </w:trPr>
        <w:tc>
          <w:tcPr>
            <w:tcW w:type="dxa" w:w="302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Clinical policy / guideline retrieval</w:t>
            </w:r>
          </w:p>
        </w:tc>
        <w:tc>
          <w:tcPr>
            <w:tcW w:type="dxa" w:w="432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Versioned approved sources; no patient-specific diagnosis.</w:t>
            </w:r>
          </w:p>
        </w:tc>
        <w:tc>
          <w:tcPr>
            <w:tcW w:type="dxa" w:w="269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Search time; correct-version rate</w:t>
            </w:r>
          </w:p>
        </w:tc>
      </w:tr>
      <w:tr>
        <w:trPr>
          <w:cantSplit/>
        </w:trPr>
        <w:tc>
          <w:tcPr>
            <w:tcW w:type="dxa" w:w="302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Research corpus</w:t>
            </w:r>
          </w:p>
        </w:tc>
        <w:tc>
          <w:tcPr>
            <w:tcW w:type="dxa" w:w="432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Cited literature access with institutional permissions.</w:t>
            </w:r>
          </w:p>
        </w:tc>
        <w:tc>
          <w:tcPr>
            <w:tcW w:type="dxa" w:w="269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Citation precision; source coverage</w:t>
            </w:r>
          </w:p>
        </w:tc>
      </w:tr>
      <w:tr>
        <w:trPr>
          <w:cantSplit/>
        </w:trPr>
        <w:tc>
          <w:tcPr>
            <w:tcW w:type="dxa" w:w="302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Coding / document assistance</w:t>
            </w:r>
          </w:p>
        </w:tc>
        <w:tc>
          <w:tcPr>
            <w:tcW w:type="dxa" w:w="432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Extract and draft for qualified human review.</w:t>
            </w:r>
          </w:p>
        </w:tc>
        <w:tc>
          <w:tcPr>
            <w:tcW w:type="dxa" w:w="269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Accepted fields; review minutes</w:t>
            </w:r>
          </w:p>
        </w:tc>
      </w:tr>
    </w:tbl>
    <w:p>
      <w:pPr>
        <w:spacing w:after="0"/>
      </w:pPr>
      <w:r>
        <w:rPr>
          <w:b w:val="0"/>
        </w:rPr>
      </w:r>
    </w:p>
    <w:p>
      <w:pPr>
        <w:pStyle w:val="Heading2"/>
      </w:pPr>
      <w:r>
        <w:t>Rank 10 — Oil, gas, mining &amp; field services (D8 / E16)</w:t>
      </w:r>
    </w:p>
    <w:tbl>
      <w:tblPr>
        <w:tblW w:type="auto" w:w="0"/>
        <w:jc w:val="center"/>
        <w:tblLayout w:type="fixed"/>
        <w:tblLook w:firstColumn="1" w:firstRow="1" w:lastColumn="0" w:lastRow="0" w:noHBand="0" w:noVBand="1" w:val="04A0"/>
      </w:tblPr>
      <w:tblGrid>
        <w:gridCol w:w="3024"/>
        <w:gridCol w:w="4320"/>
        <w:gridCol w:w="2693"/>
      </w:tblGrid>
      <w:tr>
        <w:trPr>
          <w:cantSplit/>
          <w:tblHeader/>
        </w:trPr>
        <w:tc>
          <w:tcPr>
            <w:tcW w:type="dxa" w:w="3024"/>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Use case / source extension</w:t>
            </w:r>
          </w:p>
        </w:tc>
        <w:tc>
          <w:tcPr>
            <w:tcW w:type="dxa" w:w="432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Delivery scope</w:t>
            </w:r>
          </w:p>
        </w:tc>
        <w:tc>
          <w:tcPr>
            <w:tcW w:type="dxa" w:w="2693"/>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KPI</w:t>
            </w:r>
          </w:p>
        </w:tc>
      </w:tr>
      <w:tr>
        <w:trPr>
          <w:cantSplit/>
        </w:trPr>
        <w:tc>
          <w:tcPr>
            <w:tcW w:type="dxa" w:w="302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Equipment and field manuals</w:t>
            </w:r>
          </w:p>
        </w:tc>
        <w:tc>
          <w:tcPr>
            <w:tcW w:type="dxa" w:w="432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Offline procedures and asset-specific evidence.</w:t>
            </w:r>
          </w:p>
        </w:tc>
        <w:tc>
          <w:tcPr>
            <w:tcW w:type="dxa" w:w="269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First-visit resolution; freshness</w:t>
            </w:r>
          </w:p>
        </w:tc>
      </w:tr>
      <w:tr>
        <w:trPr>
          <w:cantSplit/>
        </w:trPr>
        <w:tc>
          <w:tcPr>
            <w:tcW w:type="dxa" w:w="3024"/>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Maintenance / incident evidence</w:t>
            </w:r>
          </w:p>
        </w:tc>
        <w:tc>
          <w:tcPr>
            <w:tcW w:type="dxa" w:w="432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Historical event search and draft postmortems.</w:t>
            </w:r>
          </w:p>
        </w:tc>
        <w:tc>
          <w:tcPr>
            <w:tcW w:type="dxa" w:w="269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Investigation time; factuality</w:t>
            </w:r>
          </w:p>
        </w:tc>
      </w:tr>
      <w:tr>
        <w:trPr>
          <w:cantSplit/>
        </w:trPr>
        <w:tc>
          <w:tcPr>
            <w:tcW w:type="dxa" w:w="3024"/>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Environmental and permit documentation</w:t>
            </w:r>
          </w:p>
        </w:tc>
        <w:tc>
          <w:tcPr>
            <w:tcW w:type="dxa" w:w="432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Batch extraction and cited compliance review.</w:t>
            </w:r>
          </w:p>
        </w:tc>
        <w:tc>
          <w:tcPr>
            <w:tcW w:type="dxa" w:w="269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Accepted documents/hour</w:t>
            </w:r>
          </w:p>
        </w:tc>
      </w:tr>
    </w:tbl>
    <w:p>
      <w:pPr>
        <w:spacing w:after="0"/>
      </w:pPr>
      <w:r>
        <w:rPr>
          <w:b w:val="0"/>
        </w:rPr>
      </w:r>
    </w:p>
    <w:p>
      <w:r>
        <w:rPr>
          <w:b w:val="0"/>
        </w:rPr>
        <w:t>Healthcare Knowledge was an explicit source solution pack. Oil/gas/mining/field services appeared in the source’s wave-2 market list; the specific examples above are new proposed detail rather than a disclosed customer deployment. Both share the same governance, identity and service stack. [I1 §§16 and appended catalog]</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RANK LOGIC  </w:t>
            </w:r>
            <w:r>
              <w:rPr>
                <w:sz w:val="20"/>
              </w:rPr>
              <w:t>Healthcare’s audit, privacy and workflow integration are attractive; certification and potential clinical harm require a narrower initial scope. Oil/gas can reuse the energy/manufacturing packs, but field connectivity, hazardous sites and proprietary data connectors require separate site qualification.</w:t>
            </w:r>
          </w:p>
        </w:tc>
      </w:tr>
    </w:tbl>
    <w:p>
      <w:r>
        <w:br w:type="page"/>
      </w:r>
    </w:p>
    <w:p>
      <w:pPr>
        <w:pStyle w:val="Heading1"/>
      </w:pPr>
      <w:r>
        <w:t>Appendix C / Selective complementary markets</w:t>
      </w:r>
    </w:p>
    <w:p>
      <w:r>
        <w:rPr>
          <w:b w:val="0"/>
        </w:rPr>
        <w:t>These source-listed industries spend on many workloads ATMOS does not target. Pursue only the bounded knowledge/data services below; do not use their broad GPU spending as ATMOS-addressable market. The detail is new analysis of the source’s wave-3 list. [I1]</w:t>
      </w:r>
    </w:p>
    <w:p>
      <w:pPr>
        <w:pStyle w:val="Heading2"/>
      </w:pPr>
      <w:r>
        <w:t>Rank 13 — Automotive</w:t>
      </w:r>
    </w:p>
    <w:tbl>
      <w:tblPr>
        <w:tblW w:type="auto" w:w="0"/>
        <w:jc w:val="center"/>
        <w:tblLayout w:type="fixed"/>
        <w:tblLook w:firstColumn="1" w:firstRow="1" w:lastColumn="0" w:lastRow="0" w:noHBand="0" w:noVBand="1" w:val="04A0"/>
      </w:tblPr>
      <w:tblGrid>
        <w:gridCol w:w="2592"/>
        <w:gridCol w:w="4896"/>
        <w:gridCol w:w="2549"/>
      </w:tblGrid>
      <w:tr>
        <w:trPr>
          <w:cantSplit/>
          <w:tblHeader/>
        </w:trPr>
        <w:tc>
          <w:tcPr>
            <w:tcW w:type="dxa" w:w="259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Service / limit</w:t>
            </w:r>
          </w:p>
        </w:tc>
        <w:tc>
          <w:tcPr>
            <w:tcW w:type="dxa" w:w="489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Delivery scope</w:t>
            </w:r>
          </w:p>
        </w:tc>
        <w:tc>
          <w:tcPr>
            <w:tcW w:type="dxa" w:w="254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KPI</w:t>
            </w:r>
          </w:p>
        </w:tc>
      </w:tr>
      <w:tr>
        <w:trPr>
          <w:cantSplit/>
        </w:trPr>
        <w:tc>
          <w:tcPr>
            <w:tcW w:type="dxa" w:w="259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Warranty and service knowledge</w:t>
            </w:r>
          </w:p>
        </w:tc>
        <w:tc>
          <w:tcPr>
            <w:tcW w:type="dxa" w:w="48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Source-grounded retrieval for workshop teams.</w:t>
            </w:r>
          </w:p>
        </w:tc>
        <w:tc>
          <w:tcPr>
            <w:tcW w:type="dxa" w:w="254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Handling minutes; case relevance</w:t>
            </w:r>
          </w:p>
        </w:tc>
      </w:tr>
      <w:tr>
        <w:trPr>
          <w:cantSplit/>
        </w:trPr>
        <w:tc>
          <w:tcPr>
            <w:tcW w:type="dxa" w:w="259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Supplier and homologation evidence</w:t>
            </w:r>
          </w:p>
        </w:tc>
        <w:tc>
          <w:tcPr>
            <w:tcW w:type="dxa" w:w="489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Versioned document extraction and review.</w:t>
            </w:r>
          </w:p>
        </w:tc>
        <w:tc>
          <w:tcPr>
            <w:tcW w:type="dxa" w:w="254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Review turnaround</w:t>
            </w:r>
          </w:p>
        </w:tc>
      </w:tr>
      <w:tr>
        <w:trPr>
          <w:cantSplit/>
        </w:trPr>
        <w:tc>
          <w:tcPr>
            <w:tcW w:type="dxa" w:w="259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Boundary</w:t>
            </w:r>
          </w:p>
        </w:tc>
        <w:tc>
          <w:tcPr>
            <w:tcW w:type="dxa" w:w="48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No ADAS execution, driving policy or simulator replacement.</w:t>
            </w:r>
          </w:p>
        </w:tc>
        <w:tc>
          <w:tcPr>
            <w:tcW w:type="dxa" w:w="254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Scope compliance</w:t>
            </w:r>
          </w:p>
        </w:tc>
      </w:tr>
    </w:tbl>
    <w:p>
      <w:pPr>
        <w:spacing w:after="0"/>
      </w:pPr>
      <w:r>
        <w:rPr>
          <w:b w:val="0"/>
        </w:rPr>
      </w:r>
    </w:p>
    <w:p>
      <w:pPr>
        <w:pStyle w:val="Heading2"/>
      </w:pPr>
      <w:r>
        <w:t>Rank 14 — Architecture &amp; engineering</w:t>
      </w:r>
    </w:p>
    <w:tbl>
      <w:tblPr>
        <w:tblW w:type="auto" w:w="0"/>
        <w:jc w:val="center"/>
        <w:tblLayout w:type="fixed"/>
        <w:tblLook w:firstColumn="1" w:firstRow="1" w:lastColumn="0" w:lastRow="0" w:noHBand="0" w:noVBand="1" w:val="04A0"/>
      </w:tblPr>
      <w:tblGrid>
        <w:gridCol w:w="2592"/>
        <w:gridCol w:w="4896"/>
        <w:gridCol w:w="2549"/>
      </w:tblGrid>
      <w:tr>
        <w:trPr>
          <w:cantSplit/>
          <w:tblHeader/>
        </w:trPr>
        <w:tc>
          <w:tcPr>
            <w:tcW w:type="dxa" w:w="259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Service / limit</w:t>
            </w:r>
          </w:p>
        </w:tc>
        <w:tc>
          <w:tcPr>
            <w:tcW w:type="dxa" w:w="489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Delivery scope</w:t>
            </w:r>
          </w:p>
        </w:tc>
        <w:tc>
          <w:tcPr>
            <w:tcW w:type="dxa" w:w="254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KPI</w:t>
            </w:r>
          </w:p>
        </w:tc>
      </w:tr>
      <w:tr>
        <w:trPr>
          <w:cantSplit/>
        </w:trPr>
        <w:tc>
          <w:tcPr>
            <w:tcW w:type="dxa" w:w="259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Specifications and codes</w:t>
            </w:r>
          </w:p>
        </w:tc>
        <w:tc>
          <w:tcPr>
            <w:tcW w:type="dxa" w:w="48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Cited retrieval across controlled project versions.</w:t>
            </w:r>
          </w:p>
        </w:tc>
        <w:tc>
          <w:tcPr>
            <w:tcW w:type="dxa" w:w="254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Search time; code citation accuracy</w:t>
            </w:r>
          </w:p>
        </w:tc>
      </w:tr>
      <w:tr>
        <w:trPr>
          <w:cantSplit/>
        </w:trPr>
        <w:tc>
          <w:tcPr>
            <w:tcW w:type="dxa" w:w="259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Project submittals / changes</w:t>
            </w:r>
          </w:p>
        </w:tc>
        <w:tc>
          <w:tcPr>
            <w:tcW w:type="dxa" w:w="489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Extract obligations and compare document revisions.</w:t>
            </w:r>
          </w:p>
        </w:tc>
        <w:tc>
          <w:tcPr>
            <w:tcW w:type="dxa" w:w="254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Reviewer time; missed changes</w:t>
            </w:r>
          </w:p>
        </w:tc>
      </w:tr>
      <w:tr>
        <w:trPr>
          <w:cantSplit/>
        </w:trPr>
        <w:tc>
          <w:tcPr>
            <w:tcW w:type="dxa" w:w="259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Boundary</w:t>
            </w:r>
          </w:p>
        </w:tc>
        <w:tc>
          <w:tcPr>
            <w:tcW w:type="dxa" w:w="48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No CAD rendering, structural solver or digital-twin replacement.</w:t>
            </w:r>
          </w:p>
        </w:tc>
        <w:tc>
          <w:tcPr>
            <w:tcW w:type="dxa" w:w="254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Scope compliance</w:t>
            </w:r>
          </w:p>
        </w:tc>
      </w:tr>
    </w:tbl>
    <w:p>
      <w:pPr>
        <w:spacing w:after="0"/>
      </w:pPr>
      <w:r>
        <w:rPr>
          <w:b w:val="0"/>
        </w:rPr>
      </w:r>
    </w:p>
    <w:p>
      <w:pPr>
        <w:pStyle w:val="Heading2"/>
      </w:pPr>
      <w:r>
        <w:t>Rank 15 — Semiconductor design</w:t>
      </w:r>
    </w:p>
    <w:tbl>
      <w:tblPr>
        <w:tblW w:type="auto" w:w="0"/>
        <w:jc w:val="center"/>
        <w:tblLayout w:type="fixed"/>
        <w:tblLook w:firstColumn="1" w:firstRow="1" w:lastColumn="0" w:lastRow="0" w:noHBand="0" w:noVBand="1" w:val="04A0"/>
      </w:tblPr>
      <w:tblGrid>
        <w:gridCol w:w="2592"/>
        <w:gridCol w:w="4896"/>
        <w:gridCol w:w="2549"/>
      </w:tblGrid>
      <w:tr>
        <w:trPr>
          <w:cantSplit/>
          <w:tblHeader/>
        </w:trPr>
        <w:tc>
          <w:tcPr>
            <w:tcW w:type="dxa" w:w="259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Service / limit</w:t>
            </w:r>
          </w:p>
        </w:tc>
        <w:tc>
          <w:tcPr>
            <w:tcW w:type="dxa" w:w="489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Delivery scope</w:t>
            </w:r>
          </w:p>
        </w:tc>
        <w:tc>
          <w:tcPr>
            <w:tcW w:type="dxa" w:w="254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KPI</w:t>
            </w:r>
          </w:p>
        </w:tc>
      </w:tr>
      <w:tr>
        <w:trPr>
          <w:cantSplit/>
        </w:trPr>
        <w:tc>
          <w:tcPr>
            <w:tcW w:type="dxa" w:w="259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Design knowledge and IP documentation</w:t>
            </w:r>
          </w:p>
        </w:tc>
        <w:tc>
          <w:tcPr>
            <w:tcW w:type="dxa" w:w="48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Search permitted specifications and prior design notes.</w:t>
            </w:r>
          </w:p>
        </w:tc>
        <w:tc>
          <w:tcPr>
            <w:tcW w:type="dxa" w:w="254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Research time; IP isolation</w:t>
            </w:r>
          </w:p>
        </w:tc>
      </w:tr>
      <w:tr>
        <w:trPr>
          <w:cantSplit/>
        </w:trPr>
        <w:tc>
          <w:tcPr>
            <w:tcW w:type="dxa" w:w="259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Failure-analysis archive</w:t>
            </w:r>
          </w:p>
        </w:tc>
        <w:tc>
          <w:tcPr>
            <w:tcW w:type="dxa" w:w="489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Retrieve comparable findings and evidence.</w:t>
            </w:r>
          </w:p>
        </w:tc>
        <w:tc>
          <w:tcPr>
            <w:tcW w:type="dxa" w:w="254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Triage time; source correctness</w:t>
            </w:r>
          </w:p>
        </w:tc>
      </w:tr>
      <w:tr>
        <w:trPr>
          <w:cantSplit/>
        </w:trPr>
        <w:tc>
          <w:tcPr>
            <w:tcW w:type="dxa" w:w="259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Boundary</w:t>
            </w:r>
          </w:p>
        </w:tc>
        <w:tc>
          <w:tcPr>
            <w:tcW w:type="dxa" w:w="48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No EDA simulation, verification engine or chip-design compute claim.</w:t>
            </w:r>
          </w:p>
        </w:tc>
        <w:tc>
          <w:tcPr>
            <w:tcW w:type="dxa" w:w="254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Scope compliance</w:t>
            </w:r>
          </w:p>
        </w:tc>
      </w:tr>
    </w:tbl>
    <w:p>
      <w:pPr>
        <w:spacing w:after="0"/>
      </w:pPr>
      <w:r>
        <w:rPr>
          <w:b w:val="0"/>
        </w:rPr>
      </w:r>
    </w:p>
    <w:p>
      <w:pPr>
        <w:pStyle w:val="Heading2"/>
      </w:pPr>
      <w:r>
        <w:t>Rank 16 — Robotics</w:t>
      </w:r>
    </w:p>
    <w:tbl>
      <w:tblPr>
        <w:tblW w:type="auto" w:w="0"/>
        <w:jc w:val="center"/>
        <w:tblLayout w:type="fixed"/>
        <w:tblLook w:firstColumn="1" w:firstRow="1" w:lastColumn="0" w:lastRow="0" w:noHBand="0" w:noVBand="1" w:val="04A0"/>
      </w:tblPr>
      <w:tblGrid>
        <w:gridCol w:w="2592"/>
        <w:gridCol w:w="4896"/>
        <w:gridCol w:w="2549"/>
      </w:tblGrid>
      <w:tr>
        <w:trPr>
          <w:cantSplit/>
          <w:tblHeader/>
        </w:trPr>
        <w:tc>
          <w:tcPr>
            <w:tcW w:type="dxa" w:w="2592"/>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Service / limit</w:t>
            </w:r>
          </w:p>
        </w:tc>
        <w:tc>
          <w:tcPr>
            <w:tcW w:type="dxa" w:w="4896"/>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Delivery scope</w:t>
            </w:r>
          </w:p>
        </w:tc>
        <w:tc>
          <w:tcPr>
            <w:tcW w:type="dxa" w:w="254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7"/>
              </w:rPr>
              <w:t>KPI</w:t>
            </w:r>
          </w:p>
        </w:tc>
      </w:tr>
      <w:tr>
        <w:trPr>
          <w:cantSplit/>
        </w:trPr>
        <w:tc>
          <w:tcPr>
            <w:tcW w:type="dxa" w:w="259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Fleet manuals / maintenance evidence</w:t>
            </w:r>
          </w:p>
        </w:tc>
        <w:tc>
          <w:tcPr>
            <w:tcW w:type="dxa" w:w="48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Read-only service knowledge and incident search.</w:t>
            </w:r>
          </w:p>
        </w:tc>
        <w:tc>
          <w:tcPr>
            <w:tcW w:type="dxa" w:w="254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Service time; evidence relevance</w:t>
            </w:r>
          </w:p>
        </w:tc>
      </w:tr>
      <w:tr>
        <w:trPr>
          <w:cantSplit/>
        </w:trPr>
        <w:tc>
          <w:tcPr>
            <w:tcW w:type="dxa" w:w="2592"/>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Engineering knowledge assistant</w:t>
            </w:r>
          </w:p>
        </w:tc>
        <w:tc>
          <w:tcPr>
            <w:tcW w:type="dxa" w:w="4896"/>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Approved design and test-document retrieval.</w:t>
            </w:r>
          </w:p>
        </w:tc>
        <w:tc>
          <w:tcPr>
            <w:tcW w:type="dxa" w:w="254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7"/>
              </w:rPr>
              <w:t>Research minutes; citations</w:t>
            </w:r>
          </w:p>
        </w:tc>
      </w:tr>
      <w:tr>
        <w:trPr>
          <w:cantSplit/>
        </w:trPr>
        <w:tc>
          <w:tcPr>
            <w:tcW w:type="dxa" w:w="2592"/>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Boundary</w:t>
            </w:r>
          </w:p>
        </w:tc>
        <w:tc>
          <w:tcPr>
            <w:tcW w:type="dxa" w:w="4896"/>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No motion planning, real-time perception or functional-safety control.</w:t>
            </w:r>
          </w:p>
        </w:tc>
        <w:tc>
          <w:tcPr>
            <w:tcW w:type="dxa" w:w="254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7"/>
              </w:rPr>
              <w:t>Scope compliance</w:t>
            </w:r>
          </w:p>
        </w:tc>
      </w:tr>
    </w:tbl>
    <w:p>
      <w:pPr>
        <w:spacing w:after="0"/>
      </w:pPr>
      <w:r>
        <w:rPr>
          <w:b w:val="0"/>
        </w:rPr>
      </w:r>
    </w:p>
    <w:p>
      <w:r>
        <w:br w:type="page"/>
      </w:r>
    </w:p>
    <w:p>
      <w:pPr>
        <w:pStyle w:val="Heading1"/>
      </w:pPr>
      <w:r>
        <w:t>Appendix D / Desktop and compact networked systems</w:t>
      </w:r>
    </w:p>
    <w:p>
      <w:r>
        <w:rPr>
          <w:b w:val="0"/>
        </w:rPr>
        <w:t>Representative verified product families, not every globally available configuration. Memory types and form factors are deliberately separated. OEM configured prices are snapshots; quote-required entries remain unknown rather than estimated as facts.</w:t>
      </w:r>
    </w:p>
    <w:tbl>
      <w:tblPr>
        <w:tblW w:type="auto" w:w="0"/>
        <w:jc w:val="center"/>
        <w:tblLayout w:type="fixed"/>
        <w:tblLook w:firstColumn="1" w:firstRow="1" w:lastColumn="0" w:lastRow="0" w:noHBand="0" w:noVBand="1" w:val="04A0"/>
      </w:tblPr>
      <w:tblGrid>
        <w:gridCol w:w="2189"/>
        <w:gridCol w:w="3053"/>
        <w:gridCol w:w="2045"/>
        <w:gridCol w:w="2750"/>
      </w:tblGrid>
      <w:tr>
        <w:trPr>
          <w:cantSplit/>
          <w:tblHeader/>
        </w:trPr>
        <w:tc>
          <w:tcPr>
            <w:tcW w:type="dxa" w:w="218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Product / format</w:t>
            </w:r>
          </w:p>
        </w:tc>
        <w:tc>
          <w:tcPr>
            <w:tcW w:type="dxa" w:w="3053"/>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Specification and price evidence</w:t>
            </w:r>
          </w:p>
        </w:tc>
        <w:tc>
          <w:tcPr>
            <w:tcW w:type="dxa" w:w="204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Existing strength</w:t>
            </w:r>
          </w:p>
        </w:tc>
        <w:tc>
          <w:tcPr>
            <w:tcW w:type="dxa" w:w="275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ATMOS positioning / limit</w:t>
            </w:r>
          </w:p>
        </w:tc>
      </w:tr>
      <w:tr>
        <w:trPr>
          <w:cantSplit/>
        </w:trPr>
        <w:tc>
          <w:tcPr>
            <w:tcW w:type="dxa" w:w="21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DGX Spark / GB10</w:t>
              <w:br/>
              <w:t>Compact networked AI computer</w:t>
            </w:r>
          </w:p>
        </w:tc>
        <w:tc>
          <w:tcPr>
            <w:tcW w:type="dxa" w:w="305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128GB unified; 273GB/s reference</w:t>
              <w:br/>
              <w:t>Historical MSRP $4,699 (Feb 2026); current quote needed</w:t>
            </w:r>
          </w:p>
        </w:tc>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Mature local AI tools; local inference already exists</w:t>
            </w:r>
          </w:p>
        </w:tc>
        <w:tc>
          <w:tcPr>
            <w:tcW w:type="dxa" w:w="275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W4 must win a measured larger-catalog/knowledge workload, not a feature checklist [S06,S07]</w:t>
            </w:r>
          </w:p>
        </w:tc>
      </w:tr>
      <w:tr>
        <w:trPr>
          <w:cantSplit/>
        </w:trPr>
        <w:tc>
          <w:tcPr>
            <w:tcW w:type="dxa" w:w="218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Dell Pro Max GB10</w:t>
              <w:br/>
              <w:t>OEM compact AI system</w:t>
            </w:r>
          </w:p>
        </w:tc>
        <w:tc>
          <w:tcPr>
            <w:tcW w:type="dxa" w:w="305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128GB LPDDR5X; selected 4TB SSD</w:t>
              <w:br/>
              <w:t>Observed $9,007 configured US listing</w:t>
            </w:r>
          </w:p>
        </w:tc>
        <w:tc>
          <w:tcPr>
            <w:tcW w:type="dxa" w:w="204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OEM management/support; same GB10 class</w:t>
            </w:r>
          </w:p>
        </w:tc>
        <w:tc>
          <w:tcPr>
            <w:tcW w:type="dxa" w:w="275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Do not compare a $23k W4 budget as cheaper than this system [S08]</w:t>
            </w:r>
          </w:p>
        </w:tc>
      </w:tr>
      <w:tr>
        <w:trPr>
          <w:cantSplit/>
        </w:trPr>
        <w:tc>
          <w:tcPr>
            <w:tcW w:type="dxa" w:w="21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RTX PRO workstation</w:t>
              <w:br/>
              <w:t>Graphics + AI workstation</w:t>
            </w:r>
          </w:p>
        </w:tc>
        <w:tc>
          <w:tcPr>
            <w:tcW w:type="dxa" w:w="305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96GB GDDR7 per RTX PRO 6000</w:t>
              <w:br/>
              <w:t>Complete system: quote required</w:t>
            </w:r>
          </w:p>
        </w:tc>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Strong compute, graphics and broad CUDA software</w:t>
            </w:r>
          </w:p>
        </w:tc>
        <w:tc>
          <w:tcPr>
            <w:tcW w:type="dxa" w:w="275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ATMOS is not a rendering/training replacement [S11,S12]</w:t>
            </w:r>
          </w:p>
        </w:tc>
      </w:tr>
      <w:tr>
        <w:trPr>
          <w:cantSplit/>
        </w:trPr>
        <w:tc>
          <w:tcPr>
            <w:tcW w:type="dxa" w:w="218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DGX Station / GB300</w:t>
              <w:br/>
              <w:t>Deskside large-memory AI</w:t>
            </w:r>
          </w:p>
        </w:tc>
        <w:tc>
          <w:tcPr>
            <w:tcW w:type="dxa" w:w="305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252GB HBM + 496GB CPU memory</w:t>
              <w:br/>
              <w:t>Exxact Essential $96,250 observed</w:t>
            </w:r>
          </w:p>
        </w:tc>
        <w:tc>
          <w:tcPr>
            <w:tcW w:type="dxa" w:w="204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Coherent CPU/GPU memory and mature developer stack</w:t>
            </w:r>
          </w:p>
        </w:tc>
        <w:tc>
          <w:tcPr>
            <w:tcW w:type="dxa" w:w="275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Distributed HBF is not coherent HBM; match model and concurrency [S09,S10]</w:t>
            </w:r>
          </w:p>
        </w:tc>
      </w:tr>
      <w:tr>
        <w:trPr>
          <w:cantSplit/>
        </w:trPr>
        <w:tc>
          <w:tcPr>
            <w:tcW w:type="dxa" w:w="21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Mac Studio M3 Ultra</w:t>
              <w:br/>
              <w:t>Compact local AI / creative workstation</w:t>
            </w:r>
          </w:p>
        </w:tc>
        <w:tc>
          <w:tcPr>
            <w:tcW w:type="dxa" w:w="305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Up to 512GB unified (2025 reference)</w:t>
              <w:br/>
              <w:t>Exact current configuration: quote required</w:t>
            </w:r>
          </w:p>
        </w:tc>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Large unified memory and quiet desktop format</w:t>
            </w:r>
          </w:p>
        </w:tc>
        <w:tc>
          <w:tcPr>
            <w:tcW w:type="dxa" w:w="275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Include as a local-model control; not a Linux enterprise HA appliance [S24]</w:t>
            </w:r>
          </w:p>
        </w:tc>
      </w:tr>
    </w:tbl>
    <w:p>
      <w:pPr>
        <w:spacing w:after="0"/>
      </w:pPr>
      <w:r>
        <w:rPr>
          <w:b w:val="0"/>
        </w:rPr>
      </w:r>
    </w:p>
    <w:p>
      <w:r>
        <w:rPr>
          <w:b w:val="0"/>
        </w:rPr>
        <w:t>No cross-vendor TOPS ranking is used: precision, sparsity, memory architecture and measured workloads differ. Capacity is not throughput; “headless” means a network-served form factor, not a distinct inference architecture. Enterprise support or RAG software is only as turnkey as the exact contracted integration.</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COMPETITIVE DISCIPLINE  </w:t>
            </w:r>
            <w:r>
              <w:rPr>
                <w:sz w:val="20"/>
              </w:rPr>
              <w:t>A control may win. HPE/Nutanix already deliver integrated private AI; GB10/Station already run local models; non-GPU systems already offer memory-centric inference. ATMOS must earn a differentiated workload and support outcome.</w:t>
            </w:r>
          </w:p>
        </w:tc>
      </w:tr>
    </w:tbl>
    <w:p>
      <w:r>
        <w:br w:type="page"/>
      </w:r>
    </w:p>
    <w:p>
      <w:pPr>
        <w:pStyle w:val="Heading1"/>
      </w:pPr>
      <w:r>
        <w:t>Appendix D / Turnkey enterprise GPU / software platforms</w:t>
      </w:r>
    </w:p>
    <w:p>
      <w:r>
        <w:rPr>
          <w:b w:val="0"/>
        </w:rPr>
        <w:t>Representative verified product families, not every globally available configuration. Memory types and form factors are deliberately separated. OEM configured prices are snapshots; quote-required entries remain unknown rather than estimated as facts.</w:t>
      </w:r>
    </w:p>
    <w:tbl>
      <w:tblPr>
        <w:tblW w:type="auto" w:w="0"/>
        <w:jc w:val="center"/>
        <w:tblLayout w:type="fixed"/>
        <w:tblLook w:firstColumn="1" w:firstRow="1" w:lastColumn="0" w:lastRow="0" w:noHBand="0" w:noVBand="1" w:val="04A0"/>
      </w:tblPr>
      <w:tblGrid>
        <w:gridCol w:w="2189"/>
        <w:gridCol w:w="3053"/>
        <w:gridCol w:w="2045"/>
        <w:gridCol w:w="2750"/>
      </w:tblGrid>
      <w:tr>
        <w:trPr>
          <w:cantSplit/>
          <w:tblHeader/>
        </w:trPr>
        <w:tc>
          <w:tcPr>
            <w:tcW w:type="dxa" w:w="218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Product / format</w:t>
            </w:r>
          </w:p>
        </w:tc>
        <w:tc>
          <w:tcPr>
            <w:tcW w:type="dxa" w:w="3053"/>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Specification and price evidence</w:t>
            </w:r>
          </w:p>
        </w:tc>
        <w:tc>
          <w:tcPr>
            <w:tcW w:type="dxa" w:w="204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Existing strength</w:t>
            </w:r>
          </w:p>
        </w:tc>
        <w:tc>
          <w:tcPr>
            <w:tcW w:type="dxa" w:w="275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ATMOS positioning / limit</w:t>
            </w:r>
          </w:p>
        </w:tc>
      </w:tr>
      <w:tr>
        <w:trPr>
          <w:cantSplit/>
        </w:trPr>
        <w:tc>
          <w:tcPr>
            <w:tcW w:type="dxa" w:w="21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HPE Private Cloud AI Developer</w:t>
              <w:br/>
              <w:t>Integrated developer system</w:t>
            </w:r>
          </w:p>
        </w:tc>
        <w:tc>
          <w:tcPr>
            <w:tcW w:type="dxa" w:w="305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Integrated control node; 32TB storage</w:t>
              <w:br/>
              <w:t>Quote required</w:t>
            </w:r>
          </w:p>
        </w:tc>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Turnkey AI development and production path</w:t>
            </w:r>
          </w:p>
        </w:tc>
        <w:tc>
          <w:tcPr>
            <w:tcW w:type="dxa" w:w="275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Turnkey is table stakes, not an ATMOS-exclusive gap [S13,S14]</w:t>
            </w:r>
          </w:p>
        </w:tc>
      </w:tr>
      <w:tr>
        <w:trPr>
          <w:cantSplit/>
        </w:trPr>
        <w:tc>
          <w:tcPr>
            <w:tcW w:type="dxa" w:w="218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HPE Private Cloud AI</w:t>
              <w:br/>
              <w:t>Enterprise private AI platform</w:t>
            </w:r>
          </w:p>
        </w:tc>
        <w:tc>
          <w:tcPr>
            <w:tcW w:type="dxa" w:w="305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NVIDIA GPU / storage configuration dependent</w:t>
              <w:br/>
              <w:t>Quote required</w:t>
            </w:r>
          </w:p>
        </w:tc>
        <w:tc>
          <w:tcPr>
            <w:tcW w:type="dxa" w:w="204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RAG, model library, operations and enterprise support</w:t>
            </w:r>
          </w:p>
        </w:tc>
        <w:tc>
          <w:tcPr>
            <w:tcW w:type="dxa" w:w="275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Compare accepted service and support, not only device memory [S13]</w:t>
            </w:r>
          </w:p>
        </w:tc>
      </w:tr>
      <w:tr>
        <w:trPr>
          <w:cantSplit/>
        </w:trPr>
        <w:tc>
          <w:tcPr>
            <w:tcW w:type="dxa" w:w="21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Nutanix GPT-in-a-Box / NAI</w:t>
              <w:br/>
              <w:t>Software-defined enterprise cluster</w:t>
            </w:r>
          </w:p>
        </w:tc>
        <w:tc>
          <w:tcPr>
            <w:tcW w:type="dxa" w:w="305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Supported compute + Kubernetes + storage</w:t>
              <w:br/>
              <w:t>Quote required</w:t>
            </w:r>
          </w:p>
        </w:tc>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Inference endpoints and hybrid lifecycle</w:t>
            </w:r>
          </w:p>
        </w:tc>
        <w:tc>
          <w:tcPr>
            <w:tcW w:type="dxa" w:w="275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Alternative complete platform; may be integration partner or competitor [S15]</w:t>
            </w:r>
          </w:p>
        </w:tc>
      </w:tr>
      <w:tr>
        <w:trPr>
          <w:cantSplit/>
        </w:trPr>
        <w:tc>
          <w:tcPr>
            <w:tcW w:type="dxa" w:w="218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AMD Enterprise AI + OEM server</w:t>
              <w:br/>
              <w:t>Open-stack GPU AI platform</w:t>
            </w:r>
          </w:p>
        </w:tc>
        <w:tc>
          <w:tcPr>
            <w:tcW w:type="dxa" w:w="305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MI350X: 288GB HBM3E/GPU; 8TB/s</w:t>
              <w:br/>
              <w:t>Quote required</w:t>
            </w:r>
          </w:p>
        </w:tc>
        <w:tc>
          <w:tcPr>
            <w:tcW w:type="dxa" w:w="204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AIM catalog, ROCm and enterprise deployment tools</w:t>
            </w:r>
          </w:p>
        </w:tc>
        <w:tc>
          <w:tcPr>
            <w:tcW w:type="dxa" w:w="275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Openness alone does not differentiate ATMOS [S16,S17]</w:t>
            </w:r>
          </w:p>
        </w:tc>
      </w:tr>
      <w:tr>
        <w:trPr>
          <w:cantSplit/>
        </w:trPr>
        <w:tc>
          <w:tcPr>
            <w:tcW w:type="dxa" w:w="21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Lenovo inference / RTX PRO server</w:t>
              <w:br/>
              <w:t>GPU-rich enterprise rack</w:t>
            </w:r>
          </w:p>
        </w:tc>
        <w:tc>
          <w:tcPr>
            <w:tcW w:type="dxa" w:w="305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SR675 V3 reference: 8 × 96GB; 1.5TB host DRAM</w:t>
              <w:br/>
              <w:t>Quote required</w:t>
            </w:r>
          </w:p>
        </w:tc>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Factory integration, GPUs, high-speed network and lifecycle</w:t>
            </w:r>
          </w:p>
        </w:tc>
        <w:tc>
          <w:tcPr>
            <w:tcW w:type="dxa" w:w="275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Match supported application envelope and removable spend [S18]</w:t>
            </w:r>
          </w:p>
        </w:tc>
      </w:tr>
    </w:tbl>
    <w:p>
      <w:pPr>
        <w:spacing w:after="0"/>
      </w:pPr>
      <w:r>
        <w:rPr>
          <w:b w:val="0"/>
        </w:rPr>
      </w:r>
    </w:p>
    <w:p>
      <w:r>
        <w:rPr>
          <w:b w:val="0"/>
        </w:rPr>
        <w:t>No cross-vendor TOPS ranking is used: precision, sparsity, memory architecture and measured workloads differ. Capacity is not throughput; “headless” means a network-served form factor, not a distinct inference architecture. Enterprise support or RAG software is only as turnkey as the exact contracted integration.</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COMPETITIVE DISCIPLINE  </w:t>
            </w:r>
            <w:r>
              <w:rPr>
                <w:sz w:val="20"/>
              </w:rPr>
              <w:t>A control may win. HPE/Nutanix already deliver integrated private AI; GB10/Station already run local models; non-GPU systems already offer memory-centric inference. ATMOS must earn a differentiated workload and support outcome.</w:t>
            </w:r>
          </w:p>
        </w:tc>
      </w:tr>
    </w:tbl>
    <w:p>
      <w:r>
        <w:br w:type="page"/>
      </w:r>
    </w:p>
    <w:p>
      <w:pPr>
        <w:pStyle w:val="Heading1"/>
      </w:pPr>
      <w:r>
        <w:t>Appendix D / Alternative accelerators and specialized edge</w:t>
      </w:r>
    </w:p>
    <w:p>
      <w:r>
        <w:rPr>
          <w:b w:val="0"/>
        </w:rPr>
        <w:t>Representative verified product families, not every globally available configuration. Memory types and form factors are deliberately separated. OEM configured prices are snapshots; quote-required entries remain unknown rather than estimated as facts.</w:t>
      </w:r>
    </w:p>
    <w:tbl>
      <w:tblPr>
        <w:tblW w:type="auto" w:w="0"/>
        <w:jc w:val="center"/>
        <w:tblLayout w:type="fixed"/>
        <w:tblLook w:firstColumn="1" w:firstRow="1" w:lastColumn="0" w:lastRow="0" w:noHBand="0" w:noVBand="1" w:val="04A0"/>
      </w:tblPr>
      <w:tblGrid>
        <w:gridCol w:w="2189"/>
        <w:gridCol w:w="3053"/>
        <w:gridCol w:w="2045"/>
        <w:gridCol w:w="2750"/>
      </w:tblGrid>
      <w:tr>
        <w:trPr>
          <w:cantSplit/>
          <w:tblHeader/>
        </w:trPr>
        <w:tc>
          <w:tcPr>
            <w:tcW w:type="dxa" w:w="2189"/>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Product / format</w:t>
            </w:r>
          </w:p>
        </w:tc>
        <w:tc>
          <w:tcPr>
            <w:tcW w:type="dxa" w:w="3053"/>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Specification and price evidence</w:t>
            </w:r>
          </w:p>
        </w:tc>
        <w:tc>
          <w:tcPr>
            <w:tcW w:type="dxa" w:w="2045"/>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Existing strength</w:t>
            </w:r>
          </w:p>
        </w:tc>
        <w:tc>
          <w:tcPr>
            <w:tcW w:type="dxa" w:w="2750"/>
            <w:vAlign w:val="center"/>
            <w:tcMar>
              <w:top w:w="70" w:type="dxa"/>
              <w:bottom w:w="70" w:type="dxa"/>
              <w:left w:w="95" w:type="dxa"/>
              <w:right w:w="95" w:type="dxa"/>
            </w:tcMar>
            <w:shd w:fill="18191D"/>
            <w:tcBorders>
              <w:bottom w:val="single" w:sz="3" w:color="D8DBDF"/>
            </w:tcBorders>
          </w:tcPr>
          <w:p>
            <w:pPr>
              <w:spacing w:before="0" w:after="40" w:line="252" w:lineRule="auto"/>
            </w:pPr>
            <w:r>
              <w:rPr>
                <w:rFonts w:ascii="Arial" w:hAnsi="Arial"/>
                <w:b/>
                <w:color w:val="FFFFFF"/>
                <w:sz w:val="18"/>
              </w:rPr>
              <w:t>ATMOS positioning / limit</w:t>
            </w:r>
          </w:p>
        </w:tc>
      </w:tr>
      <w:tr>
        <w:trPr>
          <w:cantSplit/>
        </w:trPr>
        <w:tc>
          <w:tcPr>
            <w:tcW w:type="dxa" w:w="21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SambaNova DataScale / SambaManaged</w:t>
              <w:br/>
              <w:t>RDU-based rack / managed private inference</w:t>
            </w:r>
          </w:p>
        </w:tc>
        <w:tc>
          <w:tcPr>
            <w:tcW w:type="dxa" w:w="305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SN40L system-dependent memory tiers</w:t>
              <w:br/>
              <w:t>Quote required</w:t>
            </w:r>
          </w:p>
        </w:tc>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Alternative accelerator and managed on-prem service</w:t>
            </w:r>
          </w:p>
        </w:tc>
        <w:tc>
          <w:tcPr>
            <w:tcW w:type="dxa" w:w="275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Native non-GPU inference is already a competitive category [S19]</w:t>
            </w:r>
          </w:p>
        </w:tc>
      </w:tr>
      <w:tr>
        <w:trPr>
          <w:cantSplit/>
        </w:trPr>
        <w:tc>
          <w:tcPr>
            <w:tcW w:type="dxa" w:w="218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Cerebras CS-3</w:t>
              <w:br/>
              <w:t>Wafer-scale AI system</w:t>
            </w:r>
          </w:p>
        </w:tc>
        <w:tc>
          <w:tcPr>
            <w:tcW w:type="dxa" w:w="305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WSE-3: 44GB on-chip SRAM; external memory architecture</w:t>
              <w:br/>
              <w:t>Quote required</w:t>
            </w:r>
          </w:p>
        </w:tc>
        <w:tc>
          <w:tcPr>
            <w:tcW w:type="dxa" w:w="204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Large-system training / inference architecture</w:t>
            </w:r>
          </w:p>
        </w:tc>
        <w:tc>
          <w:tcPr>
            <w:tcW w:type="dxa" w:w="275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Not a direct workstation form-factor substitute [S20]</w:t>
            </w:r>
          </w:p>
        </w:tc>
      </w:tr>
      <w:tr>
        <w:trPr>
          <w:cantSplit/>
        </w:trPr>
        <w:tc>
          <w:tcPr>
            <w:tcW w:type="dxa" w:w="21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GroqRack / current Groq platform</w:t>
              <w:br/>
              <w:t>Low-latency rack / dedicated service</w:t>
            </w:r>
          </w:p>
        </w:tc>
        <w:tc>
          <w:tcPr>
            <w:tcW w:type="dxa" w:w="305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LPU-generation and offering dependent</w:t>
              <w:br/>
              <w:t>Quote / availability confirmation</w:t>
            </w:r>
          </w:p>
        </w:tc>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Speed-led inference and enterprise controls</w:t>
            </w:r>
          </w:p>
        </w:tc>
        <w:tc>
          <w:tcPr>
            <w:tcW w:type="dxa" w:w="275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Do not position ATMOS for universal token-latency leadership [S21]</w:t>
            </w:r>
          </w:p>
        </w:tc>
      </w:tr>
      <w:tr>
        <w:trPr>
          <w:cantSplit/>
        </w:trPr>
        <w:tc>
          <w:tcPr>
            <w:tcW w:type="dxa" w:w="2189"/>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d-Matrix Corsair</w:t>
              <w:br/>
              <w:t>Memory-centric PCIe inference system</w:t>
            </w:r>
          </w:p>
        </w:tc>
        <w:tc>
          <w:tcPr>
            <w:tcW w:type="dxa" w:w="3053"/>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2GB performance + up to 256GB capacity memory/card</w:t>
              <w:br/>
              <w:t>Quote required</w:t>
            </w:r>
          </w:p>
        </w:tc>
        <w:tc>
          <w:tcPr>
            <w:tcW w:type="dxa" w:w="2045"/>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Compute/memory co-design and Aviator stack</w:t>
            </w:r>
          </w:p>
        </w:tc>
        <w:tc>
          <w:tcPr>
            <w:tcW w:type="dxa" w:w="2750"/>
            <w:vAlign w:val="center"/>
            <w:tcMar>
              <w:top w:w="70" w:type="dxa"/>
              <w:bottom w:w="70" w:type="dxa"/>
              <w:left w:w="95" w:type="dxa"/>
              <w:right w:w="95" w:type="dxa"/>
            </w:tcMar>
            <w:shd w:fill="FFFFFF"/>
            <w:tcBorders>
              <w:bottom w:val="single" w:sz="3" w:color="D8DBDF"/>
            </w:tcBorders>
          </w:tcPr>
          <w:p>
            <w:pPr>
              <w:spacing w:before="0" w:after="40" w:line="252" w:lineRule="auto"/>
            </w:pPr>
            <w:r>
              <w:rPr>
                <w:rFonts w:ascii="Arial" w:hAnsi="Arial"/>
                <w:b w:val="0"/>
                <w:color w:val="18191D"/>
                <w:sz w:val="18"/>
              </w:rPr>
              <w:t>Near-data/memory-centric compute is not unique to ATMOS [S22]</w:t>
            </w:r>
          </w:p>
        </w:tc>
      </w:tr>
      <w:tr>
        <w:trPr>
          <w:cantSplit/>
        </w:trPr>
        <w:tc>
          <w:tcPr>
            <w:tcW w:type="dxa" w:w="2189"/>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IGX Thor</w:t>
              <w:br/>
              <w:t>Industrial / medical edge platform</w:t>
            </w:r>
          </w:p>
        </w:tc>
        <w:tc>
          <w:tcPr>
            <w:tcW w:type="dxa" w:w="3053"/>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128GB LPDDR5X; optional discrete GPU</w:t>
              <w:br/>
              <w:t>Quote required</w:t>
            </w:r>
          </w:p>
        </w:tc>
        <w:tc>
          <w:tcPr>
            <w:tcW w:type="dxa" w:w="2045"/>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Sensor/real-time/safety-oriented platform</w:t>
            </w:r>
          </w:p>
        </w:tc>
        <w:tc>
          <w:tcPr>
            <w:tcW w:type="dxa" w:w="2750"/>
            <w:vAlign w:val="center"/>
            <w:tcMar>
              <w:top w:w="70" w:type="dxa"/>
              <w:bottom w:w="70" w:type="dxa"/>
              <w:left w:w="95" w:type="dxa"/>
              <w:right w:w="95" w:type="dxa"/>
            </w:tcMar>
            <w:shd w:fill="F3F4F6"/>
            <w:tcBorders>
              <w:bottom w:val="single" w:sz="3" w:color="D8DBDF"/>
            </w:tcBorders>
          </w:tcPr>
          <w:p>
            <w:pPr>
              <w:spacing w:before="0" w:after="40" w:line="252" w:lineRule="auto"/>
            </w:pPr>
            <w:r>
              <w:rPr>
                <w:rFonts w:ascii="Arial" w:hAnsi="Arial"/>
                <w:b w:val="0"/>
                <w:color w:val="18191D"/>
                <w:sz w:val="18"/>
              </w:rPr>
              <w:t>ATMOS knowledge backend can complement, not replace control [S23]</w:t>
            </w:r>
          </w:p>
        </w:tc>
      </w:tr>
    </w:tbl>
    <w:p>
      <w:pPr>
        <w:spacing w:after="0"/>
      </w:pPr>
      <w:r>
        <w:rPr>
          <w:b w:val="0"/>
        </w:rPr>
      </w:r>
    </w:p>
    <w:p>
      <w:r>
        <w:rPr>
          <w:b w:val="0"/>
        </w:rPr>
        <w:t>No cross-vendor TOPS ranking is used: precision, sparsity, memory architecture and measured workloads differ. Capacity is not throughput; “headless” means a network-served form factor, not a distinct inference architecture. Enterprise support or RAG software is only as turnkey as the exact contracted integration.</w:t>
      </w:r>
    </w:p>
    <w:tbl>
      <w:tblPr>
        <w:tblW w:type="auto" w:w="0"/>
        <w:tblLook w:firstColumn="1" w:firstRow="1" w:lastColumn="0" w:lastRow="0" w:noHBand="0" w:noVBand="1" w:val="04A0"/>
      </w:tblPr>
      <w:tblGrid>
        <w:gridCol w:w="10037"/>
      </w:tblGrid>
      <w:tr>
        <w:tc>
          <w:tcPr>
            <w:tcW w:type="dxa" w:w="10037"/>
            <w:shd w:fill="FDECEF"/>
          </w:tcPr>
          <w:p>
            <w:pPr>
              <w:spacing w:after="140" w:before="140"/>
            </w:pPr>
            <w:r/>
            <w:r>
              <w:rPr>
                <w:b/>
                <w:color w:val="E31837"/>
                <w:sz w:val="20"/>
              </w:rPr>
              <w:t xml:space="preserve">COMPETITIVE DISCIPLINE  </w:t>
            </w:r>
            <w:r>
              <w:rPr>
                <w:sz w:val="20"/>
              </w:rPr>
              <w:t>A control may win. HPE/Nutanix already deliver integrated private AI; GB10/Station already run local models; non-GPU systems already offer memory-centric inference. ATMOS must earn a differentiated workload and support outcome.</w:t>
            </w:r>
          </w:p>
        </w:tc>
      </w:tr>
    </w:tbl>
    <w:p>
      <w:r>
        <w:br w:type="page"/>
      </w:r>
    </w:p>
    <w:p>
      <w:pPr>
        <w:pStyle w:val="Heading1"/>
      </w:pPr>
      <w:r>
        <w:t>Appendix E / Source and evidence register 1 of 4</w:t>
      </w:r>
    </w:p>
    <w:p>
      <w:pPr>
        <w:pStyle w:val="Caption"/>
      </w:pPr>
      <w:r>
        <w:rPr>
          <w:b w:val="0"/>
        </w:rPr>
        <w:t>Public references checked for this revision on 6 October 2026 unless explicitly marked historical or source-listed. URLs are clickable. Internal specifications and new budgets are not public product facts.</w:t>
      </w:r>
    </w:p>
    <w:p>
      <w:pPr>
        <w:spacing w:after="40"/>
      </w:pPr>
      <w:r>
        <w:rPr>
          <w:b/>
          <w:sz w:val="19"/>
        </w:rPr>
        <w:t>[I1] Supplied ATMOS AI Appliance Portfolio PRD v2</w:t>
      </w:r>
    </w:p>
    <w:p>
      <w:pPr>
        <w:pStyle w:val="Caption"/>
      </w:pPr>
      <w:r>
        <w:rPr>
          <w:b w:val="0"/>
        </w:rPr>
        <w:t>Controlling input: five commercial profiles; four-device topology; Knowledge Agent; nine software products; lifecycle and use-case inventory. All ATMOS hardware values are internal targets.</w:t>
      </w:r>
    </w:p>
    <w:p>
      <w:pPr>
        <w:pStyle w:val="Caption"/>
      </w:pPr>
      <w:r>
        <w:rPr>
          <w:b w:val="0"/>
        </w:rPr>
        <w:t>Source file: Sandisk_ATMOS_AI_Appliance_Portfolio_PRD_v2_Linked.docx</w:t>
      </w:r>
    </w:p>
    <w:p>
      <w:pPr>
        <w:spacing w:after="40"/>
      </w:pPr>
      <w:r>
        <w:rPr>
          <w:b/>
          <w:sz w:val="19"/>
        </w:rPr>
        <w:t>[I2] Supplied ATMOS Leadership Proposal v2</w:t>
      </w:r>
    </w:p>
    <w:p>
      <w:pPr>
        <w:pStyle w:val="Caption"/>
      </w:pPr>
      <w:r>
        <w:rPr>
          <w:b w:val="0"/>
        </w:rPr>
        <w:t>Presentation input. Reordered and rebuilt; its repeated cautionary notes do not constitute hardware, pricing or service measurements.</w:t>
      </w:r>
    </w:p>
    <w:p>
      <w:pPr>
        <w:pStyle w:val="Caption"/>
      </w:pPr>
      <w:r>
        <w:rPr>
          <w:b w:val="0"/>
        </w:rPr>
        <w:t>Source file: Sandisk_ATMOS_AI_Appliance_Leadership_Proposal_v2.pptx</w:t>
      </w:r>
    </w:p>
    <w:p>
      <w:pPr>
        <w:spacing w:after="40"/>
      </w:pPr>
      <w:r>
        <w:rPr>
          <w:b/>
          <w:sz w:val="19"/>
        </w:rPr>
        <w:t>[S01] Sandisk / SK hynix HBF standardization MOU, 6 Aug 2025</w:t>
      </w:r>
    </w:p>
    <w:p>
      <w:pPr>
        <w:pStyle w:val="Caption"/>
      </w:pPr>
      <w:r>
        <w:rPr>
          <w:b w:val="0"/>
        </w:rPr>
        <w:t>Strategic HBF participation; not an ATMOS appliance launch or measured bandwidth guarantee.</w:t>
      </w:r>
    </w:p>
    <w:p>
      <w:pPr>
        <w:spacing w:after="140"/>
      </w:pPr>
      <w:hyperlink r:id="rId16">
        <w:r>
          <w:rPr>
            <w:color w:val="E31837"/>
            <w:sz w:val="16"/>
          </w:rPr>
          <w:t>https://www.sandisk.com/en-za/company/newsroom/press-releases/2025/2025-08-06-sandisk-to-collaborate-with-sk-hynix-to-drive-standardization-of-high-bandwidth-flash-memory-technology</w:t>
        </w:r>
      </w:hyperlink>
    </w:p>
    <w:p>
      <w:pPr>
        <w:spacing w:after="40"/>
      </w:pPr>
      <w:r>
        <w:rPr>
          <w:b/>
          <w:sz w:val="19"/>
        </w:rPr>
        <w:t>[S02] SK hynix / Sandisk HBF specification announcement, 4 Aug 2026</w:t>
      </w:r>
    </w:p>
    <w:p>
      <w:pPr>
        <w:pStyle w:val="Caption"/>
      </w:pPr>
      <w:r>
        <w:rPr>
          <w:b w:val="0"/>
        </w:rPr>
        <w:t>Public HBF-standard work supports strategic context. Do not substitute these roadmap figures for I1 ATMOS module targets.</w:t>
      </w:r>
    </w:p>
    <w:p>
      <w:pPr>
        <w:spacing w:after="140"/>
      </w:pPr>
      <w:hyperlink r:id="rId17">
        <w:r>
          <w:rPr>
            <w:color w:val="E31837"/>
            <w:sz w:val="16"/>
          </w:rPr>
          <w:t>https://news.skhynix.com/en/hbf-at-fms-2026/</w:t>
        </w:r>
      </w:hyperlink>
    </w:p>
    <w:p>
      <w:pPr>
        <w:spacing w:after="40"/>
      </w:pPr>
      <w:r>
        <w:rPr>
          <w:b/>
          <w:sz w:val="19"/>
        </w:rPr>
        <w:t>[S03] NVIDIA FY2026 earnings, 25 Feb 2026</w:t>
      </w:r>
    </w:p>
    <w:p>
      <w:pPr>
        <w:pStyle w:val="Caption"/>
      </w:pPr>
      <w:r>
        <w:rPr>
          <w:b w:val="0"/>
        </w:rPr>
        <w:t>FY2026 Professional Visualization revenue approximately $3.2B, up 70%; broader than AI-only workstation revenue.</w:t>
      </w:r>
    </w:p>
    <w:p>
      <w:pPr>
        <w:spacing w:after="140"/>
      </w:pPr>
      <w:hyperlink r:id="rId18">
        <w:r>
          <w:rPr>
            <w:color w:val="E31837"/>
            <w:sz w:val="16"/>
          </w:rPr>
          <w:t>https://investor.nvidia.com/news/press-release-details/2026/NVIDIA-Announces-Financial-Results-for-Fourth-Quarter-and-Fiscal-2026/default.aspx</w:t>
        </w:r>
      </w:hyperlink>
    </w:p>
    <w:p>
      <w:pPr>
        <w:spacing w:after="40"/>
      </w:pPr>
      <w:r>
        <w:rPr>
          <w:b/>
          <w:sz w:val="19"/>
        </w:rPr>
        <w:t>[S04] NVIDIA Q2 FY2027 earnings, 26 Aug 2026</w:t>
      </w:r>
    </w:p>
    <w:p>
      <w:pPr>
        <w:pStyle w:val="Caption"/>
      </w:pPr>
      <w:r>
        <w:rPr>
          <w:b w:val="0"/>
        </w:rPr>
        <w:t>Quarter ended 26 July 2026: Edge Computing revenue $7.2B. This is not an AI-workstation-only category or ATMOS TAM.</w:t>
      </w:r>
    </w:p>
    <w:p>
      <w:pPr>
        <w:spacing w:after="140"/>
      </w:pPr>
      <w:hyperlink r:id="rId19">
        <w:r>
          <w:rPr>
            <w:color w:val="E31837"/>
            <w:sz w:val="16"/>
          </w:rPr>
          <w:t>https://investor.nvidia.com/news/press-release-details/2026/NVIDIA-Announces-Financial-Results-for-Second-Quarter-Fiscal-2027/</w:t>
        </w:r>
      </w:hyperlink>
    </w:p>
    <w:p>
      <w:pPr>
        <w:spacing w:after="40"/>
      </w:pPr>
      <w:r>
        <w:rPr>
          <w:b/>
          <w:sz w:val="19"/>
        </w:rPr>
        <w:t>[S05] NVIDIA Q1 FY2027 earnings and reporting transition</w:t>
      </w:r>
    </w:p>
    <w:p>
      <w:pPr>
        <w:pStyle w:val="Caption"/>
      </w:pPr>
      <w:r>
        <w:rPr>
          <w:b w:val="0"/>
        </w:rPr>
        <w:t>New Edge Computing presentation. Annual Professional Visualization and quarterly Edge figures must not be added or treated as directly comparable.</w:t>
      </w:r>
    </w:p>
    <w:p>
      <w:pPr>
        <w:spacing w:after="140"/>
      </w:pPr>
      <w:hyperlink r:id="rId20">
        <w:r>
          <w:rPr>
            <w:color w:val="E31837"/>
            <w:sz w:val="16"/>
          </w:rPr>
          <w:t>https://investor.nvidia.com/news/press-release-details/2026/NVIDIA-Announces-Financial-Results-for-First-Quarter-Fiscal-2027/default.aspx</w:t>
        </w:r>
      </w:hyperlink>
    </w:p>
    <w:p>
      <w:pPr>
        <w:spacing w:after="40"/>
      </w:pPr>
      <w:r>
        <w:rPr>
          <w:b/>
          <w:sz w:val="19"/>
        </w:rPr>
        <w:t>[S06] NVIDIA DGX Spark hardware guide</w:t>
      </w:r>
    </w:p>
    <w:p>
      <w:pPr>
        <w:pStyle w:val="Caption"/>
      </w:pPr>
      <w:r>
        <w:rPr>
          <w:b w:val="0"/>
        </w:rPr>
        <w:t>128GB LPDDR5X unified reference, 273GB/s; 10GbE and ConnectX-7. Hardware guide dated 10 Sep 2026.</w:t>
      </w:r>
    </w:p>
    <w:p>
      <w:pPr>
        <w:spacing w:after="140"/>
      </w:pPr>
      <w:hyperlink r:id="rId21">
        <w:r>
          <w:rPr>
            <w:color w:val="E31837"/>
            <w:sz w:val="16"/>
          </w:rPr>
          <w:t>https://docs.nvidia.com/dgx/dgx-spark/hardware.html</w:t>
        </w:r>
      </w:hyperlink>
    </w:p>
    <w:p>
      <w:pPr>
        <w:spacing w:after="40"/>
      </w:pPr>
      <w:r>
        <w:rPr>
          <w:b/>
          <w:sz w:val="19"/>
        </w:rPr>
        <w:t>[S07] NVIDIA DGX Spark price-change announcement</w:t>
      </w:r>
    </w:p>
    <w:p>
      <w:pPr>
        <w:pStyle w:val="Caption"/>
      </w:pPr>
      <w:r>
        <w:rPr>
          <w:b w:val="0"/>
        </w:rPr>
        <w:t>Official historical MSRP change to $4,699 in February 2026. Not represented as a current October quote; current store price was not verifiable from retrieved official page.</w:t>
      </w:r>
    </w:p>
    <w:p>
      <w:pPr>
        <w:spacing w:after="140"/>
      </w:pPr>
      <w:hyperlink r:id="rId22">
        <w:r>
          <w:rPr>
            <w:color w:val="E31837"/>
            <w:sz w:val="16"/>
          </w:rPr>
          <w:t>https://forums.developer.nvidia.com/t/2-23-2026-price-change-announcement/361713</w:t>
        </w:r>
      </w:hyperlink>
    </w:p>
    <w:p>
      <w:pPr>
        <w:spacing w:after="40"/>
      </w:pPr>
      <w:r>
        <w:rPr>
          <w:b/>
          <w:sz w:val="19"/>
        </w:rPr>
        <w:t>[S08] Dell Pro Max with GB10, US configured listing</w:t>
      </w:r>
    </w:p>
    <w:p>
      <w:pPr>
        <w:pStyle w:val="Caption"/>
      </w:pPr>
      <w:r>
        <w:rPr>
          <w:b w:val="0"/>
        </w:rPr>
        <w:t>Observed $9,007 configured listing; GB10, 128GB, selected 4TB SSD, DGX OS 7. Dynamic price and exact support choices need procurement refresh.</w:t>
      </w:r>
    </w:p>
    <w:p>
      <w:pPr>
        <w:spacing w:after="140"/>
      </w:pPr>
      <w:hyperlink r:id="rId23">
        <w:r>
          <w:rPr>
            <w:color w:val="E31837"/>
            <w:sz w:val="16"/>
          </w:rPr>
          <w:t>https://www.dell.com/en-us/shop/desktop-computers/spd/dellpromaxwithgb10fcm1253</w:t>
        </w:r>
      </w:hyperlink>
    </w:p>
    <w:p>
      <w:pPr>
        <w:spacing w:after="40"/>
      </w:pPr>
      <w:r>
        <w:rPr>
          <w:b/>
          <w:sz w:val="19"/>
        </w:rPr>
        <w:t>[S09] NVIDIA DGX Station specifications</w:t>
      </w:r>
    </w:p>
    <w:p>
      <w:pPr>
        <w:pStyle w:val="Caption"/>
      </w:pPr>
      <w:r>
        <w:rPr>
          <w:b w:val="0"/>
        </w:rPr>
        <w:t>252GB HBM3e plus 496GB LPDDR5X; 748GB coherent CPU/GPU total, not 748GB HBM; 1,600W system specification.</w:t>
      </w:r>
    </w:p>
    <w:p>
      <w:pPr>
        <w:spacing w:after="140"/>
      </w:pPr>
      <w:hyperlink r:id="rId24">
        <w:r>
          <w:rPr>
            <w:color w:val="E31837"/>
            <w:sz w:val="16"/>
          </w:rPr>
          <w:t>https://www.nvidia.com/en-us/products/workstations/dgx-station/</w:t>
        </w:r>
      </w:hyperlink>
    </w:p>
    <w:p>
      <w:r>
        <w:br w:type="page"/>
      </w:r>
    </w:p>
    <w:p>
      <w:pPr>
        <w:pStyle w:val="Heading1"/>
      </w:pPr>
      <w:r>
        <w:t>Appendix E / Source and evidence register 2 of 4</w:t>
      </w:r>
    </w:p>
    <w:p>
      <w:pPr>
        <w:pStyle w:val="Caption"/>
      </w:pPr>
      <w:r>
        <w:rPr>
          <w:b w:val="0"/>
        </w:rPr>
        <w:t>Public references checked for this revision on 6 October 2026 unless explicitly marked historical or source-listed. URLs are clickable. Internal specifications and new budgets are not public product facts.</w:t>
      </w:r>
    </w:p>
    <w:p>
      <w:pPr>
        <w:spacing w:after="40"/>
      </w:pPr>
      <w:r>
        <w:rPr>
          <w:b/>
          <w:sz w:val="19"/>
        </w:rPr>
        <w:t>[S10] Exxact Valence DGX Station VWS-158270643</w:t>
      </w:r>
    </w:p>
    <w:p>
      <w:pPr>
        <w:pStyle w:val="Caption"/>
      </w:pPr>
      <w:r>
        <w:rPr>
          <w:b w:val="0"/>
        </w:rPr>
        <w:t>Observed Essential configured price $96,250. OEM listing, not a quote for an ATMOS-equivalent service.</w:t>
      </w:r>
    </w:p>
    <w:p>
      <w:pPr>
        <w:spacing w:after="140"/>
      </w:pPr>
      <w:hyperlink r:id="rId25">
        <w:r>
          <w:rPr>
            <w:color w:val="E31837"/>
            <w:sz w:val="16"/>
          </w:rPr>
          <w:t>https://configurator.exxactcorp.com/configure/VWS-158270643</w:t>
        </w:r>
      </w:hyperlink>
    </w:p>
    <w:p>
      <w:pPr>
        <w:spacing w:after="40"/>
      </w:pPr>
      <w:r>
        <w:rPr>
          <w:b/>
          <w:sz w:val="19"/>
        </w:rPr>
        <w:t>[S11] NVIDIA RTX PRO 6000 Workstation Edition</w:t>
      </w:r>
    </w:p>
    <w:p>
      <w:pPr>
        <w:pStyle w:val="Caption"/>
      </w:pPr>
      <w:r>
        <w:rPr>
          <w:b w:val="0"/>
        </w:rPr>
        <w:t>96GB GDDR7; 600W GPU max. Complete workstation price depends on OEM configuration; GPU and system prices are different.</w:t>
      </w:r>
    </w:p>
    <w:p>
      <w:pPr>
        <w:spacing w:after="140"/>
      </w:pPr>
      <w:hyperlink r:id="rId26">
        <w:r>
          <w:rPr>
            <w:color w:val="E31837"/>
            <w:sz w:val="16"/>
          </w:rPr>
          <w:t>https://www.nvidia.com/en-us/products/workstations/professional-desktop-gpus/rtx-pro-6000/</w:t>
        </w:r>
      </w:hyperlink>
    </w:p>
    <w:p>
      <w:pPr>
        <w:spacing w:after="40"/>
      </w:pPr>
      <w:r>
        <w:rPr>
          <w:b/>
          <w:sz w:val="19"/>
        </w:rPr>
        <w:t>[S12] NVIDIA RTX PRO 6000 family</w:t>
      </w:r>
    </w:p>
    <w:p>
      <w:pPr>
        <w:pStyle w:val="Caption"/>
      </w:pPr>
      <w:r>
        <w:rPr>
          <w:b w:val="0"/>
        </w:rPr>
        <w:t>Server, Workstation and Max-Q variants have separate power/cooling specifications; 96GB each.</w:t>
      </w:r>
    </w:p>
    <w:p>
      <w:pPr>
        <w:spacing w:after="140"/>
      </w:pPr>
      <w:hyperlink r:id="rId27">
        <w:r>
          <w:rPr>
            <w:color w:val="E31837"/>
            <w:sz w:val="16"/>
          </w:rPr>
          <w:t>https://www.nvidia.com/en-us/products/workstations/professional-desktop-gpus/rtx-pro-6000-family/</w:t>
        </w:r>
      </w:hyperlink>
    </w:p>
    <w:p>
      <w:pPr>
        <w:spacing w:after="40"/>
      </w:pPr>
      <w:r>
        <w:rPr>
          <w:b/>
          <w:sz w:val="19"/>
        </w:rPr>
        <w:t>[S13] HPE Private Cloud AI overview / developer system</w:t>
      </w:r>
    </w:p>
    <w:p>
      <w:pPr>
        <w:pStyle w:val="Caption"/>
      </w:pPr>
      <w:r>
        <w:rPr>
          <w:b w:val="0"/>
        </w:rPr>
        <w:t>A genuine turnkey private AI / RAG platform with an integrated developer-system variant. Price and compute BOM require an HPE quote.</w:t>
      </w:r>
    </w:p>
    <w:p>
      <w:pPr>
        <w:spacing w:after="140"/>
      </w:pPr>
      <w:hyperlink r:id="rId28">
        <w:r>
          <w:rPr>
            <w:color w:val="E31837"/>
            <w:sz w:val="16"/>
          </w:rPr>
          <w:t>https://developer.hpe.com/platform/hpe-private-cloud-ai/home/</w:t>
        </w:r>
      </w:hyperlink>
    </w:p>
    <w:p>
      <w:pPr>
        <w:spacing w:after="40"/>
      </w:pPr>
      <w:r>
        <w:rPr>
          <w:b/>
          <w:sz w:val="19"/>
        </w:rPr>
        <w:t>[S14] HPE Private Cloud AI developer announcement</w:t>
      </w:r>
    </w:p>
    <w:p>
      <w:pPr>
        <w:pStyle w:val="Caption"/>
      </w:pPr>
      <w:r>
        <w:rPr>
          <w:b w:val="0"/>
        </w:rPr>
        <w:t>Developer configuration described with integrated control node and 32TB storage. Storage is not accelerator memory.</w:t>
      </w:r>
    </w:p>
    <w:p>
      <w:pPr>
        <w:spacing w:after="140"/>
      </w:pPr>
      <w:hyperlink r:id="rId29">
        <w:r>
          <w:rPr>
            <w:color w:val="E31837"/>
            <w:sz w:val="16"/>
          </w:rPr>
          <w:t>https://www.hpe.com/us/en/newsroom/press-release/2025/03/hewlett-packard-enterprise-introduces-new-enterprise-ai-solutions-with-nvidia-to-accelerate-time-to-value-for-generative-agentic-and-physical-ai-models.html</w:t>
        </w:r>
      </w:hyperlink>
    </w:p>
    <w:p>
      <w:pPr>
        <w:spacing w:after="40"/>
      </w:pPr>
      <w:r>
        <w:rPr>
          <w:b/>
          <w:sz w:val="19"/>
        </w:rPr>
        <w:t>[S15] Nutanix Enterprise AI / GPT-in-a-Box</w:t>
      </w:r>
    </w:p>
    <w:p>
      <w:pPr>
        <w:pStyle w:val="Caption"/>
      </w:pPr>
      <w:r>
        <w:rPr>
          <w:b w:val="0"/>
        </w:rPr>
        <w:t>Enterprise inference endpoints and lifecycle on Kubernetes; GPT-in-a-Box includes infrastructure, Kubernetes and storage. No universal appliance price or memory size.</w:t>
      </w:r>
    </w:p>
    <w:p>
      <w:pPr>
        <w:spacing w:after="140"/>
      </w:pPr>
      <w:hyperlink r:id="rId30">
        <w:r>
          <w:rPr>
            <w:color w:val="E31837"/>
            <w:sz w:val="16"/>
          </w:rPr>
          <w:t>https://www.nutanix.com/press-releases/2024/nutanix-extends-ai-platform-to-public-cloud</w:t>
        </w:r>
      </w:hyperlink>
    </w:p>
    <w:p>
      <w:pPr>
        <w:spacing w:after="40"/>
      </w:pPr>
      <w:r>
        <w:rPr>
          <w:b/>
          <w:sz w:val="19"/>
        </w:rPr>
        <w:t>[S16] AMD Enterprise AI Suite 1.8</w:t>
      </w:r>
    </w:p>
    <w:p>
      <w:pPr>
        <w:pStyle w:val="Caption"/>
      </w:pPr>
      <w:r>
        <w:rPr>
          <w:b w:val="0"/>
        </w:rPr>
        <w:t>AIM catalog and MI350-series support; open-source components do not imply ATMOS support or free enterprise operations.</w:t>
      </w:r>
    </w:p>
    <w:p>
      <w:pPr>
        <w:spacing w:after="140"/>
      </w:pPr>
      <w:hyperlink r:id="rId31">
        <w:r>
          <w:rPr>
            <w:color w:val="E31837"/>
            <w:sz w:val="16"/>
          </w:rPr>
          <w:t>https://www.amd.com/en/blogs/2026/amd-enterprise-ai-suite---version-1-8-.html</w:t>
        </w:r>
      </w:hyperlink>
    </w:p>
    <w:p>
      <w:pPr>
        <w:spacing w:after="40"/>
      </w:pPr>
      <w:r>
        <w:rPr>
          <w:b/>
          <w:sz w:val="19"/>
        </w:rPr>
        <w:t>[S17] AMD Instinct MI350X</w:t>
      </w:r>
    </w:p>
    <w:p>
      <w:pPr>
        <w:pStyle w:val="Caption"/>
      </w:pPr>
      <w:r>
        <w:rPr>
          <w:b w:val="0"/>
        </w:rPr>
        <w:t>288GB HBM3E and 8TB/s per GPU. OEM system, native fabric and software must be specified separately.</w:t>
      </w:r>
    </w:p>
    <w:p>
      <w:pPr>
        <w:spacing w:after="140"/>
      </w:pPr>
      <w:hyperlink r:id="rId32">
        <w:r>
          <w:rPr>
            <w:color w:val="E31837"/>
            <w:sz w:val="16"/>
          </w:rPr>
          <w:t>https://www.amd.com/en/products/accelerators/instinct/mi350/mi350x.html</w:t>
        </w:r>
      </w:hyperlink>
    </w:p>
    <w:p>
      <w:pPr>
        <w:spacing w:after="40"/>
      </w:pPr>
      <w:r>
        <w:rPr>
          <w:b/>
          <w:sz w:val="19"/>
        </w:rPr>
        <w:t>[S18] Lenovo Hybrid AI 285 reference platform</w:t>
      </w:r>
    </w:p>
    <w:p>
      <w:pPr>
        <w:pStyle w:val="Caption"/>
      </w:pPr>
      <w:r>
        <w:rPr>
          <w:b w:val="0"/>
        </w:rPr>
        <w:t>SR675 V3 reference: dual EPYC 9535, 24x64GB DDR5, eight RTX PRO 6000 or H200 NVL, five high-speed NICs. Exact configurations differ; quote required.</w:t>
      </w:r>
    </w:p>
    <w:p>
      <w:pPr>
        <w:spacing w:after="140"/>
      </w:pPr>
      <w:hyperlink r:id="rId33">
        <w:r>
          <w:rPr>
            <w:color w:val="E31837"/>
            <w:sz w:val="16"/>
          </w:rPr>
          <w:t>https://lenovopress.lenovo.com/lp2181-lenovo-hybrid-ai-285</w:t>
        </w:r>
      </w:hyperlink>
    </w:p>
    <w:p>
      <w:pPr>
        <w:spacing w:after="40"/>
      </w:pPr>
      <w:r>
        <w:rPr>
          <w:b/>
          <w:sz w:val="19"/>
        </w:rPr>
        <w:t>[S19] SambaNova SambaManaged</w:t>
      </w:r>
    </w:p>
    <w:p>
      <w:pPr>
        <w:pStyle w:val="Caption"/>
      </w:pPr>
      <w:r>
        <w:rPr>
          <w:b w:val="0"/>
        </w:rPr>
        <w:t>SN40L-based managed on-premises inference; evidence that independent non-GPU turnkey systems are already competitors. Quote required.</w:t>
      </w:r>
    </w:p>
    <w:p>
      <w:pPr>
        <w:spacing w:after="140"/>
      </w:pPr>
      <w:hyperlink r:id="rId34">
        <w:r>
          <w:rPr>
            <w:color w:val="E31837"/>
            <w:sz w:val="16"/>
          </w:rPr>
          <w:t>https://sambanova.ai/sambamanaged-fully-managed-inference-cloud-from-your-data-center</w:t>
        </w:r>
      </w:hyperlink>
    </w:p>
    <w:p>
      <w:pPr>
        <w:spacing w:after="40"/>
      </w:pPr>
      <w:r>
        <w:rPr>
          <w:b/>
          <w:sz w:val="19"/>
        </w:rPr>
        <w:t>[S20] Cerebras WSE-3 / CS-3 announcement</w:t>
      </w:r>
    </w:p>
    <w:p>
      <w:pPr>
        <w:pStyle w:val="Caption"/>
      </w:pPr>
      <w:r>
        <w:rPr>
          <w:b w:val="0"/>
        </w:rPr>
        <w:t>44GB on-chip SRAM in WSE-3; complete system uses a different memory/scale architecture. No fabricated acquisition price.</w:t>
      </w:r>
    </w:p>
    <w:p>
      <w:pPr>
        <w:spacing w:after="140"/>
      </w:pPr>
      <w:hyperlink r:id="rId35">
        <w:r>
          <w:rPr>
            <w:color w:val="E31837"/>
            <w:sz w:val="16"/>
          </w:rPr>
          <w:t>https://www.cerebras.ai/press-release/cerebras-announces-third-generation-wafer-scale-engine</w:t>
        </w:r>
      </w:hyperlink>
    </w:p>
    <w:p>
      <w:r>
        <w:br w:type="page"/>
      </w:r>
    </w:p>
    <w:p>
      <w:pPr>
        <w:pStyle w:val="Heading1"/>
      </w:pPr>
      <w:r>
        <w:t>Appendix E / Source and evidence register 3 of 4</w:t>
      </w:r>
    </w:p>
    <w:p>
      <w:pPr>
        <w:pStyle w:val="Caption"/>
      </w:pPr>
      <w:r>
        <w:rPr>
          <w:b w:val="0"/>
        </w:rPr>
        <w:t>Public references checked for this revision on 6 October 2026 unless explicitly marked historical or source-listed. URLs are clickable. Internal specifications and new budgets are not public product facts.</w:t>
      </w:r>
    </w:p>
    <w:p>
      <w:pPr>
        <w:spacing w:after="40"/>
      </w:pPr>
      <w:r>
        <w:rPr>
          <w:b/>
          <w:sz w:val="19"/>
        </w:rPr>
        <w:t>[S21] Groq platform</w:t>
      </w:r>
    </w:p>
    <w:p>
      <w:pPr>
        <w:pStyle w:val="Caption"/>
      </w:pPr>
      <w:r>
        <w:rPr>
          <w:b w:val="0"/>
        </w:rPr>
        <w:t>Current GroqMetal / GroqCore / GroqAssured stack; rack-scale low-latency positioning. Availability and commercial form of any named GroqRack configuration require confirmation.</w:t>
      </w:r>
    </w:p>
    <w:p>
      <w:pPr>
        <w:spacing w:after="140"/>
      </w:pPr>
      <w:hyperlink r:id="rId36">
        <w:r>
          <w:rPr>
            <w:color w:val="E31837"/>
            <w:sz w:val="16"/>
          </w:rPr>
          <w:t>https://groq.com/platform</w:t>
        </w:r>
      </w:hyperlink>
    </w:p>
    <w:p>
      <w:pPr>
        <w:spacing w:after="40"/>
      </w:pPr>
      <w:r>
        <w:rPr>
          <w:b/>
          <w:sz w:val="19"/>
        </w:rPr>
        <w:t>[S22] d-Matrix Corsair announcement</w:t>
      </w:r>
    </w:p>
    <w:p>
      <w:pPr>
        <w:pStyle w:val="Caption"/>
      </w:pPr>
      <w:r>
        <w:rPr>
          <w:b w:val="0"/>
        </w:rPr>
        <w:t>PCIe Gen5 card with 2GB integrated performance memory and up to 256GB capacity memory; Aviator software. Vendor comparative claims are not reused as benchmarks.</w:t>
      </w:r>
    </w:p>
    <w:p>
      <w:pPr>
        <w:spacing w:after="140"/>
      </w:pPr>
      <w:hyperlink r:id="rId37">
        <w:r>
          <w:rPr>
            <w:color w:val="E31837"/>
            <w:sz w:val="16"/>
          </w:rPr>
          <w:t>https://www.d-matrix.ai/announcements/d-matrix-unveils-corsair-the-worlds-most-efficient-ai-computing-platform-for-inference-in-datacenters/</w:t>
        </w:r>
      </w:hyperlink>
    </w:p>
    <w:p>
      <w:pPr>
        <w:spacing w:after="40"/>
      </w:pPr>
      <w:r>
        <w:rPr>
          <w:b/>
          <w:sz w:val="19"/>
        </w:rPr>
        <w:t>[S23] NVIDIA IGX Thor</w:t>
      </w:r>
    </w:p>
    <w:p>
      <w:pPr>
        <w:pStyle w:val="Caption"/>
      </w:pPr>
      <w:r>
        <w:rPr>
          <w:b w:val="0"/>
        </w:rPr>
        <w:t>Industrial / medical / robotics edge platform, 128GB LPDDR5X and optional dGPU. Not a like-for-like knowledge-appliance replacement.</w:t>
      </w:r>
    </w:p>
    <w:p>
      <w:pPr>
        <w:spacing w:after="140"/>
      </w:pPr>
      <w:hyperlink r:id="rId38">
        <w:r>
          <w:rPr>
            <w:color w:val="E31837"/>
            <w:sz w:val="16"/>
          </w:rPr>
          <w:t>https://www.nvidia.com/en-us/edge-computing/products/igx/</w:t>
        </w:r>
      </w:hyperlink>
    </w:p>
    <w:p>
      <w:pPr>
        <w:spacing w:after="40"/>
      </w:pPr>
      <w:r>
        <w:rPr>
          <w:b/>
          <w:sz w:val="19"/>
        </w:rPr>
        <w:t>[S24] Apple Mac Studio M3 Ultra announcement</w:t>
      </w:r>
    </w:p>
    <w:p>
      <w:pPr>
        <w:pStyle w:val="Caption"/>
      </w:pPr>
      <w:r>
        <w:rPr>
          <w:b w:val="0"/>
        </w:rPr>
        <w:t>Historical March 2025 configuration up to 512GB unified memory; current configured availability/price require refresh. Do not pair base price with maximum memory.</w:t>
      </w:r>
    </w:p>
    <w:p>
      <w:pPr>
        <w:spacing w:after="140"/>
      </w:pPr>
      <w:hyperlink r:id="rId39">
        <w:r>
          <w:rPr>
            <w:color w:val="E31837"/>
            <w:sz w:val="16"/>
          </w:rPr>
          <w:t>https://www.apple.com/newsroom/2025/03/apple-unveils-new-mac-studio-the-most-powerful-mac-ever/</w:t>
        </w:r>
      </w:hyperlink>
    </w:p>
    <w:p>
      <w:pPr>
        <w:spacing w:after="40"/>
      </w:pPr>
      <w:r>
        <w:rPr>
          <w:b/>
          <w:sz w:val="19"/>
        </w:rPr>
        <w:t>[S25] Supermicro X14 Petascale family</w:t>
      </w:r>
    </w:p>
    <w:p>
      <w:pPr>
        <w:pStyle w:val="Caption"/>
      </w:pPr>
      <w:r>
        <w:rPr>
          <w:b w:val="0"/>
        </w:rPr>
        <w:t>Up to 32 E3.S or 16 E3.S plus eight fixed E3.S 2T CXL Type-3 bays; dual Xeon 6700/6500. These are distinct storage/CXL options, not ATMOS-certified bays.</w:t>
      </w:r>
    </w:p>
    <w:p>
      <w:pPr>
        <w:spacing w:after="140"/>
      </w:pPr>
      <w:hyperlink r:id="rId40">
        <w:r>
          <w:rPr>
            <w:color w:val="E31837"/>
            <w:sz w:val="16"/>
          </w:rPr>
          <w:t>https://www.supermicro.com/en/products/petascale-grace-storage</w:t>
        </w:r>
      </w:hyperlink>
    </w:p>
    <w:p>
      <w:pPr>
        <w:spacing w:after="40"/>
      </w:pPr>
      <w:r>
        <w:rPr>
          <w:b/>
          <w:sz w:val="19"/>
        </w:rPr>
        <w:t>[S26] Dell PowerEdge R7725</w:t>
      </w:r>
    </w:p>
    <w:p>
      <w:pPr>
        <w:pStyle w:val="Caption"/>
      </w:pPr>
      <w:r>
        <w:rPr>
          <w:b w:val="0"/>
        </w:rPr>
        <w:t>Candidate dual-socket enterprise host with published E3.S options. Exact 2T/x4 accelerator population, power, backplane and pricing are quote/qualification items.</w:t>
      </w:r>
    </w:p>
    <w:p>
      <w:pPr>
        <w:spacing w:after="140"/>
      </w:pPr>
      <w:hyperlink r:id="rId41">
        <w:r>
          <w:rPr>
            <w:color w:val="E31837"/>
            <w:sz w:val="16"/>
          </w:rPr>
          <w:t>https://www.dell.com/en-us/shop/ipovw/poweredge-r7725</w:t>
        </w:r>
      </w:hyperlink>
    </w:p>
    <w:p>
      <w:pPr>
        <w:spacing w:after="40"/>
      </w:pPr>
      <w:r>
        <w:rPr>
          <w:b/>
          <w:sz w:val="19"/>
        </w:rPr>
        <w:t>[S27] HPE DL345 Gen12 24 E3.S x4 cabling</w:t>
      </w:r>
    </w:p>
    <w:p>
      <w:pPr>
        <w:pStyle w:val="Caption"/>
      </w:pPr>
      <w:r>
        <w:rPr>
          <w:b w:val="0"/>
        </w:rPr>
        <w:t>Source-listed HPE technical document; retain as an OEM-returned verification item, not independently confirmed ATMOS compatibility.</w:t>
      </w:r>
    </w:p>
    <w:p>
      <w:pPr>
        <w:spacing w:after="140"/>
      </w:pPr>
      <w:hyperlink r:id="rId42">
        <w:r>
          <w:rPr>
            <w:color w:val="E31837"/>
            <w:sz w:val="16"/>
          </w:rPr>
          <w:t>https://cdn.support.hpe.com/hpesc/public/docDisplay?docId=sd00005966en_us&amp;page=GUID-58709B31-F99E-4D9E-B660-2B3A9935540B.html&amp;docLocale=en_US</w:t>
        </w:r>
      </w:hyperlink>
    </w:p>
    <w:p>
      <w:pPr>
        <w:spacing w:after="40"/>
      </w:pPr>
      <w:r>
        <w:rPr>
          <w:b/>
          <w:sz w:val="19"/>
        </w:rPr>
        <w:t>[S28] AMD EPYC 9355P specifications</w:t>
      </w:r>
    </w:p>
    <w:p>
      <w:pPr>
        <w:pStyle w:val="Caption"/>
      </w:pPr>
      <w:r>
        <w:rPr>
          <w:b w:val="0"/>
        </w:rPr>
        <w:t>32 cores, single socket, PCIe Gen5 x128, 12 memory channels. Candidate host CPU, not mandatory for every OEM.</w:t>
      </w:r>
    </w:p>
    <w:p>
      <w:pPr>
        <w:spacing w:after="140"/>
      </w:pPr>
      <w:hyperlink r:id="rId43">
        <w:r>
          <w:rPr>
            <w:color w:val="E31837"/>
            <w:sz w:val="16"/>
          </w:rPr>
          <w:t>https://www.amd.com/en/products/processors/server/epyc/9005-series/amd-epyc-9355p.html</w:t>
        </w:r>
      </w:hyperlink>
    </w:p>
    <w:p>
      <w:pPr>
        <w:spacing w:after="40"/>
      </w:pPr>
      <w:r>
        <w:rPr>
          <w:b/>
          <w:sz w:val="19"/>
        </w:rPr>
        <w:t>[S29] AMD EPYC 9005 launch price table</w:t>
      </w:r>
    </w:p>
    <w:p>
      <w:pPr>
        <w:pStyle w:val="Caption"/>
      </w:pPr>
      <w:r>
        <w:rPr>
          <w:b w:val="0"/>
        </w:rPr>
        <w:t>Historical 1KU CPU reference: 9355P $2,998; 9355 $3,694. Not current retail/OEM system quotations.</w:t>
      </w:r>
    </w:p>
    <w:p>
      <w:pPr>
        <w:spacing w:after="140"/>
      </w:pPr>
      <w:hyperlink r:id="rId44">
        <w:r>
          <w:rPr>
            <w:color w:val="E31837"/>
            <w:sz w:val="16"/>
          </w:rPr>
          <w:t>https://www.amd.com/en/newsroom/press-releases/2024-10-10-amd-launches-5th-gen-amd-epyc-cpus-maintaining-le.html</w:t>
        </w:r>
      </w:hyperlink>
    </w:p>
    <w:p>
      <w:pPr>
        <w:spacing w:after="40"/>
      </w:pPr>
      <w:r>
        <w:rPr>
          <w:b/>
          <w:sz w:val="19"/>
        </w:rPr>
        <w:t>[S30] Nasdaq / NVIDIA customer story</w:t>
      </w:r>
    </w:p>
    <w:p>
      <w:pPr>
        <w:pStyle w:val="Caption"/>
      </w:pPr>
      <w:r>
        <w:rPr>
          <w:b w:val="0"/>
        </w:rPr>
        <w:t>Vendor-published Nasdaq account reports 30% faster response and 30% improved accuracy. Not ATMOS data, matched benchmark or disclosed hardware-cost baseline.</w:t>
      </w:r>
    </w:p>
    <w:p>
      <w:pPr>
        <w:spacing w:after="140"/>
      </w:pPr>
      <w:hyperlink r:id="rId45">
        <w:r>
          <w:rPr>
            <w:color w:val="E31837"/>
            <w:sz w:val="16"/>
          </w:rPr>
          <w:t>https://www.nvidia.com/en-us/case-studies/nasdaq/</w:t>
        </w:r>
      </w:hyperlink>
    </w:p>
    <w:p>
      <w:pPr>
        <w:spacing w:after="40"/>
      </w:pPr>
      <w:r>
        <w:rPr>
          <w:b/>
          <w:sz w:val="19"/>
        </w:rPr>
        <w:t>[S31] EPRI / NVIDIA customer story</w:t>
      </w:r>
    </w:p>
    <w:p>
      <w:pPr>
        <w:pStyle w:val="Caption"/>
      </w:pPr>
      <w:r>
        <w:rPr>
          <w:b w:val="0"/>
        </w:rPr>
        <w:t>Power Chat on GB10: 35 output tokens/s single user and about 150 aggregate across ten users after warm-up. Model is gpt-oss-120b; workload/prefix caching differs from proposed G1 profile.</w:t>
      </w:r>
    </w:p>
    <w:p>
      <w:pPr>
        <w:spacing w:after="140"/>
      </w:pPr>
      <w:hyperlink r:id="rId46">
        <w:r>
          <w:rPr>
            <w:color w:val="E31837"/>
            <w:sz w:val="16"/>
          </w:rPr>
          <w:t>https://www.nvidia.com/en-us/case-studies/epri/</w:t>
        </w:r>
      </w:hyperlink>
    </w:p>
    <w:p>
      <w:r>
        <w:br w:type="page"/>
      </w:r>
    </w:p>
    <w:p>
      <w:pPr>
        <w:pStyle w:val="Heading1"/>
      </w:pPr>
      <w:r>
        <w:t>Appendix E / Source and evidence register 4 of 4</w:t>
      </w:r>
    </w:p>
    <w:p>
      <w:pPr>
        <w:pStyle w:val="Caption"/>
      </w:pPr>
      <w:r>
        <w:rPr>
          <w:b w:val="0"/>
        </w:rPr>
        <w:t>Public references checked for this revision on 6 October 2026 unless explicitly marked historical or source-listed. URLs are clickable. Internal specifications and new budgets are not public product facts.</w:t>
      </w:r>
    </w:p>
    <w:p>
      <w:pPr>
        <w:spacing w:after="40"/>
      </w:pPr>
      <w:r>
        <w:rPr>
          <w:b/>
          <w:sz w:val="19"/>
        </w:rPr>
        <w:t>[S32] ThinkDeep sovereign public-service agents</w:t>
      </w:r>
    </w:p>
    <w:p>
      <w:pPr>
        <w:pStyle w:val="Caption"/>
      </w:pPr>
      <w:r>
        <w:rPr>
          <w:b w:val="0"/>
        </w:rPr>
        <w:t>Document-heavy public administration example. French administration handles &gt;100M documents annually; not all processed by this AI platform and not ATMOS traffic.</w:t>
      </w:r>
    </w:p>
    <w:p>
      <w:pPr>
        <w:spacing w:after="140"/>
      </w:pPr>
      <w:hyperlink r:id="rId47">
        <w:r>
          <w:rPr>
            <w:color w:val="E31837"/>
            <w:sz w:val="16"/>
          </w:rPr>
          <w:t>https://www.nvidia.com/en-in/customer-stories/thinkdeep-sovereign-ai-agents-automate-public-services/</w:t>
        </w:r>
      </w:hyperlink>
    </w:p>
    <w:p>
      <w:pPr>
        <w:spacing w:after="40"/>
      </w:pPr>
      <w:r>
        <w:rPr>
          <w:b/>
          <w:sz w:val="19"/>
        </w:rPr>
        <w:t>[S33] Amdocs amAIz customer story</w:t>
      </w:r>
    </w:p>
    <w:p>
      <w:pPr>
        <w:pStyle w:val="Caption"/>
      </w:pPr>
      <w:r>
        <w:rPr>
          <w:b w:val="0"/>
        </w:rPr>
        <w:t>Vendor-reported domain RAG token/latency reductions; application and model changes confound hardware-only attribution. No ATMOS saving inferred.</w:t>
      </w:r>
    </w:p>
    <w:p>
      <w:pPr>
        <w:spacing w:after="140"/>
      </w:pPr>
      <w:hyperlink r:id="rId48">
        <w:r>
          <w:rPr>
            <w:color w:val="E31837"/>
            <w:sz w:val="16"/>
          </w:rPr>
          <w:t>https://www.nvidia.com/en-gb/case-studies/amdocs-builds-generative-ai-agents-for-telecom/</w:t>
        </w:r>
      </w:hyperlink>
    </w:p>
    <w:p>
      <w:pPr>
        <w:spacing w:after="40"/>
      </w:pPr>
      <w:r>
        <w:rPr>
          <w:b/>
          <w:sz w:val="19"/>
        </w:rPr>
        <w:t>[S34] Lowe’s / NVIDIA customer story</w:t>
      </w:r>
    </w:p>
    <w:p>
      <w:pPr>
        <w:pStyle w:val="Caption"/>
      </w:pPr>
      <w:r>
        <w:rPr>
          <w:b w:val="0"/>
        </w:rPr>
        <w:t>Product-knowledge and store-associate assistance are relevant; digital twins, rendering and real-time vision are not proposed ATMOS replacement workloads.</w:t>
      </w:r>
    </w:p>
    <w:p>
      <w:pPr>
        <w:spacing w:after="140"/>
      </w:pPr>
      <w:hyperlink r:id="rId49">
        <w:r>
          <w:rPr>
            <w:color w:val="E31837"/>
            <w:sz w:val="16"/>
          </w:rPr>
          <w:t>https://www.nvidia.com/en-gb/case-studies/lowes/</w:t>
        </w:r>
      </w:hyperlink>
    </w:p>
    <w:p>
      <w:pPr>
        <w:spacing w:after="40"/>
      </w:pPr>
      <w:r>
        <w:rPr>
          <w:b/>
          <w:sz w:val="19"/>
        </w:rPr>
        <w:t>[S35] Texas A&amp;M official infrastructure announcement</w:t>
      </w:r>
    </w:p>
    <w:p>
      <w:pPr>
        <w:pStyle w:val="Caption"/>
      </w:pPr>
      <w:r>
        <w:rPr>
          <w:b w:val="0"/>
        </w:rPr>
        <w:t>760 Hopper GPUs announced for broad research infrastructure. Training / simulation are not an ATMOS replacement target.</w:t>
      </w:r>
    </w:p>
    <w:p>
      <w:pPr>
        <w:spacing w:after="140"/>
      </w:pPr>
      <w:hyperlink r:id="rId50">
        <w:r>
          <w:rPr>
            <w:color w:val="E31837"/>
            <w:sz w:val="16"/>
          </w:rPr>
          <w:t>https://stories.tamu.edu/news/2025/02/10/texas-am-system-triples-supercomputing-capacity/</w:t>
        </w:r>
      </w:hyperlink>
    </w:p>
    <w:p>
      <w:pPr>
        <w:spacing w:after="40"/>
      </w:pPr>
      <w:r>
        <w:rPr>
          <w:b/>
          <w:sz w:val="19"/>
        </w:rPr>
        <w:t>[S36] NVIDIA AI Enterprise support</w:t>
      </w:r>
    </w:p>
    <w:p>
      <w:pPr>
        <w:pStyle w:val="Caption"/>
      </w:pPr>
      <w:r>
        <w:rPr>
          <w:b w:val="0"/>
        </w:rPr>
        <w:t>Support, enterprise lifecycle and escalation are incumbent capabilities. ATMOS needs funded operational equivalents, not only a UI.</w:t>
      </w:r>
    </w:p>
    <w:p>
      <w:pPr>
        <w:spacing w:after="140"/>
      </w:pPr>
      <w:hyperlink r:id="rId51">
        <w:r>
          <w:rPr>
            <w:color w:val="E31837"/>
            <w:sz w:val="16"/>
          </w:rPr>
          <w:t>https://www.nvidia.com/en-us/data-center/products/ai-enterprise-suite/support/</w:t>
        </w:r>
      </w:hyperlink>
    </w:p>
    <w:p>
      <w:pPr>
        <w:spacing w:after="40"/>
      </w:pPr>
      <w:r>
        <w:rPr>
          <w:b/>
          <w:sz w:val="19"/>
        </w:rPr>
        <w:t>[S37] Kubernetes device plugins</w:t>
      </w:r>
    </w:p>
    <w:p>
      <w:pPr>
        <w:pStyle w:val="Caption"/>
      </w:pPr>
      <w:r>
        <w:rPr>
          <w:b w:val="0"/>
        </w:rPr>
        <w:t>Resource discovery and allocation; labels alone do not implement NPU execution, multi-device model readiness or state replication.</w:t>
      </w:r>
    </w:p>
    <w:p>
      <w:pPr>
        <w:spacing w:after="140"/>
      </w:pPr>
      <w:hyperlink r:id="rId52">
        <w:r>
          <w:rPr>
            <w:color w:val="E31837"/>
            <w:sz w:val="16"/>
          </w:rPr>
          <w:t>https://kubernetes.io/docs/concepts/extend-kubernetes/compute-storage-net/device-plugins/</w:t>
        </w:r>
      </w:hyperlink>
    </w:p>
    <w:p>
      <w:pPr>
        <w:spacing w:after="40"/>
      </w:pPr>
      <w:r>
        <w:rPr>
          <w:b/>
          <w:sz w:val="19"/>
        </w:rPr>
        <w:t>[S38] Linux PCI P2PDMA</w:t>
      </w:r>
    </w:p>
    <w:p>
      <w:pPr>
        <w:pStyle w:val="Caption"/>
      </w:pPr>
      <w:r>
        <w:rPr>
          <w:b w:val="0"/>
        </w:rPr>
        <w:t>Peer routes require cooperating drivers, compatible topology and lifecycle management; P2P is not coherence.</w:t>
      </w:r>
    </w:p>
    <w:p>
      <w:pPr>
        <w:spacing w:after="140"/>
      </w:pPr>
      <w:hyperlink r:id="rId53">
        <w:r>
          <w:rPr>
            <w:color w:val="E31837"/>
            <w:sz w:val="16"/>
          </w:rPr>
          <w:t>https://docs.kernel.org/driver-api/pci/p2pdma.html</w:t>
        </w:r>
      </w:hyperlink>
    </w:p>
    <w:p>
      <w:pPr>
        <w:spacing w:after="40"/>
      </w:pPr>
      <w:r>
        <w:rPr>
          <w:b/>
          <w:sz w:val="19"/>
        </w:rPr>
        <w:t>[S39] Tenstorrent vLLM plugin</w:t>
      </w:r>
    </w:p>
    <w:p>
      <w:pPr>
        <w:pStyle w:val="Caption"/>
      </w:pPr>
      <w:r>
        <w:rPr>
          <w:b w:val="0"/>
        </w:rPr>
        <w:t>Native platform-backend precedent only; ATMOS model/operator/memory support must be contracted and validated.</w:t>
      </w:r>
    </w:p>
    <w:p>
      <w:pPr>
        <w:spacing w:after="140"/>
      </w:pPr>
      <w:hyperlink r:id="rId54">
        <w:r>
          <w:rPr>
            <w:color w:val="E31837"/>
            <w:sz w:val="16"/>
          </w:rPr>
          <w:t>https://github.com/tenstorrent/vllm-tt-plugin</w:t>
        </w:r>
      </w:hyperlink>
    </w:p>
    <w:p>
      <w:pPr>
        <w:spacing w:after="40"/>
      </w:pPr>
      <w:r>
        <w:rPr>
          <w:b/>
          <w:sz w:val="19"/>
        </w:rPr>
        <w:t>[S40] NVIDIA RAG Blueprint</w:t>
      </w:r>
    </w:p>
    <w:p>
      <w:pPr>
        <w:pStyle w:val="Caption"/>
      </w:pPr>
      <w:r>
        <w:rPr>
          <w:b w:val="0"/>
        </w:rPr>
        <w:t>Incumbent ingestion/retrieval/rerank/generation workflow; not ATMOS runtime support.</w:t>
      </w:r>
    </w:p>
    <w:p>
      <w:pPr>
        <w:spacing w:after="140"/>
      </w:pPr>
      <w:hyperlink r:id="rId55">
        <w:r>
          <w:rPr>
            <w:color w:val="E31837"/>
            <w:sz w:val="16"/>
          </w:rPr>
          <w:t>https://docs.nvidia.com/rag/latest/</w:t>
        </w:r>
      </w:hyperlink>
    </w:p>
    <w:p>
      <w:pPr>
        <w:spacing w:after="40"/>
      </w:pPr>
      <w:r>
        <w:rPr>
          <w:b/>
          <w:sz w:val="19"/>
        </w:rPr>
        <w:t>[S41] KServe LLMInferenceService / Envoy AI Gateway</w:t>
      </w:r>
    </w:p>
    <w:p>
      <w:pPr>
        <w:pStyle w:val="Caption"/>
      </w:pPr>
      <w:r>
        <w:rPr>
          <w:b w:val="0"/>
        </w:rPr>
        <w:t>Candidate service/gateway integration pattern; Sandisk retains responsibility for certified ATMOS deployment.</w:t>
      </w:r>
    </w:p>
    <w:p>
      <w:pPr>
        <w:spacing w:after="140"/>
      </w:pPr>
      <w:hyperlink r:id="rId56">
        <w:r>
          <w:rPr>
            <w:color w:val="E31837"/>
            <w:sz w:val="16"/>
          </w:rPr>
          <w:t>https://kserve.github.io/website/docs/model-serving/generative-inference/llmisvc/llmisvc-envoy-ai-gateway</w:t>
        </w:r>
      </w:hyperlink>
    </w:p>
    <w:p>
      <w:pPr>
        <w:spacing w:after="40"/>
      </w:pPr>
      <w:r>
        <w:rPr>
          <w:b/>
          <w:sz w:val="19"/>
        </w:rPr>
        <w:t>[S42] NVIDIA Enterprise Licensing Guide pricing</w:t>
      </w:r>
    </w:p>
    <w:p>
      <w:pPr>
        <w:pStyle w:val="Caption"/>
      </w:pPr>
      <w:r>
        <w:rPr>
          <w:b w:val="0"/>
        </w:rPr>
        <w:t>Licensing and support vary by product/term; compare the exact required software entitlement, not arbitrary annual percentages.</w:t>
      </w:r>
    </w:p>
    <w:p>
      <w:pPr>
        <w:spacing w:after="140"/>
      </w:pPr>
      <w:hyperlink r:id="rId57">
        <w:r>
          <w:rPr>
            <w:color w:val="E31837"/>
            <w:sz w:val="16"/>
          </w:rPr>
          <w:t>https://docs.nvidia.com/ai-enterprise/planning-resource/licensing-guide/latest/pricing.html</w:t>
        </w:r>
      </w:hyperlink>
    </w:p>
    <w:sectPr w:rsidR="00FC693F" w:rsidRPr="0006063C" w:rsidSect="00034616">
      <w:headerReference w:type="default" r:id="rId9"/>
      <w:footerReference w:type="default" r:id="rId10"/>
      <w:pgSz w:w="11909" w:h="16834"/>
      <w:pgMar w:top="893" w:right="936" w:bottom="893"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169"/>
        <w:sz w:val="16"/>
      </w:rPr>
      <w:t xml:space="preserve">INTERNAL • 6 OCT 2026 • v3.0   |   Targets are not measured results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9" w:color="E31837"/>
      </w:pBdr>
    </w:pPr>
    <w:r>
      <w:t>SANDISK / ATMOS                                         PRIVATE AI APPLIANCE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1819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18191D"/>
      <w:sz w:val="4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E31837"/>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1819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Arial" w:hAnsi="Arial"/>
      <w:b/>
      <w:color w:val="18191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rial" w:hAnsi="Arial"/>
      <w:color w:val="18191D"/>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B616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SanDisk_ATMOS_AI_Appliance_Executive_Proposal_v3.pptx"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www.sandisk.com/en-za/company/newsroom/press-releases/2025/2025-08-06-sandisk-to-collaborate-with-sk-hynix-to-drive-standardization-of-high-bandwidth-flash-memory-technology" TargetMode="External"/><Relationship Id="rId17" Type="http://schemas.openxmlformats.org/officeDocument/2006/relationships/hyperlink" Target="https://news.skhynix.com/en/hbf-at-fms-2026/" TargetMode="External"/><Relationship Id="rId18" Type="http://schemas.openxmlformats.org/officeDocument/2006/relationships/hyperlink" Target="https://investor.nvidia.com/news/press-release-details/2026/NVIDIA-Announces-Financial-Results-for-Fourth-Quarter-and-Fiscal-2026/default.aspx" TargetMode="External"/><Relationship Id="rId19" Type="http://schemas.openxmlformats.org/officeDocument/2006/relationships/hyperlink" Target="https://investor.nvidia.com/news/press-release-details/2026/NVIDIA-Announces-Financial-Results-for-Second-Quarter-Fiscal-2027/" TargetMode="External"/><Relationship Id="rId20" Type="http://schemas.openxmlformats.org/officeDocument/2006/relationships/hyperlink" Target="https://investor.nvidia.com/news/press-release-details/2026/NVIDIA-Announces-Financial-Results-for-First-Quarter-Fiscal-2027/default.aspx" TargetMode="External"/><Relationship Id="rId21" Type="http://schemas.openxmlformats.org/officeDocument/2006/relationships/hyperlink" Target="https://docs.nvidia.com/dgx/dgx-spark/hardware.html" TargetMode="External"/><Relationship Id="rId22" Type="http://schemas.openxmlformats.org/officeDocument/2006/relationships/hyperlink" Target="https://forums.developer.nvidia.com/t/2-23-2026-price-change-announcement/361713" TargetMode="External"/><Relationship Id="rId23" Type="http://schemas.openxmlformats.org/officeDocument/2006/relationships/hyperlink" Target="https://www.dell.com/en-us/shop/desktop-computers/spd/dellpromaxwithgb10fcm1253" TargetMode="External"/><Relationship Id="rId24" Type="http://schemas.openxmlformats.org/officeDocument/2006/relationships/hyperlink" Target="https://www.nvidia.com/en-us/products/workstations/dgx-station/" TargetMode="External"/><Relationship Id="rId25" Type="http://schemas.openxmlformats.org/officeDocument/2006/relationships/hyperlink" Target="https://configurator.exxactcorp.com/configure/VWS-158270643" TargetMode="External"/><Relationship Id="rId26" Type="http://schemas.openxmlformats.org/officeDocument/2006/relationships/hyperlink" Target="https://www.nvidia.com/en-us/products/workstations/professional-desktop-gpus/rtx-pro-6000/" TargetMode="External"/><Relationship Id="rId27" Type="http://schemas.openxmlformats.org/officeDocument/2006/relationships/hyperlink" Target="https://www.nvidia.com/en-us/products/workstations/professional-desktop-gpus/rtx-pro-6000-family/" TargetMode="External"/><Relationship Id="rId28" Type="http://schemas.openxmlformats.org/officeDocument/2006/relationships/hyperlink" Target="https://developer.hpe.com/platform/hpe-private-cloud-ai/home/" TargetMode="External"/><Relationship Id="rId29" Type="http://schemas.openxmlformats.org/officeDocument/2006/relationships/hyperlink" Target="https://www.hpe.com/us/en/newsroom/press-release/2025/03/hewlett-packard-enterprise-introduces-new-enterprise-ai-solutions-with-nvidia-to-accelerate-time-to-value-for-generative-agentic-and-physical-ai-models.html" TargetMode="External"/><Relationship Id="rId30" Type="http://schemas.openxmlformats.org/officeDocument/2006/relationships/hyperlink" Target="https://www.nutanix.com/press-releases/2024/nutanix-extends-ai-platform-to-public-cloud" TargetMode="External"/><Relationship Id="rId31" Type="http://schemas.openxmlformats.org/officeDocument/2006/relationships/hyperlink" Target="https://www.amd.com/en/blogs/2026/amd-enterprise-ai-suite---version-1-8-.html" TargetMode="External"/><Relationship Id="rId32" Type="http://schemas.openxmlformats.org/officeDocument/2006/relationships/hyperlink" Target="https://www.amd.com/en/products/accelerators/instinct/mi350/mi350x.html" TargetMode="External"/><Relationship Id="rId33" Type="http://schemas.openxmlformats.org/officeDocument/2006/relationships/hyperlink" Target="https://lenovopress.lenovo.com/lp2181-lenovo-hybrid-ai-285" TargetMode="External"/><Relationship Id="rId34" Type="http://schemas.openxmlformats.org/officeDocument/2006/relationships/hyperlink" Target="https://sambanova.ai/sambamanaged-fully-managed-inference-cloud-from-your-data-center" TargetMode="External"/><Relationship Id="rId35" Type="http://schemas.openxmlformats.org/officeDocument/2006/relationships/hyperlink" Target="https://www.cerebras.ai/press-release/cerebras-announces-third-generation-wafer-scale-engine" TargetMode="External"/><Relationship Id="rId36" Type="http://schemas.openxmlformats.org/officeDocument/2006/relationships/hyperlink" Target="https://groq.com/platform" TargetMode="External"/><Relationship Id="rId37" Type="http://schemas.openxmlformats.org/officeDocument/2006/relationships/hyperlink" Target="https://www.d-matrix.ai/announcements/d-matrix-unveils-corsair-the-worlds-most-efficient-ai-computing-platform-for-inference-in-datacenters/" TargetMode="External"/><Relationship Id="rId38" Type="http://schemas.openxmlformats.org/officeDocument/2006/relationships/hyperlink" Target="https://www.nvidia.com/en-us/edge-computing/products/igx/" TargetMode="External"/><Relationship Id="rId39" Type="http://schemas.openxmlformats.org/officeDocument/2006/relationships/hyperlink" Target="https://www.apple.com/newsroom/2025/03/apple-unveils-new-mac-studio-the-most-powerful-mac-ever/" TargetMode="External"/><Relationship Id="rId40" Type="http://schemas.openxmlformats.org/officeDocument/2006/relationships/hyperlink" Target="https://www.supermicro.com/en/products/petascale-grace-storage" TargetMode="External"/><Relationship Id="rId41" Type="http://schemas.openxmlformats.org/officeDocument/2006/relationships/hyperlink" Target="https://www.dell.com/en-us/shop/ipovw/poweredge-r7725" TargetMode="External"/><Relationship Id="rId42" Type="http://schemas.openxmlformats.org/officeDocument/2006/relationships/hyperlink" Target="https://cdn.support.hpe.com/hpesc/public/docDisplay?docId=sd00005966en_us&amp;page=GUID-58709B31-F99E-4D9E-B660-2B3A9935540B.html&amp;docLocale=en_US" TargetMode="External"/><Relationship Id="rId43" Type="http://schemas.openxmlformats.org/officeDocument/2006/relationships/hyperlink" Target="https://www.amd.com/en/products/processors/server/epyc/9005-series/amd-epyc-9355p.html" TargetMode="External"/><Relationship Id="rId44" Type="http://schemas.openxmlformats.org/officeDocument/2006/relationships/hyperlink" Target="https://www.amd.com/en/newsroom/press-releases/2024-10-10-amd-launches-5th-gen-amd-epyc-cpus-maintaining-le.html" TargetMode="External"/><Relationship Id="rId45" Type="http://schemas.openxmlformats.org/officeDocument/2006/relationships/hyperlink" Target="https://www.nvidia.com/en-us/case-studies/nasdaq/" TargetMode="External"/><Relationship Id="rId46" Type="http://schemas.openxmlformats.org/officeDocument/2006/relationships/hyperlink" Target="https://www.nvidia.com/en-us/case-studies/epri/" TargetMode="External"/><Relationship Id="rId47" Type="http://schemas.openxmlformats.org/officeDocument/2006/relationships/hyperlink" Target="https://www.nvidia.com/en-in/customer-stories/thinkdeep-sovereign-ai-agents-automate-public-services/" TargetMode="External"/><Relationship Id="rId48" Type="http://schemas.openxmlformats.org/officeDocument/2006/relationships/hyperlink" Target="https://www.nvidia.com/en-gb/case-studies/amdocs-builds-generative-ai-agents-for-telecom/" TargetMode="External"/><Relationship Id="rId49" Type="http://schemas.openxmlformats.org/officeDocument/2006/relationships/hyperlink" Target="https://www.nvidia.com/en-gb/case-studies/lowes/" TargetMode="External"/><Relationship Id="rId50" Type="http://schemas.openxmlformats.org/officeDocument/2006/relationships/hyperlink" Target="https://stories.tamu.edu/news/2025/02/10/texas-am-system-triples-supercomputing-capacity/" TargetMode="External"/><Relationship Id="rId51" Type="http://schemas.openxmlformats.org/officeDocument/2006/relationships/hyperlink" Target="https://www.nvidia.com/en-us/data-center/products/ai-enterprise-suite/support/" TargetMode="External"/><Relationship Id="rId52" Type="http://schemas.openxmlformats.org/officeDocument/2006/relationships/hyperlink" Target="https://kubernetes.io/docs/concepts/extend-kubernetes/compute-storage-net/device-plugins/" TargetMode="External"/><Relationship Id="rId53" Type="http://schemas.openxmlformats.org/officeDocument/2006/relationships/hyperlink" Target="https://docs.kernel.org/driver-api/pci/p2pdma.html" TargetMode="External"/><Relationship Id="rId54" Type="http://schemas.openxmlformats.org/officeDocument/2006/relationships/hyperlink" Target="https://github.com/tenstorrent/vllm-tt-plugin" TargetMode="External"/><Relationship Id="rId55" Type="http://schemas.openxmlformats.org/officeDocument/2006/relationships/hyperlink" Target="https://docs.nvidia.com/rag/latest/" TargetMode="External"/><Relationship Id="rId56" Type="http://schemas.openxmlformats.org/officeDocument/2006/relationships/hyperlink" Target="https://kserve.github.io/website/docs/model-serving/generative-inference/llmisvc/llmisvc-envoy-ai-gateway" TargetMode="External"/><Relationship Id="rId57" Type="http://schemas.openxmlformats.org/officeDocument/2006/relationships/hyperlink" Target="https://docs.nvidia.com/ai-enterprise/planning-resource/licensing-guide/latest/pric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SanDisk ATMOS Private AI Appliance Strategy and PRD v3</dc:title>
  <dc:subject>Evidence-led portfolio, OEM, performance, HA, brand, support and ranked use-case plan</dc:subject>
  <dc:creator>SanDisk ATMOS planning</dc:creator>
  <cp:keywords>ATMOS, HBF, appliance, private AI, RAG, OEM, HA, strategy</cp:keywords>
  <dc:description>New performance and cost numbers are explicitly labeled proposed targets or budget scenarios. Not a product commitment.</dc:description>
  <cp:lastModifiedBy/>
  <cp:revision>1</cp:revision>
  <dcterms:created xsi:type="dcterms:W3CDTF">2013-12-23T23:15:00Z</dcterms:created>
  <dcterms:modified xsi:type="dcterms:W3CDTF">2013-12-23T23:15:00Z</dcterms:modified>
  <cp:category/>
</cp:coreProperties>
</file>