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after="140"/>
      </w:pPr>
      <w:r>
        <w:t>PERSONAL OPERATING PLAN  /  MANAGER REVIEW EDITION</w:t>
      </w:r>
    </w:p>
    <w:p>
      <w:bookmarkStart w:id="1" w:name="page_1"/>
      <w:pPr>
        <w:pStyle w:val="Title"/>
      </w:pPr>
      <w:r>
        <w:t>Shailesh Pilare</w:t>
        <w:br/>
        <w:t>ATMOS Operating &amp; Learning Plan</w:t>
      </w:r>
      <w:bookmarkEnd w:id="1"/>
    </w:p>
    <w:p>
      <w:r>
        <w:rPr>
          <w:b/>
          <w:i w:val="0"/>
        </w:rPr>
        <w:t>Hardware foundations → credible evidence → OEM and partner decisions</w:t>
      </w:r>
    </w:p>
    <w:p>
      <w:r>
        <w:rPr>
          <w:b/>
          <w:i w:val="0"/>
        </w:rPr>
        <w:t>One-, three-, and six-month checkpoints | Annual continuation to August 2027</w:t>
      </w:r>
    </w:p>
    <w:p>
      <w:r>
        <w:rPr>
          <w:b w:val="0"/>
          <w:i w:val="0"/>
        </w:rPr>
        <w:t>Owner: Shailesh Pilare · Sponsor for review: Raj</w:t>
      </w:r>
      <w:r>
        <w:br/>
      </w:r>
      <w:r>
        <w:rPr>
          <w:b w:val="0"/>
          <w:i w:val="0"/>
        </w:rPr>
        <w:t>Role: Senior Principal AI Solutions Architect, as stated in the original plan</w:t>
      </w:r>
      <w:r>
        <w:br/>
      </w:r>
      <w:r>
        <w:rPr>
          <w:b w:val="0"/>
          <w:i w:val="0"/>
        </w:rPr>
        <w:t>Proposed revision 2.0 · Prepared 23 September 2026 · Internal working document</w:t>
      </w:r>
    </w:p>
    <w:p>
      <w:pPr>
        <w:spacing w:before="120" w:after="200"/>
        <w:ind w:left="187" w:right="187"/>
        <w:shd w:fill="F8F3EF"/>
        <w:pBdr>
          <w:left w:val="single" w:sz="20" w:color="8C2335" w:space="8"/>
        </w:pBdr>
      </w:pPr>
      <w:r>
        <w:rPr>
          <w:b w:val="0"/>
          <w:i w:val="0"/>
          <w:color w:val="173047"/>
        </w:rPr>
        <w:t>The next six months are about learning the hardware well enough to explain it, testing the assumptions that matter, and guiding an adoption decision. Videos and slides support those outcomes; they are not the outcomes themselves.</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Horizon</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What we are trying to achieve</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Evidence of completion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1 month</w:t>
            </w:r>
          </w:p>
        </w:tc>
        <w:tc>
          <w:tcPr>
            <w:tcW w:type="dxa" w:w="3960"/>
            <w:vAlign w:val="center"/>
            <w:shd w:fill="F0F4F6"/>
            <w:tcMar>
              <w:top w:w="65" w:type="dxa"/>
              <w:bottom w:w="65" w:type="dxa"/>
              <w:left w:w="100" w:type="dxa"/>
              <w:right w:w="100" w:type="dxa"/>
            </w:tcMar>
          </w:tcPr>
          <w:p>
            <w:pPr>
              <w:pStyle w:val="TableBody"/>
              <w:keepNext w:val="0"/>
            </w:pPr>
            <w:r>
              <w:rPr>
                <w:b w:val="0"/>
                <w:i w:val="0"/>
              </w:rPr>
              <w:t>Understand the server and the three ATMOS layouts; agree scope and establish a reproducible workflow.</w:t>
            </w:r>
          </w:p>
        </w:tc>
        <w:tc>
          <w:tcPr>
            <w:tcW w:type="dxa" w:w="4090"/>
            <w:vAlign w:val="center"/>
            <w:shd w:fill="F0F4F6"/>
            <w:tcMar>
              <w:top w:w="65" w:type="dxa"/>
              <w:bottom w:w="65" w:type="dxa"/>
              <w:left w:w="100" w:type="dxa"/>
              <w:right w:w="100" w:type="dxa"/>
            </w:tcMar>
          </w:tcPr>
          <w:p>
            <w:pPr>
              <w:pStyle w:val="TableBody"/>
              <w:keepNext w:val="0"/>
            </w:pPr>
            <w:r>
              <w:rPr>
                <w:b w:val="0"/>
                <w:i w:val="0"/>
              </w:rPr>
              <w:t>Engineer-reviewed hardware map, owned questions, versioned profiles, one causal microtrace, and a lab-access plan.</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3 months</w:t>
            </w:r>
          </w:p>
        </w:tc>
        <w:tc>
          <w:tcPr>
            <w:tcW w:type="dxa" w:w="3960"/>
            <w:vAlign w:val="center"/>
            <w:shd w:fill="FFFFFF"/>
            <w:tcMar>
              <w:top w:w="65" w:type="dxa"/>
              <w:bottom w:w="65" w:type="dxa"/>
              <w:left w:w="100" w:type="dxa"/>
              <w:right w:w="100" w:type="dxa"/>
            </w:tcMar>
          </w:tcPr>
          <w:p>
            <w:pPr>
              <w:pStyle w:val="TableBody"/>
              <w:keepNext w:val="0"/>
            </w:pPr>
            <w:r>
              <w:rPr>
                <w:b w:val="0"/>
                <w:i w:val="0"/>
              </w:rPr>
              <w:t>Demonstrate a bounded bridge model, establish available conventional controls, and select the lead product experiment.</w:t>
            </w:r>
          </w:p>
        </w:tc>
        <w:tc>
          <w:tcPr>
            <w:tcW w:type="dxa" w:w="4090"/>
            <w:vAlign w:val="center"/>
            <w:shd w:fill="FFFFFF"/>
            <w:tcMar>
              <w:top w:w="65" w:type="dxa"/>
              <w:bottom w:w="65" w:type="dxa"/>
              <w:left w:w="100" w:type="dxa"/>
              <w:right w:w="100" w:type="dxa"/>
            </w:tcMar>
          </w:tcPr>
          <w:p>
            <w:pPr>
              <w:pStyle w:val="TableBody"/>
              <w:keepNext w:val="0"/>
            </w:pPr>
            <w:r>
              <w:rPr>
                <w:b w:val="0"/>
                <w:i w:val="0"/>
              </w:rPr>
              <w:t>Reproducible memory-path study, limited LLM/MoE and vector examples, calibration or explicit gaps, OEM checklist, and a decision memo.</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6 months</w:t>
            </w:r>
          </w:p>
        </w:tc>
        <w:tc>
          <w:tcPr>
            <w:tcW w:type="dxa" w:w="3960"/>
            <w:vAlign w:val="center"/>
            <w:shd w:fill="F0F4F6"/>
            <w:tcMar>
              <w:top w:w="65" w:type="dxa"/>
              <w:bottom w:w="65" w:type="dxa"/>
              <w:left w:w="100" w:type="dxa"/>
              <w:right w:w="100" w:type="dxa"/>
            </w:tcMar>
          </w:tcPr>
          <w:p>
            <w:pPr>
              <w:pStyle w:val="TableBody"/>
              <w:keepNext w:val="0"/>
            </w:pPr>
            <w:r>
              <w:rPr>
                <w:b w:val="0"/>
                <w:i w:val="0"/>
              </w:rPr>
              <w:t>Turn surviving evidence into an engineering handoff and a jointly scoped OEM/partner evaluation.</w:t>
            </w:r>
          </w:p>
        </w:tc>
        <w:tc>
          <w:tcPr>
            <w:tcW w:type="dxa" w:w="4090"/>
            <w:vAlign w:val="center"/>
            <w:shd w:fill="F0F4F6"/>
            <w:tcMar>
              <w:top w:w="65" w:type="dxa"/>
              <w:bottom w:w="65" w:type="dxa"/>
              <w:left w:w="100" w:type="dxa"/>
              <w:right w:w="100" w:type="dxa"/>
            </w:tcMar>
          </w:tcPr>
          <w:p>
            <w:pPr>
              <w:pStyle w:val="TableBody"/>
              <w:keepNext w:val="0"/>
            </w:pPr>
            <w:r>
              <w:rPr>
                <w:b w:val="0"/>
                <w:i w:val="0"/>
              </w:rPr>
              <w:t>Reviewed comparison and economics envelope, reproducible backend package, two reference packages, and a continue/hold/stop decision.</w:t>
            </w:r>
          </w:p>
        </w:tc>
      </w:tr>
    </w:tbl>
    <w:p>
      <w:pPr>
        <w:spacing w:after="60" w:before="0" w:line="40" w:lineRule="exact"/>
      </w:pPr>
      <w:r>
        <w:rPr>
          <w:sz w:val="4"/>
        </w:rPr>
      </w:r>
    </w:p>
    <w:p>
      <w:r>
        <w:rPr>
          <w:b w:val="0"/>
          <w:i w:val="0"/>
        </w:rPr>
        <w:t xml:space="preserve">The original annual ambition remains: reusable software, five approved reference packages, customer evaluations and POCs, field adoption, and executive decisions. These goals depend on engineering support, approved data, partner access, and hardware readiness. This plan does not assert that any outcome is already completed. </w:t>
      </w:r>
      <w:r>
        <w:rPr>
          <w:b w:val="0"/>
          <w:i w:val="0"/>
        </w:rPr>
        <w:t>[</w:t>
      </w:r>
      <w:r>
        <w:rPr>
          <w:b w:val="0"/>
          <w:i w:val="0"/>
        </w:rPr>
        <w:t>S1 §§1–2]</w:t>
      </w:r>
    </w:p>
    <w:p>
      <w:r>
        <w:rPr>
          <w:b/>
          <w:i w:val="0"/>
        </w:rPr>
        <w:t>Planning boundary:</w:t>
      </w:r>
      <w:r>
        <w:rPr>
          <w:b w:val="0"/>
          <w:i w:val="0"/>
        </w:rPr>
        <w:t xml:space="preserve"> No product specification, hiring allocation, partner delivery, spend approval, or customer commitment is created by this document. Dates and new thresholds are proposals to agree with Raj.</w:t>
      </w:r>
    </w:p>
    <w:p>
      <w:r>
        <w:br w:type="page"/>
      </w:r>
    </w:p>
    <w:p>
      <w:pPr>
        <w:pStyle w:val="Kicker"/>
        <w:spacing w:after="140"/>
      </w:pPr>
      <w:r>
        <w:t>PLAN  •  EVIDENCE  •  DECISIONS</w:t>
      </w:r>
    </w:p>
    <w:p>
      <w:bookmarkStart w:id="2" w:name="page_2"/>
      <w:pPr>
        <w:pStyle w:val="Heading1"/>
      </w:pPr>
      <w:r>
        <w:t>Start here: how to use the plan</w:t>
      </w:r>
      <w:bookmarkEnd w:id="2"/>
    </w:p>
    <w:p>
      <w:r>
        <w:rPr>
          <w:b w:val="0"/>
          <w:i w:val="0"/>
        </w:rPr>
        <w:t xml:space="preserve">The original 17-section backbone is retained. The learning curriculum now starts with ordinary hardware, while the delivery plan explicitly separates understanding, simulation, measurement, integration, and adoption. Appendix C explains what changed. </w:t>
      </w:r>
      <w:r>
        <w:rPr>
          <w:b w:val="0"/>
          <w:i w:val="0"/>
        </w:rPr>
        <w:t>[</w:t>
      </w:r>
      <w:r>
        <w:rPr>
          <w:b w:val="0"/>
          <w:i w:val="0"/>
        </w:rPr>
        <w:t>S1; S2; S3]</w:t>
      </w:r>
    </w:p>
    <w:tbl>
      <w:tblPr>
        <w:tblW w:type="auto" w:w="0"/>
        <w:tblLayout w:type="fixed"/>
        <w:tblLook w:firstColumn="1" w:firstRow="1" w:lastColumn="0" w:lastRow="0" w:noHBand="0" w:noVBand="1" w:val="04A0"/>
      </w:tblPr>
      <w:tblGrid>
        <w:gridCol w:w="9432"/>
        <w:gridCol w:w="850"/>
      </w:tblGrid>
      <w:tr>
        <w:tc>
          <w:tcPr>
            <w:tcW w:type="dxa" w:w="9432"/>
            <w:tcMar>
              <w:top w:w="15" w:type="dxa"/>
              <w:bottom w:w="15" w:type="dxa"/>
              <w:left w:w="0" w:type="dxa"/>
              <w:right w:w="0" w:type="dxa"/>
            </w:tcMar>
          </w:tcPr>
          <w:p>
            <w:pPr>
              <w:pStyle w:val="TOCEntry"/>
            </w:pPr>
            <w:hyperlink w:anchor="sec_1">
              <w:r>
                <w:rPr>
                  <w:color w:val="0D7477"/>
                  <w:u w:val="single"/>
                  <w:sz w:val="21"/>
                </w:rPr>
                <w:t xml:space="preserve">1.  North star and priorities</w:t>
              </w:r>
            </w:hyperlink>
          </w:p>
        </w:tc>
        <w:tc>
          <w:tcPr>
            <w:tcW w:type="dxa" w:w="850"/>
            <w:tcMar>
              <w:top w:w="15" w:type="dxa"/>
              <w:bottom w:w="15" w:type="dxa"/>
              <w:left w:w="0" w:type="dxa"/>
              <w:right w:w="0" w:type="dxa"/>
            </w:tcMar>
          </w:tcPr>
          <w:p>
            <w:pPr>
              <w:pStyle w:val="TOCEntry"/>
              <w:jc w:val="right"/>
            </w:pPr>
            <w:r>
              <w:t>3</w:t>
            </w:r>
          </w:p>
        </w:tc>
      </w:tr>
      <w:tr>
        <w:tc>
          <w:tcPr>
            <w:tcW w:type="dxa" w:w="9432"/>
            <w:tcMar>
              <w:top w:w="15" w:type="dxa"/>
              <w:bottom w:w="15" w:type="dxa"/>
              <w:left w:w="0" w:type="dxa"/>
              <w:right w:w="0" w:type="dxa"/>
            </w:tcMar>
          </w:tcPr>
          <w:p>
            <w:pPr>
              <w:pStyle w:val="TOCEntry"/>
            </w:pPr>
            <w:hyperlink w:anchor="sec_2">
              <w:r>
                <w:rPr>
                  <w:color w:val="0D7477"/>
                  <w:u w:val="single"/>
                  <w:sz w:val="21"/>
                </w:rPr>
                <w:t xml:space="preserve">2.  Success contract and annual goals</w:t>
              </w:r>
            </w:hyperlink>
          </w:p>
        </w:tc>
        <w:tc>
          <w:tcPr>
            <w:tcW w:type="dxa" w:w="850"/>
            <w:tcMar>
              <w:top w:w="15" w:type="dxa"/>
              <w:bottom w:w="15" w:type="dxa"/>
              <w:left w:w="0" w:type="dxa"/>
              <w:right w:w="0" w:type="dxa"/>
            </w:tcMar>
          </w:tcPr>
          <w:p>
            <w:pPr>
              <w:pStyle w:val="TOCEntry"/>
              <w:jc w:val="right"/>
            </w:pPr>
            <w:r>
              <w:t>4</w:t>
            </w:r>
          </w:p>
        </w:tc>
      </w:tr>
      <w:tr>
        <w:tc>
          <w:tcPr>
            <w:tcW w:type="dxa" w:w="9432"/>
            <w:tcMar>
              <w:top w:w="15" w:type="dxa"/>
              <w:bottom w:w="15" w:type="dxa"/>
              <w:left w:w="0" w:type="dxa"/>
              <w:right w:w="0" w:type="dxa"/>
            </w:tcMar>
          </w:tcPr>
          <w:p>
            <w:pPr>
              <w:pStyle w:val="TOCEntry"/>
            </w:pPr>
            <w:hyperlink w:anchor="sec_3">
              <w:r>
                <w:rPr>
                  <w:color w:val="0D7477"/>
                  <w:u w:val="single"/>
                  <w:sz w:val="21"/>
                </w:rPr>
                <w:t xml:space="preserve">3.  Time, staffing, and resources</w:t>
              </w:r>
            </w:hyperlink>
          </w:p>
        </w:tc>
        <w:tc>
          <w:tcPr>
            <w:tcW w:type="dxa" w:w="850"/>
            <w:tcMar>
              <w:top w:w="15" w:type="dxa"/>
              <w:bottom w:w="15" w:type="dxa"/>
              <w:left w:w="0" w:type="dxa"/>
              <w:right w:w="0" w:type="dxa"/>
            </w:tcMar>
          </w:tcPr>
          <w:p>
            <w:pPr>
              <w:pStyle w:val="TOCEntry"/>
              <w:jc w:val="right"/>
            </w:pPr>
            <w:r>
              <w:t>5</w:t>
            </w:r>
          </w:p>
        </w:tc>
      </w:tr>
      <w:tr>
        <w:tc>
          <w:tcPr>
            <w:tcW w:type="dxa" w:w="9432"/>
            <w:tcMar>
              <w:top w:w="15" w:type="dxa"/>
              <w:bottom w:w="15" w:type="dxa"/>
              <w:left w:w="0" w:type="dxa"/>
              <w:right w:w="0" w:type="dxa"/>
            </w:tcMar>
          </w:tcPr>
          <w:p>
            <w:pPr>
              <w:pStyle w:val="TOCEntry"/>
            </w:pPr>
            <w:hyperlink w:anchor="sec_4">
              <w:r>
                <w:rPr>
                  <w:color w:val="0D7477"/>
                  <w:u w:val="single"/>
                  <w:sz w:val="21"/>
                </w:rPr>
                <w:t xml:space="preserve">4.  Daily and weekly operating rhythm</w:t>
              </w:r>
            </w:hyperlink>
          </w:p>
        </w:tc>
        <w:tc>
          <w:tcPr>
            <w:tcW w:type="dxa" w:w="850"/>
            <w:tcMar>
              <w:top w:w="15" w:type="dxa"/>
              <w:bottom w:w="15" w:type="dxa"/>
              <w:left w:w="0" w:type="dxa"/>
              <w:right w:w="0" w:type="dxa"/>
            </w:tcMar>
          </w:tcPr>
          <w:p>
            <w:pPr>
              <w:pStyle w:val="TOCEntry"/>
              <w:jc w:val="right"/>
            </w:pPr>
            <w:r>
              <w:t>6</w:t>
            </w:r>
          </w:p>
        </w:tc>
      </w:tr>
      <w:tr>
        <w:tc>
          <w:tcPr>
            <w:tcW w:type="dxa" w:w="9432"/>
            <w:tcMar>
              <w:top w:w="15" w:type="dxa"/>
              <w:bottom w:w="15" w:type="dxa"/>
              <w:left w:w="0" w:type="dxa"/>
              <w:right w:w="0" w:type="dxa"/>
            </w:tcMar>
          </w:tcPr>
          <w:p>
            <w:pPr>
              <w:pStyle w:val="TOCEntry"/>
            </w:pPr>
            <w:hyperlink w:anchor="sec_5">
              <w:r>
                <w:rPr>
                  <w:color w:val="0D7477"/>
                  <w:u w:val="single"/>
                  <w:sz w:val="21"/>
                </w:rPr>
                <w:t xml:space="preserve">5.  Stakeholders and ownership</w:t>
              </w:r>
            </w:hyperlink>
          </w:p>
        </w:tc>
        <w:tc>
          <w:tcPr>
            <w:tcW w:type="dxa" w:w="850"/>
            <w:tcMar>
              <w:top w:w="15" w:type="dxa"/>
              <w:bottom w:w="15" w:type="dxa"/>
              <w:left w:w="0" w:type="dxa"/>
              <w:right w:w="0" w:type="dxa"/>
            </w:tcMar>
          </w:tcPr>
          <w:p>
            <w:pPr>
              <w:pStyle w:val="TOCEntry"/>
              <w:jc w:val="right"/>
            </w:pPr>
            <w:r>
              <w:t>7</w:t>
            </w:r>
          </w:p>
        </w:tc>
      </w:tr>
      <w:tr>
        <w:tc>
          <w:tcPr>
            <w:tcW w:type="dxa" w:w="9432"/>
            <w:tcMar>
              <w:top w:w="15" w:type="dxa"/>
              <w:bottom w:w="15" w:type="dxa"/>
              <w:left w:w="0" w:type="dxa"/>
              <w:right w:w="0" w:type="dxa"/>
            </w:tcMar>
          </w:tcPr>
          <w:p>
            <w:pPr>
              <w:pStyle w:val="TOCEntry"/>
            </w:pPr>
            <w:hyperlink w:anchor="sec_6">
              <w:r>
                <w:rPr>
                  <w:color w:val="0D7477"/>
                  <w:u w:val="single"/>
                  <w:sz w:val="21"/>
                </w:rPr>
                <w:t xml:space="preserve">6.  Meeting playbooks</w:t>
              </w:r>
            </w:hyperlink>
          </w:p>
        </w:tc>
        <w:tc>
          <w:tcPr>
            <w:tcW w:type="dxa" w:w="850"/>
            <w:tcMar>
              <w:top w:w="15" w:type="dxa"/>
              <w:bottom w:w="15" w:type="dxa"/>
              <w:left w:w="0" w:type="dxa"/>
              <w:right w:w="0" w:type="dxa"/>
            </w:tcMar>
          </w:tcPr>
          <w:p>
            <w:pPr>
              <w:pStyle w:val="TOCEntry"/>
              <w:jc w:val="right"/>
            </w:pPr>
            <w:r>
              <w:t>9</w:t>
            </w:r>
          </w:p>
        </w:tc>
      </w:tr>
      <w:tr>
        <w:tc>
          <w:tcPr>
            <w:tcW w:type="dxa" w:w="9432"/>
            <w:tcMar>
              <w:top w:w="15" w:type="dxa"/>
              <w:bottom w:w="15" w:type="dxa"/>
              <w:left w:w="0" w:type="dxa"/>
              <w:right w:w="0" w:type="dxa"/>
            </w:tcMar>
          </w:tcPr>
          <w:p>
            <w:pPr>
              <w:pStyle w:val="TOCEntry"/>
            </w:pPr>
            <w:hyperlink w:anchor="sec_7">
              <w:r>
                <w:rPr>
                  <w:color w:val="0D7477"/>
                  <w:u w:val="single"/>
                  <w:sz w:val="21"/>
                </w:rPr>
                <w:t xml:space="preserve">7.  Artifacts and source control</w:t>
              </w:r>
            </w:hyperlink>
          </w:p>
        </w:tc>
        <w:tc>
          <w:tcPr>
            <w:tcW w:type="dxa" w:w="850"/>
            <w:tcMar>
              <w:top w:w="15" w:type="dxa"/>
              <w:bottom w:w="15" w:type="dxa"/>
              <w:left w:w="0" w:type="dxa"/>
              <w:right w:w="0" w:type="dxa"/>
            </w:tcMar>
          </w:tcPr>
          <w:p>
            <w:pPr>
              <w:pStyle w:val="TOCEntry"/>
              <w:jc w:val="right"/>
            </w:pPr>
            <w:r>
              <w:t>11</w:t>
            </w:r>
          </w:p>
        </w:tc>
      </w:tr>
      <w:tr>
        <w:tc>
          <w:tcPr>
            <w:tcW w:type="dxa" w:w="9432"/>
            <w:tcMar>
              <w:top w:w="15" w:type="dxa"/>
              <w:bottom w:w="15" w:type="dxa"/>
              <w:left w:w="0" w:type="dxa"/>
              <w:right w:w="0" w:type="dxa"/>
            </w:tcMar>
          </w:tcPr>
          <w:p>
            <w:pPr>
              <w:pStyle w:val="TOCEntry"/>
            </w:pPr>
            <w:hyperlink w:anchor="sec_8">
              <w:r>
                <w:rPr>
                  <w:color w:val="0D7477"/>
                  <w:u w:val="single"/>
                  <w:sz w:val="21"/>
                </w:rPr>
                <w:t xml:space="preserve">8.  Learning curriculum and video sequence</w:t>
              </w:r>
            </w:hyperlink>
          </w:p>
        </w:tc>
        <w:tc>
          <w:tcPr>
            <w:tcW w:type="dxa" w:w="850"/>
            <w:tcMar>
              <w:top w:w="15" w:type="dxa"/>
              <w:bottom w:w="15" w:type="dxa"/>
              <w:left w:w="0" w:type="dxa"/>
              <w:right w:w="0" w:type="dxa"/>
            </w:tcMar>
          </w:tcPr>
          <w:p>
            <w:pPr>
              <w:pStyle w:val="TOCEntry"/>
              <w:jc w:val="right"/>
            </w:pPr>
            <w:r>
              <w:t>12</w:t>
            </w:r>
          </w:p>
        </w:tc>
      </w:tr>
      <w:tr>
        <w:tc>
          <w:tcPr>
            <w:tcW w:type="dxa" w:w="9432"/>
            <w:tcMar>
              <w:top w:w="15" w:type="dxa"/>
              <w:bottom w:w="15" w:type="dxa"/>
              <w:left w:w="0" w:type="dxa"/>
              <w:right w:w="0" w:type="dxa"/>
            </w:tcMar>
          </w:tcPr>
          <w:p>
            <w:pPr>
              <w:pStyle w:val="TOCEntry"/>
            </w:pPr>
            <w:hyperlink w:anchor="sec_9">
              <w:r>
                <w:rPr>
                  <w:color w:val="0D7477"/>
                  <w:u w:val="single"/>
                  <w:sz w:val="21"/>
                </w:rPr>
                <w:t xml:space="preserve">9.  Code, hardware, and POC roadmap</w:t>
              </w:r>
            </w:hyperlink>
          </w:p>
        </w:tc>
        <w:tc>
          <w:tcPr>
            <w:tcW w:type="dxa" w:w="850"/>
            <w:tcMar>
              <w:top w:w="15" w:type="dxa"/>
              <w:bottom w:w="15" w:type="dxa"/>
              <w:left w:w="0" w:type="dxa"/>
              <w:right w:w="0" w:type="dxa"/>
            </w:tcMar>
          </w:tcPr>
          <w:p>
            <w:pPr>
              <w:pStyle w:val="TOCEntry"/>
              <w:jc w:val="right"/>
            </w:pPr>
            <w:r>
              <w:t>19</w:t>
            </w:r>
          </w:p>
        </w:tc>
      </w:tr>
      <w:tr>
        <w:tc>
          <w:tcPr>
            <w:tcW w:type="dxa" w:w="9432"/>
            <w:tcMar>
              <w:top w:w="15" w:type="dxa"/>
              <w:bottom w:w="15" w:type="dxa"/>
              <w:left w:w="0" w:type="dxa"/>
              <w:right w:w="0" w:type="dxa"/>
            </w:tcMar>
          </w:tcPr>
          <w:p>
            <w:pPr>
              <w:pStyle w:val="TOCEntry"/>
            </w:pPr>
            <w:hyperlink w:anchor="sec_10">
              <w:r>
                <w:rPr>
                  <w:color w:val="0D7477"/>
                  <w:u w:val="single"/>
                  <w:sz w:val="21"/>
                </w:rPr>
                <w:t xml:space="preserve">10.  Month-by-month execution plan</w:t>
              </w:r>
            </w:hyperlink>
          </w:p>
        </w:tc>
        <w:tc>
          <w:tcPr>
            <w:tcW w:type="dxa" w:w="850"/>
            <w:tcMar>
              <w:top w:w="15" w:type="dxa"/>
              <w:bottom w:w="15" w:type="dxa"/>
              <w:left w:w="0" w:type="dxa"/>
              <w:right w:w="0" w:type="dxa"/>
            </w:tcMar>
          </w:tcPr>
          <w:p>
            <w:pPr>
              <w:pStyle w:val="TOCEntry"/>
              <w:jc w:val="right"/>
            </w:pPr>
            <w:r>
              <w:t>24</w:t>
            </w:r>
          </w:p>
        </w:tc>
      </w:tr>
      <w:tr>
        <w:tc>
          <w:tcPr>
            <w:tcW w:type="dxa" w:w="9432"/>
            <w:tcMar>
              <w:top w:w="15" w:type="dxa"/>
              <w:bottom w:w="15" w:type="dxa"/>
              <w:left w:w="0" w:type="dxa"/>
              <w:right w:w="0" w:type="dxa"/>
            </w:tcMar>
          </w:tcPr>
          <w:p>
            <w:pPr>
              <w:pStyle w:val="TOCEntry"/>
            </w:pPr>
            <w:hyperlink w:anchor="sec_11">
              <w:r>
                <w:rPr>
                  <w:color w:val="0D7477"/>
                  <w:u w:val="single"/>
                  <w:sz w:val="21"/>
                </w:rPr>
                <w:t xml:space="preserve">11.  Customer, partner, and economics workflow</w:t>
              </w:r>
            </w:hyperlink>
          </w:p>
        </w:tc>
        <w:tc>
          <w:tcPr>
            <w:tcW w:type="dxa" w:w="850"/>
            <w:tcMar>
              <w:top w:w="15" w:type="dxa"/>
              <w:bottom w:w="15" w:type="dxa"/>
              <w:left w:w="0" w:type="dxa"/>
              <w:right w:w="0" w:type="dxa"/>
            </w:tcMar>
          </w:tcPr>
          <w:p>
            <w:pPr>
              <w:pStyle w:val="TOCEntry"/>
              <w:jc w:val="right"/>
            </w:pPr>
            <w:r>
              <w:t>32</w:t>
            </w:r>
          </w:p>
        </w:tc>
      </w:tr>
      <w:tr>
        <w:tc>
          <w:tcPr>
            <w:tcW w:type="dxa" w:w="9432"/>
            <w:tcMar>
              <w:top w:w="15" w:type="dxa"/>
              <w:bottom w:w="15" w:type="dxa"/>
              <w:left w:w="0" w:type="dxa"/>
              <w:right w:w="0" w:type="dxa"/>
            </w:tcMar>
          </w:tcPr>
          <w:p>
            <w:pPr>
              <w:pStyle w:val="TOCEntry"/>
            </w:pPr>
            <w:hyperlink w:anchor="sec_12">
              <w:r>
                <w:rPr>
                  <w:color w:val="0D7477"/>
                  <w:u w:val="single"/>
                  <w:sz w:val="21"/>
                </w:rPr>
                <w:t xml:space="preserve">12.  Metrics dashboard</w:t>
              </w:r>
            </w:hyperlink>
          </w:p>
        </w:tc>
        <w:tc>
          <w:tcPr>
            <w:tcW w:type="dxa" w:w="850"/>
            <w:tcMar>
              <w:top w:w="15" w:type="dxa"/>
              <w:bottom w:w="15" w:type="dxa"/>
              <w:left w:w="0" w:type="dxa"/>
              <w:right w:w="0" w:type="dxa"/>
            </w:tcMar>
          </w:tcPr>
          <w:p>
            <w:pPr>
              <w:pStyle w:val="TOCEntry"/>
              <w:jc w:val="right"/>
            </w:pPr>
            <w:r>
              <w:t>33</w:t>
            </w:r>
          </w:p>
        </w:tc>
      </w:tr>
      <w:tr>
        <w:tc>
          <w:tcPr>
            <w:tcW w:type="dxa" w:w="9432"/>
            <w:tcMar>
              <w:top w:w="15" w:type="dxa"/>
              <w:bottom w:w="15" w:type="dxa"/>
              <w:left w:w="0" w:type="dxa"/>
              <w:right w:w="0" w:type="dxa"/>
            </w:tcMar>
          </w:tcPr>
          <w:p>
            <w:pPr>
              <w:pStyle w:val="TOCEntry"/>
            </w:pPr>
            <w:hyperlink w:anchor="sec_13">
              <w:r>
                <w:rPr>
                  <w:color w:val="0D7477"/>
                  <w:u w:val="single"/>
                  <w:sz w:val="21"/>
                </w:rPr>
                <w:t xml:space="preserve">13.  Development and visibility</w:t>
              </w:r>
            </w:hyperlink>
          </w:p>
        </w:tc>
        <w:tc>
          <w:tcPr>
            <w:tcW w:type="dxa" w:w="850"/>
            <w:tcMar>
              <w:top w:w="15" w:type="dxa"/>
              <w:bottom w:w="15" w:type="dxa"/>
              <w:left w:w="0" w:type="dxa"/>
              <w:right w:w="0" w:type="dxa"/>
            </w:tcMar>
          </w:tcPr>
          <w:p>
            <w:pPr>
              <w:pStyle w:val="TOCEntry"/>
              <w:jc w:val="right"/>
            </w:pPr>
            <w:r>
              <w:t>34</w:t>
            </w:r>
          </w:p>
        </w:tc>
      </w:tr>
      <w:tr>
        <w:tc>
          <w:tcPr>
            <w:tcW w:type="dxa" w:w="9432"/>
            <w:tcMar>
              <w:top w:w="15" w:type="dxa"/>
              <w:bottom w:w="15" w:type="dxa"/>
              <w:left w:w="0" w:type="dxa"/>
              <w:right w:w="0" w:type="dxa"/>
            </w:tcMar>
          </w:tcPr>
          <w:p>
            <w:pPr>
              <w:pStyle w:val="TOCEntry"/>
            </w:pPr>
            <w:hyperlink w:anchor="sec_14">
              <w:r>
                <w:rPr>
                  <w:color w:val="0D7477"/>
                  <w:u w:val="single"/>
                  <w:sz w:val="21"/>
                </w:rPr>
                <w:t xml:space="preserve">14.  Risks and contingencies</w:t>
              </w:r>
            </w:hyperlink>
          </w:p>
        </w:tc>
        <w:tc>
          <w:tcPr>
            <w:tcW w:type="dxa" w:w="850"/>
            <w:tcMar>
              <w:top w:w="15" w:type="dxa"/>
              <w:bottom w:w="15" w:type="dxa"/>
              <w:left w:w="0" w:type="dxa"/>
              <w:right w:w="0" w:type="dxa"/>
            </w:tcMar>
          </w:tcPr>
          <w:p>
            <w:pPr>
              <w:pStyle w:val="TOCEntry"/>
              <w:jc w:val="right"/>
            </w:pPr>
            <w:r>
              <w:t>35</w:t>
            </w:r>
          </w:p>
        </w:tc>
      </w:tr>
      <w:tr>
        <w:tc>
          <w:tcPr>
            <w:tcW w:type="dxa" w:w="9432"/>
            <w:tcMar>
              <w:top w:w="15" w:type="dxa"/>
              <w:bottom w:w="15" w:type="dxa"/>
              <w:left w:w="0" w:type="dxa"/>
              <w:right w:w="0" w:type="dxa"/>
            </w:tcMar>
          </w:tcPr>
          <w:p>
            <w:pPr>
              <w:pStyle w:val="TOCEntry"/>
            </w:pPr>
            <w:hyperlink w:anchor="sec_15">
              <w:r>
                <w:rPr>
                  <w:color w:val="0D7477"/>
                  <w:u w:val="single"/>
                  <w:sz w:val="21"/>
                </w:rPr>
                <w:t xml:space="preserve">15.  Monthly review template</w:t>
              </w:r>
            </w:hyperlink>
          </w:p>
        </w:tc>
        <w:tc>
          <w:tcPr>
            <w:tcW w:type="dxa" w:w="850"/>
            <w:tcMar>
              <w:top w:w="15" w:type="dxa"/>
              <w:bottom w:w="15" w:type="dxa"/>
              <w:left w:w="0" w:type="dxa"/>
              <w:right w:w="0" w:type="dxa"/>
            </w:tcMar>
          </w:tcPr>
          <w:p>
            <w:pPr>
              <w:pStyle w:val="TOCEntry"/>
              <w:jc w:val="right"/>
            </w:pPr>
            <w:r>
              <w:t>36</w:t>
            </w:r>
          </w:p>
        </w:tc>
      </w:tr>
      <w:tr>
        <w:tc>
          <w:tcPr>
            <w:tcW w:type="dxa" w:w="9432"/>
            <w:tcMar>
              <w:top w:w="15" w:type="dxa"/>
              <w:bottom w:w="15" w:type="dxa"/>
              <w:left w:w="0" w:type="dxa"/>
              <w:right w:w="0" w:type="dxa"/>
            </w:tcMar>
          </w:tcPr>
          <w:p>
            <w:pPr>
              <w:pStyle w:val="TOCEntry"/>
            </w:pPr>
            <w:hyperlink w:anchor="sec_16">
              <w:r>
                <w:rPr>
                  <w:color w:val="0D7477"/>
                  <w:u w:val="single"/>
                  <w:sz w:val="21"/>
                </w:rPr>
                <w:t xml:space="preserve">16.  Weekly planning template</w:t>
              </w:r>
            </w:hyperlink>
          </w:p>
        </w:tc>
        <w:tc>
          <w:tcPr>
            <w:tcW w:type="dxa" w:w="850"/>
            <w:tcMar>
              <w:top w:w="15" w:type="dxa"/>
              <w:bottom w:w="15" w:type="dxa"/>
              <w:left w:w="0" w:type="dxa"/>
              <w:right w:w="0" w:type="dxa"/>
            </w:tcMar>
          </w:tcPr>
          <w:p>
            <w:pPr>
              <w:pStyle w:val="TOCEntry"/>
              <w:jc w:val="right"/>
            </w:pPr>
            <w:r>
              <w:t>37</w:t>
            </w:r>
          </w:p>
        </w:tc>
      </w:tr>
      <w:tr>
        <w:tc>
          <w:tcPr>
            <w:tcW w:type="dxa" w:w="9432"/>
            <w:tcMar>
              <w:top w:w="15" w:type="dxa"/>
              <w:bottom w:w="15" w:type="dxa"/>
              <w:left w:w="0" w:type="dxa"/>
              <w:right w:w="0" w:type="dxa"/>
            </w:tcMar>
          </w:tcPr>
          <w:p>
            <w:pPr>
              <w:pStyle w:val="TOCEntry"/>
            </w:pPr>
            <w:hyperlink w:anchor="sec_17">
              <w:r>
                <w:rPr>
                  <w:color w:val="0D7477"/>
                  <w:u w:val="single"/>
                  <w:sz w:val="21"/>
                </w:rPr>
                <w:t xml:space="preserve">17.  Definition of a good year</w:t>
              </w:r>
            </w:hyperlink>
          </w:p>
        </w:tc>
        <w:tc>
          <w:tcPr>
            <w:tcW w:type="dxa" w:w="850"/>
            <w:tcMar>
              <w:top w:w="15" w:type="dxa"/>
              <w:bottom w:w="15" w:type="dxa"/>
              <w:left w:w="0" w:type="dxa"/>
              <w:right w:w="0" w:type="dxa"/>
            </w:tcMar>
          </w:tcPr>
          <w:p>
            <w:pPr>
              <w:pStyle w:val="TOCEntry"/>
              <w:jc w:val="right"/>
            </w:pPr>
            <w:r>
              <w:t>38</w:t>
            </w:r>
          </w:p>
        </w:tc>
      </w:tr>
    </w:tbl>
    <w:p>
      <w:pPr>
        <w:pStyle w:val="Footline"/>
        <w:spacing w:before="80"/>
      </w:pPr>
      <w:r>
        <w:t>Appendices A–D: glossary, worksheets, original-plan crosswalk, and sources.</w:t>
      </w:r>
    </w:p>
    <w:p>
      <w:pPr>
        <w:pStyle w:val="Heading2"/>
      </w:pPr>
      <w:r>
        <w:rPr>
          <w:b w:val="0"/>
          <w:i w:val="0"/>
        </w:rPr>
        <w:t>Calendar and status</w:t>
      </w:r>
    </w:p>
    <w:p>
      <w:r>
        <w:rPr>
          <w:b/>
          <w:i w:val="0"/>
        </w:rPr>
        <w:t>T0 is the start date Raj agrees.</w:t>
      </w:r>
      <w:r>
        <w:rPr>
          <w:b w:val="0"/>
          <w:i w:val="0"/>
        </w:rPr>
        <w:t xml:space="preserve"> For a concrete example, this edition uses </w:t>
      </w:r>
      <w:r>
        <w:rPr>
          <w:b/>
          <w:i w:val="0"/>
        </w:rPr>
        <w:t>28 September 2026</w:t>
      </w:r>
      <w:r>
        <w:rPr>
          <w:b w:val="0"/>
          <w:i w:val="0"/>
        </w:rPr>
        <w:t xml:space="preserve">. Month 1 ends </w:t>
      </w:r>
      <w:r>
        <w:rPr>
          <w:b/>
          <w:i w:val="0"/>
        </w:rPr>
        <w:t>27 October 2026</w:t>
      </w:r>
      <w:r>
        <w:rPr>
          <w:b w:val="0"/>
          <w:i w:val="0"/>
        </w:rPr>
        <w:t xml:space="preserve">; Month 3 ends </w:t>
      </w:r>
      <w:r>
        <w:rPr>
          <w:b/>
          <w:i w:val="0"/>
        </w:rPr>
        <w:t>27 December 2026</w:t>
      </w:r>
      <w:r>
        <w:rPr>
          <w:b w:val="0"/>
          <w:i w:val="0"/>
        </w:rPr>
        <w:t xml:space="preserve">; Month 6 ends </w:t>
      </w:r>
      <w:r>
        <w:rPr>
          <w:b/>
          <w:i w:val="0"/>
        </w:rPr>
        <w:t>27 March 2027</w:t>
      </w:r>
      <w:r>
        <w:rPr>
          <w:b w:val="0"/>
          <w:i w:val="0"/>
        </w:rPr>
        <w:t>. These are calendar months, not exact 30/90/180-day periods. Weekly packages are approximate; holidays, partial weeks, and access require adjustment.</w:t>
      </w:r>
    </w:p>
    <w:p>
      <w:r>
        <w:rPr>
          <w:b w:val="0"/>
          <w:i w:val="0"/>
        </w:rPr>
        <w:t xml:space="preserve">The original </w:t>
      </w:r>
      <w:r>
        <w:rPr>
          <w:b/>
          <w:i w:val="0"/>
        </w:rPr>
        <w:t>September 2026–August 2027</w:t>
      </w:r>
      <w:r>
        <w:rPr>
          <w:b w:val="0"/>
          <w:i w:val="0"/>
        </w:rPr>
        <w:t xml:space="preserve"> annual period remains. April–August 2027 is the continuation after the reset; this does not silently extend the deadline into September 2027. Earlier work is </w:t>
      </w:r>
      <w:r>
        <w:rPr>
          <w:b/>
          <w:i w:val="0"/>
        </w:rPr>
        <w:t>status unknown</w:t>
      </w:r>
      <w:r>
        <w:rPr>
          <w:b w:val="0"/>
          <w:i w:val="0"/>
        </w:rPr>
        <w:t xml:space="preserve"> until the first-week audit. </w:t>
      </w:r>
      <w:r>
        <w:rPr>
          <w:b w:val="0"/>
          <w:i w:val="0"/>
        </w:rPr>
        <w:t>[</w:t>
      </w:r>
      <w:r>
        <w:rPr>
          <w:b w:val="0"/>
          <w:i w:val="0"/>
        </w:rPr>
        <w:t>S1 §10]</w:t>
      </w:r>
    </w:p>
    <w:p>
      <w:r>
        <w:rPr>
          <w:b/>
          <w:i w:val="0"/>
        </w:rPr>
        <w:t>Reading routes:</w:t>
      </w:r>
      <w:r>
        <w:rPr>
          <w:b w:val="0"/>
          <w:i w:val="0"/>
        </w:rPr>
        <w:t xml:space="preserve"> Raj discussion: §§1–3 and 6. Daily learning: §8, in sequence. Build and test: §§9–10. Weekly control: §§4, 7, 12, 15–16. Reference material: appendices. Do not read the whole document before starting Lesson 1.</w:t>
      </w:r>
    </w:p>
    <w:p>
      <w:r>
        <w:br w:type="page"/>
      </w:r>
    </w:p>
    <w:p>
      <w:pPr>
        <w:pStyle w:val="Kicker"/>
        <w:spacing w:after="140"/>
      </w:pPr>
      <w:r>
        <w:t>PLAN  •  EVIDENCE  •  DECISIONS</w:t>
      </w:r>
    </w:p>
    <w:p>
      <w:bookmarkStart w:id="4" w:name="page_3"/>
      <w:bookmarkStart w:id="3" w:name="sec_1"/>
      <w:pPr>
        <w:pStyle w:val="Heading1"/>
      </w:pPr>
      <w:r>
        <w:t>1. North star: make sound decisions happen</w:t>
      </w:r>
      <w:bookmarkEnd w:id="3"/>
      <w:bookmarkEnd w:id="4"/>
    </w:p>
    <w:p>
      <w:r>
        <w:rPr>
          <w:b w:val="0"/>
          <w:i w:val="0"/>
        </w:rPr>
        <w:t xml:space="preserve">Retain the original mission: connect customer workload, architecture, engineering evidence, and adoption. Your responsibility is not to design every circuit. It is to identify the right requirements, get qualified owners to validate them, and make the trade-offs understandable. </w:t>
      </w:r>
      <w:r>
        <w:rPr>
          <w:b w:val="0"/>
          <w:i w:val="0"/>
        </w:rPr>
        <w:t>[</w:t>
      </w:r>
      <w:r>
        <w:rPr>
          <w:b w:val="0"/>
          <w:i w:val="0"/>
        </w:rPr>
        <w:t>S1 §1]</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Decision</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What we must resolve</w:t>
            </w:r>
          </w:p>
        </w:tc>
      </w:tr>
      <w:tr>
        <w:trPr>
          <w:cantSplit/>
        </w:trPr>
        <w:tc>
          <w:tcPr>
            <w:tcW w:type="dxa" w:w="3053"/>
            <w:vAlign w:val="center"/>
            <w:shd w:fill="F0F4F6"/>
            <w:tcMar>
              <w:top w:w="65" w:type="dxa"/>
              <w:bottom w:w="65" w:type="dxa"/>
              <w:left w:w="100" w:type="dxa"/>
              <w:right w:w="100" w:type="dxa"/>
            </w:tcMar>
          </w:tcPr>
          <w:p>
            <w:pPr>
              <w:pStyle w:val="TableBody"/>
              <w:keepNext w:val="0"/>
            </w:pPr>
            <w:r>
              <w:rPr>
                <w:b/>
                <w:i w:val="0"/>
              </w:rPr>
              <w:t>Product/workload</w:t>
            </w:r>
          </w:p>
        </w:tc>
        <w:tc>
          <w:tcPr>
            <w:tcW w:type="dxa" w:w="7229"/>
            <w:vAlign w:val="center"/>
            <w:shd w:fill="F0F4F6"/>
            <w:tcMar>
              <w:top w:w="65" w:type="dxa"/>
              <w:bottom w:w="65" w:type="dxa"/>
              <w:left w:w="100" w:type="dxa"/>
              <w:right w:w="100" w:type="dxa"/>
            </w:tcMar>
          </w:tcPr>
          <w:p>
            <w:pPr>
              <w:pStyle w:val="TableBody"/>
              <w:keepNext w:val="0"/>
            </w:pPr>
            <w:r>
              <w:rPr>
                <w:b w:val="0"/>
                <w:i w:val="0"/>
              </w:rPr>
              <w:t>Is the lead E3.S case persistent-model inference, candidate-vector refinement, or another approved service? The current proposals differ.</w:t>
            </w:r>
          </w:p>
        </w:tc>
      </w:tr>
      <w:tr>
        <w:trPr>
          <w:cantSplit/>
        </w:trPr>
        <w:tc>
          <w:tcPr>
            <w:tcW w:type="dxa" w:w="3053"/>
            <w:vAlign w:val="center"/>
            <w:shd w:fill="FFFFFF"/>
            <w:tcMar>
              <w:top w:w="65" w:type="dxa"/>
              <w:bottom w:w="65" w:type="dxa"/>
              <w:left w:w="100" w:type="dxa"/>
              <w:right w:w="100" w:type="dxa"/>
            </w:tcMar>
          </w:tcPr>
          <w:p>
            <w:pPr>
              <w:pStyle w:val="TableBody"/>
              <w:keepNext w:val="0"/>
            </w:pPr>
            <w:r>
              <w:rPr>
                <w:b/>
                <w:i w:val="0"/>
              </w:rPr>
              <w:t>Physical layout</w:t>
            </w:r>
          </w:p>
        </w:tc>
        <w:tc>
          <w:tcPr>
            <w:tcW w:type="dxa" w:w="7229"/>
            <w:vAlign w:val="center"/>
            <w:shd w:fill="FFFFFF"/>
            <w:tcMar>
              <w:top w:w="65" w:type="dxa"/>
              <w:bottom w:w="65" w:type="dxa"/>
              <w:left w:w="100" w:type="dxa"/>
              <w:right w:w="100" w:type="dxa"/>
            </w:tcMar>
          </w:tcPr>
          <w:p>
            <w:pPr>
              <w:pStyle w:val="TableBody"/>
              <w:keepNext w:val="0"/>
            </w:pPr>
            <w:r>
              <w:rPr>
                <w:b w:val="0"/>
                <w:i w:val="0"/>
              </w:rPr>
              <w:t>Full-length eight-module card; direct-attached E3.S devices; or E3.S devices behind a separate PCIe-switch card?</w:t>
            </w:r>
          </w:p>
        </w:tc>
      </w:tr>
      <w:tr>
        <w:trPr>
          <w:cantSplit/>
        </w:trPr>
        <w:tc>
          <w:tcPr>
            <w:tcW w:type="dxa" w:w="3053"/>
            <w:vAlign w:val="center"/>
            <w:shd w:fill="F0F4F6"/>
            <w:tcMar>
              <w:top w:w="65" w:type="dxa"/>
              <w:bottom w:w="65" w:type="dxa"/>
              <w:left w:w="100" w:type="dxa"/>
              <w:right w:w="100" w:type="dxa"/>
            </w:tcMar>
          </w:tcPr>
          <w:p>
            <w:pPr>
              <w:pStyle w:val="TableBody"/>
              <w:keepNext w:val="0"/>
            </w:pPr>
            <w:r>
              <w:rPr>
                <w:b/>
                <w:i w:val="0"/>
              </w:rPr>
              <w:t>Evidence and scope</w:t>
            </w:r>
          </w:p>
        </w:tc>
        <w:tc>
          <w:tcPr>
            <w:tcW w:type="dxa" w:w="7229"/>
            <w:vAlign w:val="center"/>
            <w:shd w:fill="F0F4F6"/>
            <w:tcMar>
              <w:top w:w="65" w:type="dxa"/>
              <w:bottom w:w="65" w:type="dxa"/>
              <w:left w:w="100" w:type="dxa"/>
              <w:right w:w="100" w:type="dxa"/>
            </w:tcMar>
          </w:tcPr>
          <w:p>
            <w:pPr>
              <w:pStyle w:val="TableBody"/>
              <w:keepNext w:val="0"/>
            </w:pPr>
            <w:r>
              <w:rPr>
                <w:b w:val="0"/>
                <w:i w:val="0"/>
              </w:rPr>
              <w:t>What can be shown now, what requires a measured component, and what requires complete ATMOS execution?</w:t>
            </w:r>
          </w:p>
        </w:tc>
      </w:tr>
    </w:tbl>
    <w:p>
      <w:pPr>
        <w:spacing w:after="60" w:before="0" w:line="40" w:lineRule="exact"/>
      </w:pPr>
      <w:r>
        <w:rPr>
          <w:sz w:val="4"/>
        </w:rPr>
      </w:r>
    </w:p>
    <w:p>
      <w:pPr>
        <w:pStyle w:val="Heading2"/>
      </w:pPr>
      <w:r>
        <w:rPr>
          <w:b w:val="0"/>
          <w:i w:val="0"/>
        </w:rPr>
        <w:t>Recommended order for this reset</w:t>
      </w:r>
    </w:p>
    <w:p>
      <w:r>
        <w:rPr>
          <w:b/>
          <w:i w:val="0"/>
        </w:rPr>
        <w:t>First: understand the hardware and establish one common memory-path study.</w:t>
      </w:r>
      <w:r>
        <w:rPr>
          <w:b w:val="0"/>
          <w:i w:val="0"/>
        </w:rPr>
        <w:t xml:space="preserve"> Learn the topology while building only what is needed to explain capacity, queues, dependencies, and data movement.</w:t>
      </w:r>
    </w:p>
    <w:p>
      <w:r>
        <w:rPr>
          <w:b/>
          <w:i w:val="0"/>
        </w:rPr>
        <w:t>Second: retain a small LLM/MoE control and one E3.S retrieval example.</w:t>
      </w:r>
      <w:r>
        <w:rPr>
          <w:b w:val="0"/>
          <w:i w:val="0"/>
        </w:rPr>
        <w:t xml:space="preserve"> Recommend candidate refinement as the first deeper E3.S product experiment after the common path. The reviewed Bridge addendum makes HBF-active retrieval central, while earlier documents lead with neural services. Raj must approve the selected scope; do not silently combine every proposed minimum release. </w:t>
      </w:r>
      <w:r>
        <w:rPr>
          <w:b w:val="0"/>
          <w:i w:val="0"/>
        </w:rPr>
        <w:t>[</w:t>
      </w:r>
      <w:r>
        <w:rPr>
          <w:b w:val="0"/>
          <w:i w:val="0"/>
        </w:rPr>
        <w:t>S2 §11.5; S4; S5; S6]</w:t>
      </w:r>
    </w:p>
    <w:p>
      <w:r>
        <w:rPr>
          <w:b/>
          <w:i w:val="0"/>
        </w:rPr>
        <w:t>Third: qualify the deployment path.</w:t>
      </w:r>
      <w:r>
        <w:rPr>
          <w:b w:val="0"/>
          <w:i w:val="0"/>
        </w:rPr>
        <w:t xml:space="preserve"> Begin OEM and partner questions early, but do not promise a working device or performance before corresponding evidence exists.</w:t>
      </w:r>
    </w:p>
    <w:p>
      <w:pPr>
        <w:pStyle w:val="Heading2"/>
      </w:pPr>
      <w:r>
        <w:rPr>
          <w:b w:val="0"/>
          <w:i w:val="0"/>
        </w:rPr>
        <w:t>Three questions every engagement must answer</w:t>
      </w:r>
    </w:p>
    <w:p>
      <w:r>
        <w:rPr>
          <w:b w:val="0"/>
          <w:i w:val="0"/>
        </w:rPr>
        <w:t xml:space="preserve">Does the proposed configuration solve an important problem? Is there objective evidence it can work? Can the operator adopt and support it at acceptable cost and risk? </w:t>
      </w:r>
      <w:r>
        <w:rPr>
          <w:b w:val="0"/>
          <w:i w:val="0"/>
        </w:rPr>
        <w:t>[</w:t>
      </w:r>
      <w:r>
        <w:rPr>
          <w:b w:val="0"/>
          <w:i w:val="0"/>
        </w:rPr>
        <w:t>S1 §1]</w:t>
      </w:r>
    </w:p>
    <w:p>
      <w:r>
        <w:rPr>
          <w:b/>
          <w:i w:val="0"/>
        </w:rPr>
        <w:t>Not now:</w:t>
      </w:r>
      <w:r>
        <w:rPr>
          <w:b w:val="0"/>
          <w:i w:val="0"/>
        </w:rPr>
        <w:t xml:space="preserve"> a new chip-verification program, full compiler, production driver, universal CUDA replacement, every vertical POC, or another unsupported winner map. A new initiative must displace an existing priority.</w:t>
      </w:r>
    </w:p>
    <w:p>
      <w:r>
        <w:br w:type="page"/>
      </w:r>
    </w:p>
    <w:p>
      <w:pPr>
        <w:pStyle w:val="Kicker"/>
        <w:spacing w:after="140"/>
      </w:pPr>
      <w:r>
        <w:t>PLAN  •  EVIDENCE  •  DECISIONS</w:t>
      </w:r>
    </w:p>
    <w:p>
      <w:bookmarkStart w:id="6" w:name="page_4"/>
      <w:bookmarkStart w:id="5" w:name="sec_2"/>
      <w:pPr>
        <w:pStyle w:val="Heading1"/>
      </w:pPr>
      <w:r>
        <w:t>2. Success contract: capability plus evidence</w:t>
      </w:r>
      <w:bookmarkEnd w:id="5"/>
      <w:bookmarkEnd w:id="6"/>
    </w:p>
    <w:p>
      <w:r>
        <w:rPr>
          <w:b w:val="0"/>
          <w:i w:val="0"/>
        </w:rPr>
        <w:t xml:space="preserve">Use </w:t>
      </w:r>
      <w:r>
        <w:rPr>
          <w:b/>
          <w:i w:val="0"/>
        </w:rPr>
        <w:t>explain → apply → validate → hand off</w:t>
      </w:r>
      <w:r>
        <w:rPr>
          <w:b w:val="0"/>
          <w:i w:val="0"/>
        </w:rPr>
        <w:t xml:space="preserve"> as the progress standard. Completion means someone can review or reproduce an artifact, not that a video or meeting was attended. The checkpoint criteria below are recommendations to agree. </w:t>
      </w:r>
      <w:r>
        <w:rPr>
          <w:b w:val="0"/>
          <w:i w:val="0"/>
        </w:rPr>
        <w:t>[</w:t>
      </w:r>
      <w:r>
        <w:rPr>
          <w:b w:val="0"/>
          <w:i w:val="0"/>
        </w:rPr>
        <w:t>S1 §§2, 8, 12]</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Checkpoint</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Personal capability</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Delivery gate</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Month 1</w:t>
            </w:r>
          </w:p>
        </w:tc>
        <w:tc>
          <w:tcPr>
            <w:tcW w:type="dxa" w:w="3960"/>
            <w:vAlign w:val="center"/>
            <w:shd w:fill="F0F4F6"/>
            <w:tcMar>
              <w:top w:w="65" w:type="dxa"/>
              <w:bottom w:w="65" w:type="dxa"/>
              <w:left w:w="100" w:type="dxa"/>
              <w:right w:w="100" w:type="dxa"/>
            </w:tcMar>
          </w:tcPr>
          <w:p>
            <w:pPr>
              <w:pStyle w:val="TableBody"/>
              <w:keepNext w:val="0"/>
            </w:pPr>
            <w:r>
              <w:rPr>
                <w:b w:val="0"/>
                <w:i w:val="0"/>
              </w:rPr>
              <w:t>Identify parts; trace local/host/peer paths; distinguish capacity, rate, latency, and evidence classes.</w:t>
            </w:r>
          </w:p>
        </w:tc>
        <w:tc>
          <w:tcPr>
            <w:tcW w:type="dxa" w:w="4090"/>
            <w:vAlign w:val="center"/>
            <w:shd w:fill="F0F4F6"/>
            <w:tcMar>
              <w:top w:w="65" w:type="dxa"/>
              <w:bottom w:w="65" w:type="dxa"/>
              <w:left w:w="100" w:type="dxa"/>
              <w:right w:w="100" w:type="dxa"/>
            </w:tcMar>
          </w:tcPr>
          <w:p>
            <w:pPr>
              <w:pStyle w:val="TableBody"/>
              <w:keepNext w:val="0"/>
            </w:pPr>
            <w:r>
              <w:rPr>
                <w:b w:val="0"/>
                <w:i w:val="0"/>
              </w:rPr>
              <w:t>Hardware owner reviews the three-layout map; critical unknowns have owners; one small causal test is reproducible.</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Month 3</w:t>
            </w:r>
          </w:p>
        </w:tc>
        <w:tc>
          <w:tcPr>
            <w:tcW w:type="dxa" w:w="3960"/>
            <w:vAlign w:val="center"/>
            <w:shd w:fill="FFFFFF"/>
            <w:tcMar>
              <w:top w:w="65" w:type="dxa"/>
              <w:bottom w:w="65" w:type="dxa"/>
              <w:left w:w="100" w:type="dxa"/>
              <w:right w:w="100" w:type="dxa"/>
            </w:tcMar>
          </w:tcPr>
          <w:p>
            <w:pPr>
              <w:pStyle w:val="TableBody"/>
              <w:keepNext w:val="0"/>
            </w:pPr>
            <w:r>
              <w:rPr>
                <w:b w:val="0"/>
                <w:i w:val="0"/>
              </w:rPr>
              <w:t>Explain an observed control and a modeled bottleneck; distinguish compute, NUMA, PCIe, and memory effects.</w:t>
            </w:r>
          </w:p>
        </w:tc>
        <w:tc>
          <w:tcPr>
            <w:tcW w:type="dxa" w:w="4090"/>
            <w:vAlign w:val="center"/>
            <w:shd w:fill="FFFFFF"/>
            <w:tcMar>
              <w:top w:w="65" w:type="dxa"/>
              <w:bottom w:w="65" w:type="dxa"/>
              <w:left w:w="100" w:type="dxa"/>
              <w:right w:w="100" w:type="dxa"/>
            </w:tcMar>
          </w:tcPr>
          <w:p>
            <w:pPr>
              <w:pStyle w:val="TableBody"/>
              <w:keepNext w:val="0"/>
            </w:pPr>
            <w:r>
              <w:rPr>
                <w:b w:val="0"/>
                <w:i w:val="0"/>
              </w:rPr>
              <w:t>Bounded comparison, negative control, source-linked profiles, and an internally accepted next-stage charter.</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Month 6</w:t>
            </w:r>
          </w:p>
        </w:tc>
        <w:tc>
          <w:tcPr>
            <w:tcW w:type="dxa" w:w="3960"/>
            <w:vAlign w:val="center"/>
            <w:shd w:fill="F0F4F6"/>
            <w:tcMar>
              <w:top w:w="65" w:type="dxa"/>
              <w:bottom w:w="65" w:type="dxa"/>
              <w:left w:w="100" w:type="dxa"/>
              <w:right w:w="100" w:type="dxa"/>
            </w:tcMar>
          </w:tcPr>
          <w:p>
            <w:pPr>
              <w:pStyle w:val="TableBody"/>
              <w:keepNext w:val="0"/>
            </w:pPr>
            <w:r>
              <w:rPr>
                <w:b w:val="0"/>
                <w:i w:val="0"/>
              </w:rPr>
              <w:t>Lead an architecture/OEM workshop; explain calibration limits and cost sensitivity; hand off a test package.</w:t>
            </w:r>
          </w:p>
        </w:tc>
        <w:tc>
          <w:tcPr>
            <w:tcW w:type="dxa" w:w="4090"/>
            <w:vAlign w:val="center"/>
            <w:shd w:fill="F0F4F6"/>
            <w:tcMar>
              <w:top w:w="65" w:type="dxa"/>
              <w:bottom w:w="65" w:type="dxa"/>
              <w:left w:w="100" w:type="dxa"/>
              <w:right w:w="100" w:type="dxa"/>
            </w:tcMar>
          </w:tcPr>
          <w:p>
            <w:pPr>
              <w:pStyle w:val="TableBody"/>
              <w:keepNext w:val="0"/>
            </w:pPr>
            <w:r>
              <w:rPr>
                <w:b w:val="0"/>
                <w:i w:val="0"/>
              </w:rPr>
              <w:t>Another engineer reproduces the package; product/architecture disposition major gaps; partner evaluation or blocker is documented.</w:t>
            </w:r>
          </w:p>
        </w:tc>
      </w:tr>
    </w:tbl>
    <w:p>
      <w:pPr>
        <w:spacing w:after="60" w:before="0" w:line="40" w:lineRule="exact"/>
      </w:pPr>
      <w:r>
        <w:rPr>
          <w:sz w:val="4"/>
        </w:rPr>
      </w:r>
    </w:p>
    <w:p>
      <w:pPr>
        <w:pStyle w:val="Heading2"/>
      </w:pPr>
      <w:r>
        <w:rPr>
          <w:b w:val="0"/>
          <w:i w:val="0"/>
        </w:rPr>
        <w:t>Annual outcomes retained from the original</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By August 2027</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What counts</w:t>
            </w:r>
          </w:p>
        </w:tc>
      </w:tr>
      <w:tr>
        <w:trPr>
          <w:cantSplit/>
        </w:trPr>
        <w:tc>
          <w:tcPr>
            <w:tcW w:type="dxa" w:w="3053"/>
            <w:vAlign w:val="center"/>
            <w:shd w:fill="F0F4F6"/>
            <w:tcMar>
              <w:top w:w="65" w:type="dxa"/>
              <w:bottom w:w="65" w:type="dxa"/>
              <w:left w:w="100" w:type="dxa"/>
              <w:right w:w="100" w:type="dxa"/>
            </w:tcMar>
          </w:tcPr>
          <w:p>
            <w:pPr>
              <w:pStyle w:val="TableBody"/>
              <w:keepNext w:val="0"/>
            </w:pPr>
            <w:r>
              <w:rPr>
                <w:b/>
                <w:i w:val="0"/>
              </w:rPr>
              <w:t>Architecture authority</w:t>
            </w:r>
          </w:p>
        </w:tc>
        <w:tc>
          <w:tcPr>
            <w:tcW w:type="dxa" w:w="7229"/>
            <w:vAlign w:val="center"/>
            <w:shd w:fill="F0F4F6"/>
            <w:tcMar>
              <w:top w:w="65" w:type="dxa"/>
              <w:bottom w:w="65" w:type="dxa"/>
              <w:left w:w="100" w:type="dxa"/>
              <w:right w:w="100" w:type="dxa"/>
            </w:tcMar>
          </w:tcPr>
          <w:p>
            <w:pPr>
              <w:pStyle w:val="TableBody"/>
              <w:keepNext w:val="0"/>
            </w:pPr>
            <w:r>
              <w:rPr>
                <w:b w:val="0"/>
                <w:i w:val="0"/>
              </w:rPr>
              <w:t>Five approved, evidence-linked reference packages used by field or product.</w:t>
            </w:r>
          </w:p>
        </w:tc>
      </w:tr>
      <w:tr>
        <w:trPr>
          <w:cantSplit/>
        </w:trPr>
        <w:tc>
          <w:tcPr>
            <w:tcW w:type="dxa" w:w="3053"/>
            <w:vAlign w:val="center"/>
            <w:shd w:fill="FFFFFF"/>
            <w:tcMar>
              <w:top w:w="65" w:type="dxa"/>
              <w:bottom w:w="65" w:type="dxa"/>
              <w:left w:w="100" w:type="dxa"/>
              <w:right w:w="100" w:type="dxa"/>
            </w:tcMar>
          </w:tcPr>
          <w:p>
            <w:pPr>
              <w:pStyle w:val="TableBody"/>
              <w:keepNext w:val="0"/>
            </w:pPr>
            <w:r>
              <w:rPr>
                <w:b/>
                <w:i w:val="0"/>
              </w:rPr>
              <w:t>Technical/software contribution</w:t>
            </w:r>
          </w:p>
        </w:tc>
        <w:tc>
          <w:tcPr>
            <w:tcW w:type="dxa" w:w="7229"/>
            <w:vAlign w:val="center"/>
            <w:shd w:fill="FFFFFF"/>
            <w:tcMar>
              <w:top w:w="65" w:type="dxa"/>
              <w:bottom w:w="65" w:type="dxa"/>
              <w:left w:w="100" w:type="dxa"/>
              <w:right w:w="100" w:type="dxa"/>
            </w:tcMar>
          </w:tcPr>
          <w:p>
            <w:pPr>
              <w:pStyle w:val="TableBody"/>
              <w:keepNext w:val="0"/>
            </w:pPr>
            <w:r>
              <w:rPr>
                <w:b w:val="0"/>
                <w:i w:val="0"/>
              </w:rPr>
              <w:t>Repeatable Virtual ATMOS capability, maintained placement policy, and at least one runtime path or accepted handoff.</w:t>
            </w:r>
          </w:p>
        </w:tc>
      </w:tr>
      <w:tr>
        <w:trPr>
          <w:cantSplit/>
        </w:trPr>
        <w:tc>
          <w:tcPr>
            <w:tcW w:type="dxa" w:w="3053"/>
            <w:vAlign w:val="center"/>
            <w:shd w:fill="F0F4F6"/>
            <w:tcMar>
              <w:top w:w="65" w:type="dxa"/>
              <w:bottom w:w="65" w:type="dxa"/>
              <w:left w:w="100" w:type="dxa"/>
              <w:right w:w="100" w:type="dxa"/>
            </w:tcMar>
          </w:tcPr>
          <w:p>
            <w:pPr>
              <w:pStyle w:val="TableBody"/>
              <w:keepNext w:val="0"/>
            </w:pPr>
            <w:r>
              <w:rPr>
                <w:b/>
                <w:i w:val="0"/>
              </w:rPr>
              <w:t>Customer traction</w:t>
            </w:r>
          </w:p>
        </w:tc>
        <w:tc>
          <w:tcPr>
            <w:tcW w:type="dxa" w:w="7229"/>
            <w:vAlign w:val="center"/>
            <w:shd w:fill="F0F4F6"/>
            <w:tcMar>
              <w:top w:w="65" w:type="dxa"/>
              <w:bottom w:w="65" w:type="dxa"/>
              <w:left w:w="100" w:type="dxa"/>
              <w:right w:w="100" w:type="dxa"/>
            </w:tcMar>
          </w:tcPr>
          <w:p>
            <w:pPr>
              <w:pStyle w:val="TableBody"/>
              <w:keepNext w:val="0"/>
            </w:pPr>
            <w:r>
              <w:rPr>
                <w:b w:val="0"/>
                <w:i w:val="0"/>
              </w:rPr>
              <w:t>Three qualified evaluations, two executed POCs, and one design-partner/platform-shortlist decision, subject to external dependencies.</w:t>
            </w:r>
          </w:p>
        </w:tc>
      </w:tr>
      <w:tr>
        <w:trPr>
          <w:cantSplit/>
        </w:trPr>
        <w:tc>
          <w:tcPr>
            <w:tcW w:type="dxa" w:w="3053"/>
            <w:vAlign w:val="center"/>
            <w:shd w:fill="FFFFFF"/>
            <w:tcMar>
              <w:top w:w="65" w:type="dxa"/>
              <w:bottom w:w="65" w:type="dxa"/>
              <w:left w:w="100" w:type="dxa"/>
              <w:right w:w="100" w:type="dxa"/>
            </w:tcMar>
          </w:tcPr>
          <w:p>
            <w:pPr>
              <w:pStyle w:val="TableBody"/>
              <w:keepNext w:val="0"/>
            </w:pPr>
            <w:r>
              <w:rPr>
                <w:b/>
                <w:i w:val="0"/>
              </w:rPr>
              <w:t>Product and field impact</w:t>
            </w:r>
          </w:p>
        </w:tc>
        <w:tc>
          <w:tcPr>
            <w:tcW w:type="dxa" w:w="7229"/>
            <w:vAlign w:val="center"/>
            <w:shd w:fill="FFFFFF"/>
            <w:tcMar>
              <w:top w:w="65" w:type="dxa"/>
              <w:bottom w:w="65" w:type="dxa"/>
              <w:left w:w="100" w:type="dxa"/>
              <w:right w:w="100" w:type="dxa"/>
            </w:tcMar>
          </w:tcPr>
          <w:p>
            <w:pPr>
              <w:pStyle w:val="TableBody"/>
              <w:keepNext w:val="0"/>
            </w:pPr>
            <w:r>
              <w:rPr>
                <w:b w:val="0"/>
                <w:i w:val="0"/>
              </w:rPr>
              <w:t>Prioritized requirements with dispositions; discovery, sizing, POC, and enablement tools adopted by others.</w:t>
            </w:r>
          </w:p>
        </w:tc>
      </w:tr>
      <w:tr>
        <w:trPr>
          <w:cantSplit/>
        </w:trPr>
        <w:tc>
          <w:tcPr>
            <w:tcW w:type="dxa" w:w="3053"/>
            <w:vAlign w:val="center"/>
            <w:shd w:fill="F0F4F6"/>
            <w:tcMar>
              <w:top w:w="65" w:type="dxa"/>
              <w:bottom w:w="65" w:type="dxa"/>
              <w:left w:w="100" w:type="dxa"/>
              <w:right w:w="100" w:type="dxa"/>
            </w:tcMar>
          </w:tcPr>
          <w:p>
            <w:pPr>
              <w:pStyle w:val="TableBody"/>
              <w:keepNext w:val="0"/>
            </w:pPr>
            <w:r>
              <w:rPr>
                <w:b/>
                <w:i w:val="0"/>
              </w:rPr>
              <w:t>Executive and personal impact</w:t>
            </w:r>
          </w:p>
        </w:tc>
        <w:tc>
          <w:tcPr>
            <w:tcW w:type="dxa" w:w="7229"/>
            <w:vAlign w:val="center"/>
            <w:shd w:fill="F0F4F6"/>
            <w:tcMar>
              <w:top w:w="65" w:type="dxa"/>
              <w:bottom w:w="65" w:type="dxa"/>
              <w:left w:w="100" w:type="dxa"/>
              <w:right w:w="100" w:type="dxa"/>
            </w:tcMar>
          </w:tcPr>
          <w:p>
            <w:pPr>
              <w:pStyle w:val="TableBody"/>
              <w:keepNext w:val="0"/>
            </w:pPr>
            <w:r>
              <w:rPr>
                <w:b w:val="0"/>
                <w:i w:val="0"/>
              </w:rPr>
              <w:t>Monthly memos and quarterly decisions; cross-functional feedback and evidence of increasing responsibility.</w:t>
            </w:r>
          </w:p>
        </w:tc>
      </w:tr>
    </w:tbl>
    <w:p>
      <w:pPr>
        <w:spacing w:after="60" w:before="0" w:line="40" w:lineRule="exact"/>
      </w:pPr>
      <w:r>
        <w:rPr>
          <w:sz w:val="4"/>
        </w:rPr>
      </w:r>
    </w:p>
    <w:p>
      <w:r>
        <w:rPr>
          <w:b/>
          <w:i w:val="0"/>
        </w:rPr>
        <w:t>Operating rules:</w:t>
      </w:r>
      <w:r>
        <w:rPr>
          <w:b w:val="0"/>
          <w:i w:val="0"/>
        </w:rPr>
        <w:t xml:space="preserve"> preserve confidentiality; never relabel projections as measurements; agree POC gates before results; close meetings with owner/date; preview material with Raj; protect deep work; stop work with no useful decision or reusable output. </w:t>
      </w:r>
      <w:r>
        <w:rPr>
          <w:b w:val="0"/>
          <w:i w:val="0"/>
        </w:rPr>
        <w:t>[</w:t>
      </w:r>
      <w:r>
        <w:rPr>
          <w:b w:val="0"/>
          <w:i w:val="0"/>
        </w:rPr>
        <w:t>S1 §2]</w:t>
      </w:r>
    </w:p>
    <w:p>
      <w:r>
        <w:br w:type="page"/>
      </w:r>
    </w:p>
    <w:p>
      <w:pPr>
        <w:pStyle w:val="Kicker"/>
        <w:spacing w:after="140"/>
      </w:pPr>
      <w:r>
        <w:t>PLAN  •  EVIDENCE  •  DECISIONS</w:t>
      </w:r>
    </w:p>
    <w:p>
      <w:bookmarkStart w:id="8" w:name="page_5"/>
      <w:bookmarkStart w:id="7" w:name="sec_3"/>
      <w:pPr>
        <w:pStyle w:val="Heading1"/>
      </w:pPr>
      <w:r>
        <w:t>3. Time budget, support, and trade-offs</w:t>
      </w:r>
      <w:bookmarkEnd w:id="7"/>
      <w:bookmarkEnd w:id="8"/>
    </w:p>
    <w:p>
      <w:r>
        <w:rPr>
          <w:b w:val="0"/>
          <w:i w:val="0"/>
        </w:rPr>
        <w:t xml:space="preserve">The original allocation was 20/30/20/15/10/5 percent across the six portfolios below. Increase foundational learning temporarily rather than trying to add it on top of a full build schedule. </w:t>
      </w:r>
      <w:r>
        <w:rPr>
          <w:b w:val="0"/>
          <w:i w:val="0"/>
        </w:rPr>
        <w:t>[</w:t>
      </w:r>
      <w:r>
        <w:rPr>
          <w:b w:val="0"/>
          <w:i w:val="0"/>
        </w:rPr>
        <w:t>S1 §3]</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816"/>
        <w:gridCol w:w="2160"/>
        <w:gridCol w:w="2160"/>
        <w:gridCol w:w="2146"/>
      </w:tblGrid>
      <w:tr>
        <w:trPr>
          <w:cantSplit/>
          <w:tblHeader w:val="true"/>
        </w:trPr>
        <w:tc>
          <w:tcPr>
            <w:tcW w:type="dxa" w:w="3816"/>
            <w:vAlign w:val="center"/>
            <w:shd w:fill="173047"/>
            <w:tcMar>
              <w:top w:w="65" w:type="dxa"/>
              <w:bottom w:w="65" w:type="dxa"/>
              <w:left w:w="100" w:type="dxa"/>
              <w:right w:w="100" w:type="dxa"/>
            </w:tcMar>
          </w:tcPr>
          <w:p>
            <w:pPr>
              <w:pStyle w:val="TableHead"/>
              <w:keepNext w:val="0"/>
            </w:pPr>
            <w:r>
              <w:rPr>
                <w:b/>
                <w:i w:val="0"/>
                <w:color w:val="FFFFFF"/>
              </w:rPr>
              <w:t>Portfolio</w:t>
            </w:r>
          </w:p>
        </w:tc>
        <w:tc>
          <w:tcPr>
            <w:tcW w:type="dxa" w:w="2160"/>
            <w:vAlign w:val="center"/>
            <w:shd w:fill="173047"/>
            <w:tcMar>
              <w:top w:w="65" w:type="dxa"/>
              <w:bottom w:w="65" w:type="dxa"/>
              <w:left w:w="100" w:type="dxa"/>
              <w:right w:w="100" w:type="dxa"/>
            </w:tcMar>
          </w:tcPr>
          <w:p>
            <w:pPr>
              <w:pStyle w:val="TableHead"/>
              <w:keepNext w:val="0"/>
            </w:pPr>
            <w:r>
              <w:rPr>
                <w:b/>
                <w:i w:val="0"/>
                <w:color w:val="FFFFFF"/>
              </w:rPr>
              <w:t>Month 1</w:t>
            </w:r>
          </w:p>
        </w:tc>
        <w:tc>
          <w:tcPr>
            <w:tcW w:type="dxa" w:w="2160"/>
            <w:vAlign w:val="center"/>
            <w:shd w:fill="173047"/>
            <w:tcMar>
              <w:top w:w="65" w:type="dxa"/>
              <w:bottom w:w="65" w:type="dxa"/>
              <w:left w:w="100" w:type="dxa"/>
              <w:right w:w="100" w:type="dxa"/>
            </w:tcMar>
          </w:tcPr>
          <w:p>
            <w:pPr>
              <w:pStyle w:val="TableHead"/>
              <w:keepNext w:val="0"/>
            </w:pPr>
            <w:r>
              <w:rPr>
                <w:b/>
                <w:i w:val="0"/>
                <w:color w:val="FFFFFF"/>
              </w:rPr>
              <w:t>Months 2–3</w:t>
            </w:r>
          </w:p>
        </w:tc>
        <w:tc>
          <w:tcPr>
            <w:tcW w:type="dxa" w:w="2146"/>
            <w:vAlign w:val="center"/>
            <w:shd w:fill="173047"/>
            <w:tcMar>
              <w:top w:w="65" w:type="dxa"/>
              <w:bottom w:w="65" w:type="dxa"/>
              <w:left w:w="100" w:type="dxa"/>
              <w:right w:w="100" w:type="dxa"/>
            </w:tcMar>
          </w:tcPr>
          <w:p>
            <w:pPr>
              <w:pStyle w:val="TableHead"/>
              <w:keepNext w:val="0"/>
            </w:pPr>
            <w:r>
              <w:rPr>
                <w:b/>
                <w:i w:val="0"/>
                <w:color w:val="FFFFFF"/>
              </w:rPr>
              <w:t>Months 4–6</w:t>
            </w:r>
          </w:p>
        </w:tc>
      </w:tr>
      <w:tr>
        <w:trPr>
          <w:cantSplit/>
        </w:trPr>
        <w:tc>
          <w:tcPr>
            <w:tcW w:type="dxa" w:w="3816"/>
            <w:vAlign w:val="center"/>
            <w:shd w:fill="F0F4F6"/>
            <w:tcMar>
              <w:top w:w="65" w:type="dxa"/>
              <w:bottom w:w="65" w:type="dxa"/>
              <w:left w:w="100" w:type="dxa"/>
              <w:right w:w="100" w:type="dxa"/>
            </w:tcMar>
          </w:tcPr>
          <w:p>
            <w:pPr>
              <w:pStyle w:val="TableBody"/>
              <w:keepNext w:val="0"/>
            </w:pPr>
            <w:r>
              <w:rPr>
                <w:b w:val="0"/>
                <w:i w:val="0"/>
              </w:rPr>
              <w:t>Learning and applied architecture</w:t>
            </w:r>
          </w:p>
        </w:tc>
        <w:tc>
          <w:tcPr>
            <w:tcW w:type="dxa" w:w="2160"/>
            <w:vAlign w:val="center"/>
            <w:shd w:fill="F0F4F6"/>
            <w:tcMar>
              <w:top w:w="65" w:type="dxa"/>
              <w:bottom w:w="65" w:type="dxa"/>
              <w:left w:w="100" w:type="dxa"/>
              <w:right w:w="100" w:type="dxa"/>
            </w:tcMar>
          </w:tcPr>
          <w:p>
            <w:pPr>
              <w:pStyle w:val="TableBody"/>
              <w:keepNext w:val="0"/>
            </w:pPr>
            <w:r>
              <w:rPr>
                <w:b w:val="0"/>
                <w:i w:val="0"/>
              </w:rPr>
              <w:t>35% / 14 h</w:t>
            </w:r>
          </w:p>
        </w:tc>
        <w:tc>
          <w:tcPr>
            <w:tcW w:type="dxa" w:w="2160"/>
            <w:vAlign w:val="center"/>
            <w:shd w:fill="F0F4F6"/>
            <w:tcMar>
              <w:top w:w="65" w:type="dxa"/>
              <w:bottom w:w="65" w:type="dxa"/>
              <w:left w:w="100" w:type="dxa"/>
              <w:right w:w="100" w:type="dxa"/>
            </w:tcMar>
          </w:tcPr>
          <w:p>
            <w:pPr>
              <w:pStyle w:val="TableBody"/>
              <w:keepNext w:val="0"/>
            </w:pPr>
            <w:r>
              <w:rPr>
                <w:b w:val="0"/>
                <w:i w:val="0"/>
              </w:rPr>
              <w:t>20% / 8 h</w:t>
            </w:r>
          </w:p>
        </w:tc>
        <w:tc>
          <w:tcPr>
            <w:tcW w:type="dxa" w:w="2146"/>
            <w:vAlign w:val="center"/>
            <w:shd w:fill="F0F4F6"/>
            <w:tcMar>
              <w:top w:w="65" w:type="dxa"/>
              <w:bottom w:w="65" w:type="dxa"/>
              <w:left w:w="100" w:type="dxa"/>
              <w:right w:w="100" w:type="dxa"/>
            </w:tcMar>
          </w:tcPr>
          <w:p>
            <w:pPr>
              <w:pStyle w:val="TableBody"/>
              <w:keepNext w:val="0"/>
            </w:pPr>
            <w:r>
              <w:rPr>
                <w:b w:val="0"/>
                <w:i w:val="0"/>
              </w:rPr>
              <w:t>15% / 6 h</w:t>
            </w:r>
          </w:p>
        </w:tc>
      </w:tr>
      <w:tr>
        <w:trPr>
          <w:cantSplit/>
        </w:trPr>
        <w:tc>
          <w:tcPr>
            <w:tcW w:type="dxa" w:w="3816"/>
            <w:vAlign w:val="center"/>
            <w:shd w:fill="FFFFFF"/>
            <w:tcMar>
              <w:top w:w="65" w:type="dxa"/>
              <w:bottom w:w="65" w:type="dxa"/>
              <w:left w:w="100" w:type="dxa"/>
              <w:right w:w="100" w:type="dxa"/>
            </w:tcMar>
          </w:tcPr>
          <w:p>
            <w:pPr>
              <w:pStyle w:val="TableBody"/>
              <w:keepNext w:val="0"/>
            </w:pPr>
            <w:r>
              <w:rPr>
                <w:b w:val="0"/>
                <w:i w:val="0"/>
              </w:rPr>
              <w:t>Code, modeling, tests, measurements</w:t>
            </w:r>
          </w:p>
        </w:tc>
        <w:tc>
          <w:tcPr>
            <w:tcW w:type="dxa" w:w="2160"/>
            <w:vAlign w:val="center"/>
            <w:shd w:fill="FFFFFF"/>
            <w:tcMar>
              <w:top w:w="65" w:type="dxa"/>
              <w:bottom w:w="65" w:type="dxa"/>
              <w:left w:w="100" w:type="dxa"/>
              <w:right w:w="100" w:type="dxa"/>
            </w:tcMar>
          </w:tcPr>
          <w:p>
            <w:pPr>
              <w:pStyle w:val="TableBody"/>
              <w:keepNext w:val="0"/>
            </w:pPr>
            <w:r>
              <w:rPr>
                <w:b w:val="0"/>
                <w:i w:val="0"/>
              </w:rPr>
              <w:t>25% / 10 h</w:t>
            </w:r>
          </w:p>
        </w:tc>
        <w:tc>
          <w:tcPr>
            <w:tcW w:type="dxa" w:w="2160"/>
            <w:vAlign w:val="center"/>
            <w:shd w:fill="FFFFFF"/>
            <w:tcMar>
              <w:top w:w="65" w:type="dxa"/>
              <w:bottom w:w="65" w:type="dxa"/>
              <w:left w:w="100" w:type="dxa"/>
              <w:right w:w="100" w:type="dxa"/>
            </w:tcMar>
          </w:tcPr>
          <w:p>
            <w:pPr>
              <w:pStyle w:val="TableBody"/>
              <w:keepNext w:val="0"/>
            </w:pPr>
            <w:r>
              <w:rPr>
                <w:b w:val="0"/>
                <w:i w:val="0"/>
              </w:rPr>
              <w:t>35% / 14 h</w:t>
            </w:r>
          </w:p>
        </w:tc>
        <w:tc>
          <w:tcPr>
            <w:tcW w:type="dxa" w:w="2146"/>
            <w:vAlign w:val="center"/>
            <w:shd w:fill="FFFFFF"/>
            <w:tcMar>
              <w:top w:w="65" w:type="dxa"/>
              <w:bottom w:w="65" w:type="dxa"/>
              <w:left w:w="100" w:type="dxa"/>
              <w:right w:w="100" w:type="dxa"/>
            </w:tcMar>
          </w:tcPr>
          <w:p>
            <w:pPr>
              <w:pStyle w:val="TableBody"/>
              <w:keepNext w:val="0"/>
            </w:pPr>
            <w:r>
              <w:rPr>
                <w:b w:val="0"/>
                <w:i w:val="0"/>
              </w:rPr>
              <w:t>35% / 14 h</w:t>
            </w:r>
          </w:p>
        </w:tc>
      </w:tr>
      <w:tr>
        <w:trPr>
          <w:cantSplit/>
        </w:trPr>
        <w:tc>
          <w:tcPr>
            <w:tcW w:type="dxa" w:w="3816"/>
            <w:vAlign w:val="center"/>
            <w:shd w:fill="F0F4F6"/>
            <w:tcMar>
              <w:top w:w="65" w:type="dxa"/>
              <w:bottom w:w="65" w:type="dxa"/>
              <w:left w:w="100" w:type="dxa"/>
              <w:right w:w="100" w:type="dxa"/>
            </w:tcMar>
          </w:tcPr>
          <w:p>
            <w:pPr>
              <w:pStyle w:val="TableBody"/>
              <w:keepNext w:val="0"/>
            </w:pPr>
            <w:r>
              <w:rPr>
                <w:b w:val="0"/>
                <w:i w:val="0"/>
              </w:rPr>
              <w:t>Customer, field, partner preparation</w:t>
            </w:r>
          </w:p>
        </w:tc>
        <w:tc>
          <w:tcPr>
            <w:tcW w:type="dxa" w:w="2160"/>
            <w:vAlign w:val="center"/>
            <w:shd w:fill="F0F4F6"/>
            <w:tcMar>
              <w:top w:w="65" w:type="dxa"/>
              <w:bottom w:w="65" w:type="dxa"/>
              <w:left w:w="100" w:type="dxa"/>
              <w:right w:w="100" w:type="dxa"/>
            </w:tcMar>
          </w:tcPr>
          <w:p>
            <w:pPr>
              <w:pStyle w:val="TableBody"/>
              <w:keepNext w:val="0"/>
            </w:pPr>
            <w:r>
              <w:rPr>
                <w:b w:val="0"/>
                <w:i w:val="0"/>
              </w:rPr>
              <w:t>10% / 4 h</w:t>
            </w:r>
          </w:p>
        </w:tc>
        <w:tc>
          <w:tcPr>
            <w:tcW w:type="dxa" w:w="2160"/>
            <w:vAlign w:val="center"/>
            <w:shd w:fill="F0F4F6"/>
            <w:tcMar>
              <w:top w:w="65" w:type="dxa"/>
              <w:bottom w:w="65" w:type="dxa"/>
              <w:left w:w="100" w:type="dxa"/>
              <w:right w:w="100" w:type="dxa"/>
            </w:tcMar>
          </w:tcPr>
          <w:p>
            <w:pPr>
              <w:pStyle w:val="TableBody"/>
              <w:keepNext w:val="0"/>
            </w:pPr>
            <w:r>
              <w:rPr>
                <w:b w:val="0"/>
                <w:i w:val="0"/>
              </w:rPr>
              <w:t>15% / 6 h</w:t>
            </w:r>
          </w:p>
        </w:tc>
        <w:tc>
          <w:tcPr>
            <w:tcW w:type="dxa" w:w="2146"/>
            <w:vAlign w:val="center"/>
            <w:shd w:fill="F0F4F6"/>
            <w:tcMar>
              <w:top w:w="65" w:type="dxa"/>
              <w:bottom w:w="65" w:type="dxa"/>
              <w:left w:w="100" w:type="dxa"/>
              <w:right w:w="100" w:type="dxa"/>
            </w:tcMar>
          </w:tcPr>
          <w:p>
            <w:pPr>
              <w:pStyle w:val="TableBody"/>
              <w:keepNext w:val="0"/>
            </w:pPr>
            <w:r>
              <w:rPr>
                <w:b w:val="0"/>
                <w:i w:val="0"/>
              </w:rPr>
              <w:t>20% / 8 h</w:t>
            </w:r>
          </w:p>
        </w:tc>
      </w:tr>
      <w:tr>
        <w:trPr>
          <w:cantSplit/>
        </w:trPr>
        <w:tc>
          <w:tcPr>
            <w:tcW w:type="dxa" w:w="3816"/>
            <w:vAlign w:val="center"/>
            <w:shd w:fill="FFFFFF"/>
            <w:tcMar>
              <w:top w:w="65" w:type="dxa"/>
              <w:bottom w:w="65" w:type="dxa"/>
              <w:left w:w="100" w:type="dxa"/>
              <w:right w:w="100" w:type="dxa"/>
            </w:tcMar>
          </w:tcPr>
          <w:p>
            <w:pPr>
              <w:pStyle w:val="TableBody"/>
              <w:keepNext w:val="0"/>
            </w:pPr>
            <w:r>
              <w:rPr>
                <w:b w:val="0"/>
                <w:i w:val="0"/>
              </w:rPr>
              <w:t>Product and engineering decisions</w:t>
            </w:r>
          </w:p>
        </w:tc>
        <w:tc>
          <w:tcPr>
            <w:tcW w:type="dxa" w:w="2160"/>
            <w:vAlign w:val="center"/>
            <w:shd w:fill="FFFFFF"/>
            <w:tcMar>
              <w:top w:w="65" w:type="dxa"/>
              <w:bottom w:w="65" w:type="dxa"/>
              <w:left w:w="100" w:type="dxa"/>
              <w:right w:w="100" w:type="dxa"/>
            </w:tcMar>
          </w:tcPr>
          <w:p>
            <w:pPr>
              <w:pStyle w:val="TableBody"/>
              <w:keepNext w:val="0"/>
            </w:pPr>
            <w:r>
              <w:rPr>
                <w:b w:val="0"/>
                <w:i w:val="0"/>
              </w:rPr>
              <w:t>15% / 6 h</w:t>
            </w:r>
          </w:p>
        </w:tc>
        <w:tc>
          <w:tcPr>
            <w:tcW w:type="dxa" w:w="2160"/>
            <w:vAlign w:val="center"/>
            <w:shd w:fill="FFFFFF"/>
            <w:tcMar>
              <w:top w:w="65" w:type="dxa"/>
              <w:bottom w:w="65" w:type="dxa"/>
              <w:left w:w="100" w:type="dxa"/>
              <w:right w:w="100" w:type="dxa"/>
            </w:tcMar>
          </w:tcPr>
          <w:p>
            <w:pPr>
              <w:pStyle w:val="TableBody"/>
              <w:keepNext w:val="0"/>
            </w:pPr>
            <w:r>
              <w:rPr>
                <w:b w:val="0"/>
                <w:i w:val="0"/>
              </w:rPr>
              <w:t>15% / 6 h</w:t>
            </w:r>
          </w:p>
        </w:tc>
        <w:tc>
          <w:tcPr>
            <w:tcW w:type="dxa" w:w="2146"/>
            <w:vAlign w:val="center"/>
            <w:shd w:fill="FFFFFF"/>
            <w:tcMar>
              <w:top w:w="65" w:type="dxa"/>
              <w:bottom w:w="65" w:type="dxa"/>
              <w:left w:w="100" w:type="dxa"/>
              <w:right w:w="100" w:type="dxa"/>
            </w:tcMar>
          </w:tcPr>
          <w:p>
            <w:pPr>
              <w:pStyle w:val="TableBody"/>
              <w:keepNext w:val="0"/>
            </w:pPr>
            <w:r>
              <w:rPr>
                <w:b w:val="0"/>
                <w:i w:val="0"/>
              </w:rPr>
              <w:t>15% / 6 h</w:t>
            </w:r>
          </w:p>
        </w:tc>
      </w:tr>
      <w:tr>
        <w:trPr>
          <w:cantSplit/>
        </w:trPr>
        <w:tc>
          <w:tcPr>
            <w:tcW w:type="dxa" w:w="3816"/>
            <w:vAlign w:val="center"/>
            <w:shd w:fill="F0F4F6"/>
            <w:tcMar>
              <w:top w:w="65" w:type="dxa"/>
              <w:bottom w:w="65" w:type="dxa"/>
              <w:left w:w="100" w:type="dxa"/>
              <w:right w:w="100" w:type="dxa"/>
            </w:tcMar>
          </w:tcPr>
          <w:p>
            <w:pPr>
              <w:pStyle w:val="TableBody"/>
              <w:keepNext w:val="0"/>
            </w:pPr>
            <w:r>
              <w:rPr>
                <w:b w:val="0"/>
                <w:i w:val="0"/>
              </w:rPr>
              <w:t>Reports, runbooks, enablement</w:t>
            </w:r>
          </w:p>
        </w:tc>
        <w:tc>
          <w:tcPr>
            <w:tcW w:type="dxa" w:w="2160"/>
            <w:vAlign w:val="center"/>
            <w:shd w:fill="F0F4F6"/>
            <w:tcMar>
              <w:top w:w="65" w:type="dxa"/>
              <w:bottom w:w="65" w:type="dxa"/>
              <w:left w:w="100" w:type="dxa"/>
              <w:right w:w="100" w:type="dxa"/>
            </w:tcMar>
          </w:tcPr>
          <w:p>
            <w:pPr>
              <w:pStyle w:val="TableBody"/>
              <w:keepNext w:val="0"/>
            </w:pPr>
            <w:r>
              <w:rPr>
                <w:b w:val="0"/>
                <w:i w:val="0"/>
              </w:rPr>
              <w:t>10% / 4 h</w:t>
            </w:r>
          </w:p>
        </w:tc>
        <w:tc>
          <w:tcPr>
            <w:tcW w:type="dxa" w:w="2160"/>
            <w:vAlign w:val="center"/>
            <w:shd w:fill="F0F4F6"/>
            <w:tcMar>
              <w:top w:w="65" w:type="dxa"/>
              <w:bottom w:w="65" w:type="dxa"/>
              <w:left w:w="100" w:type="dxa"/>
              <w:right w:w="100" w:type="dxa"/>
            </w:tcMar>
          </w:tcPr>
          <w:p>
            <w:pPr>
              <w:pStyle w:val="TableBody"/>
              <w:keepNext w:val="0"/>
            </w:pPr>
            <w:r>
              <w:rPr>
                <w:b w:val="0"/>
                <w:i w:val="0"/>
              </w:rPr>
              <w:t>10% / 4 h</w:t>
            </w:r>
          </w:p>
        </w:tc>
        <w:tc>
          <w:tcPr>
            <w:tcW w:type="dxa" w:w="2146"/>
            <w:vAlign w:val="center"/>
            <w:shd w:fill="F0F4F6"/>
            <w:tcMar>
              <w:top w:w="65" w:type="dxa"/>
              <w:bottom w:w="65" w:type="dxa"/>
              <w:left w:w="100" w:type="dxa"/>
              <w:right w:w="100" w:type="dxa"/>
            </w:tcMar>
          </w:tcPr>
          <w:p>
            <w:pPr>
              <w:pStyle w:val="TableBody"/>
              <w:keepNext w:val="0"/>
            </w:pPr>
            <w:r>
              <w:rPr>
                <w:b w:val="0"/>
                <w:i w:val="0"/>
              </w:rPr>
              <w:t>10% / 4 h</w:t>
            </w:r>
          </w:p>
        </w:tc>
      </w:tr>
      <w:tr>
        <w:trPr>
          <w:cantSplit/>
        </w:trPr>
        <w:tc>
          <w:tcPr>
            <w:tcW w:type="dxa" w:w="3816"/>
            <w:vAlign w:val="center"/>
            <w:shd w:fill="FFFFFF"/>
            <w:tcMar>
              <w:top w:w="65" w:type="dxa"/>
              <w:bottom w:w="65" w:type="dxa"/>
              <w:left w:w="100" w:type="dxa"/>
              <w:right w:w="100" w:type="dxa"/>
            </w:tcMar>
          </w:tcPr>
          <w:p>
            <w:pPr>
              <w:pStyle w:val="TableBody"/>
              <w:keepNext w:val="0"/>
            </w:pPr>
            <w:r>
              <w:rPr>
                <w:b w:val="0"/>
                <w:i w:val="0"/>
              </w:rPr>
              <w:t>Mentoring, feedback, impact record</w:t>
            </w:r>
          </w:p>
        </w:tc>
        <w:tc>
          <w:tcPr>
            <w:tcW w:type="dxa" w:w="2160"/>
            <w:vAlign w:val="center"/>
            <w:shd w:fill="FFFFFF"/>
            <w:tcMar>
              <w:top w:w="65" w:type="dxa"/>
              <w:bottom w:w="65" w:type="dxa"/>
              <w:left w:w="100" w:type="dxa"/>
              <w:right w:w="100" w:type="dxa"/>
            </w:tcMar>
          </w:tcPr>
          <w:p>
            <w:pPr>
              <w:pStyle w:val="TableBody"/>
              <w:keepNext w:val="0"/>
            </w:pPr>
            <w:r>
              <w:rPr>
                <w:b w:val="0"/>
                <w:i w:val="0"/>
              </w:rPr>
              <w:t>5% / 2 h</w:t>
            </w:r>
          </w:p>
        </w:tc>
        <w:tc>
          <w:tcPr>
            <w:tcW w:type="dxa" w:w="2160"/>
            <w:vAlign w:val="center"/>
            <w:shd w:fill="FFFFFF"/>
            <w:tcMar>
              <w:top w:w="65" w:type="dxa"/>
              <w:bottom w:w="65" w:type="dxa"/>
              <w:left w:w="100" w:type="dxa"/>
              <w:right w:w="100" w:type="dxa"/>
            </w:tcMar>
          </w:tcPr>
          <w:p>
            <w:pPr>
              <w:pStyle w:val="TableBody"/>
              <w:keepNext w:val="0"/>
            </w:pPr>
            <w:r>
              <w:rPr>
                <w:b w:val="0"/>
                <w:i w:val="0"/>
              </w:rPr>
              <w:t>5% / 2 h</w:t>
            </w:r>
          </w:p>
        </w:tc>
        <w:tc>
          <w:tcPr>
            <w:tcW w:type="dxa" w:w="2146"/>
            <w:vAlign w:val="center"/>
            <w:shd w:fill="FFFFFF"/>
            <w:tcMar>
              <w:top w:w="65" w:type="dxa"/>
              <w:bottom w:w="65" w:type="dxa"/>
              <w:left w:w="100" w:type="dxa"/>
              <w:right w:w="100" w:type="dxa"/>
            </w:tcMar>
          </w:tcPr>
          <w:p>
            <w:pPr>
              <w:pStyle w:val="TableBody"/>
              <w:keepNext w:val="0"/>
            </w:pPr>
            <w:r>
              <w:rPr>
                <w:b w:val="0"/>
                <w:i w:val="0"/>
              </w:rPr>
              <w:t>5% / 2 h</w:t>
            </w:r>
          </w:p>
        </w:tc>
      </w:tr>
    </w:tbl>
    <w:p>
      <w:pPr>
        <w:spacing w:after="60" w:before="0" w:line="40" w:lineRule="exact"/>
      </w:pPr>
      <w:r>
        <w:rPr>
          <w:sz w:val="4"/>
        </w:rPr>
      </w:r>
    </w:p>
    <w:p>
      <w:r>
        <w:rPr>
          <w:b w:val="0"/>
          <w:i w:val="0"/>
        </w:rPr>
        <w:t xml:space="preserve">This is one </w:t>
      </w:r>
      <w:r>
        <w:rPr>
          <w:b/>
          <w:i w:val="0"/>
        </w:rPr>
        <w:t>40-hour planning week</w:t>
      </w:r>
      <w:r>
        <w:rPr>
          <w:b w:val="0"/>
          <w:i w:val="0"/>
        </w:rPr>
        <w:t>, not extra evening work. Commit about 32 hours to named deliverables and leave 8 hours within these allocations for interruptions and review. Keep at most three major outcomes active: evidence/build, architecture/product, and partner/customer.</w:t>
      </w:r>
    </w:p>
    <w:p>
      <w:pPr>
        <w:pStyle w:val="Heading2"/>
      </w:pPr>
      <w:r>
        <w:rPr>
          <w:b w:val="0"/>
          <w:i w:val="0"/>
        </w:rPr>
        <w:t>Staffing dependency</w:t>
      </w:r>
    </w:p>
    <w:p>
      <w:r>
        <w:rPr>
          <w:b w:val="0"/>
          <w:i w:val="0"/>
        </w:rPr>
        <w:t xml:space="preserve">The Bridge proposal assumes you as accountable owner plus </w:t>
      </w:r>
      <w:r>
        <w:rPr>
          <w:b/>
          <w:i w:val="0"/>
        </w:rPr>
        <w:t>0.5–1.0 modeling engineer</w:t>
      </w:r>
      <w:r>
        <w:rPr>
          <w:b w:val="0"/>
          <w:i w:val="0"/>
        </w:rPr>
        <w:t xml:space="preserve">, </w:t>
      </w:r>
      <w:r>
        <w:rPr>
          <w:b/>
          <w:i w:val="0"/>
        </w:rPr>
        <w:t>0.1–0.2 architecture</w:t>
      </w:r>
      <w:r>
        <w:rPr>
          <w:b w:val="0"/>
          <w:i w:val="0"/>
        </w:rPr>
        <w:t xml:space="preserve">, </w:t>
      </w:r>
      <w:r>
        <w:rPr>
          <w:b/>
          <w:i w:val="0"/>
        </w:rPr>
        <w:t>0.1 compiler/NPU</w:t>
      </w:r>
      <w:r>
        <w:rPr>
          <w:b w:val="0"/>
          <w:i w:val="0"/>
        </w:rPr>
        <w:t xml:space="preserve">, </w:t>
      </w:r>
      <w:r>
        <w:rPr>
          <w:b/>
          <w:i w:val="0"/>
        </w:rPr>
        <w:t>0.1 memory/firmware</w:t>
      </w:r>
      <w:r>
        <w:rPr>
          <w:b w:val="0"/>
          <w:i w:val="0"/>
        </w:rPr>
        <w:t xml:space="preserve">, </w:t>
      </w:r>
      <w:r>
        <w:rPr>
          <w:b/>
          <w:i w:val="0"/>
        </w:rPr>
        <w:t>0.1–0.2 DevOps/test</w:t>
      </w:r>
      <w:r>
        <w:rPr>
          <w:b w:val="0"/>
          <w:i w:val="0"/>
        </w:rPr>
        <w:t xml:space="preserve">, and a named partner liaison. These are source estimates, not people already assigned. </w:t>
      </w:r>
      <w:r>
        <w:rPr>
          <w:b w:val="0"/>
          <w:i w:val="0"/>
        </w:rPr>
        <w:t>[</w:t>
      </w:r>
      <w:r>
        <w:rPr>
          <w:b w:val="0"/>
          <w:i w:val="0"/>
        </w:rPr>
        <w:t>S2 §10.2]</w:t>
      </w:r>
    </w:p>
    <w:p>
      <w:r>
        <w:rPr>
          <w:b/>
          <w:i w:val="0"/>
        </w:rPr>
        <w:t>Supported route:</w:t>
      </w:r>
      <w:r>
        <w:rPr>
          <w:b w:val="0"/>
          <w:i w:val="0"/>
        </w:rPr>
        <w:t xml:space="preserve"> pursue a staged Month 3 candidate and Month 4 hardening. </w:t>
      </w:r>
      <w:r>
        <w:rPr>
          <w:b/>
          <w:i w:val="0"/>
        </w:rPr>
        <w:t>Solo/reviewer-only route:</w:t>
      </w:r>
      <w:r>
        <w:rPr>
          <w:b w:val="0"/>
          <w:i w:val="0"/>
        </w:rPr>
        <w:t xml:space="preserve"> keep profiles, golden resource tests, one workload adapter, and a requirements report; defer a second deep adapter, advanced UI, and production integration. Rebaseline in Week 2.</w:t>
      </w:r>
    </w:p>
    <w:p>
      <w:pPr>
        <w:pStyle w:val="Heading2"/>
      </w:pPr>
      <w:r>
        <w:rPr>
          <w:b w:val="0"/>
          <w:i w:val="0"/>
        </w:rPr>
        <w:t>Resources to request</w:t>
      </w:r>
    </w:p>
    <w:p>
      <w:r>
        <w:rPr>
          <w:b w:val="0"/>
          <w:i w:val="0"/>
        </w:rPr>
        <w:t>Approved Linux development environment and repository; read-only lab/OEM access; scheduled GPU-control time; synthetic or authorized traces; architecture profile owner; hardware mentor; modeling reviewer; partner tool/license access if available. Get current quotes and a sponsor-approved spend ceiling before procurement. An accessible conventional host is more useful now than an unqualified large purchase.</w:t>
      </w:r>
    </w:p>
    <w:p>
      <w:r>
        <w:br w:type="page"/>
      </w:r>
    </w:p>
    <w:p>
      <w:pPr>
        <w:pStyle w:val="Kicker"/>
        <w:spacing w:after="140"/>
      </w:pPr>
      <w:r>
        <w:t>PLAN  •  EVIDENCE  •  DECISIONS</w:t>
      </w:r>
    </w:p>
    <w:p>
      <w:bookmarkStart w:id="10" w:name="page_6"/>
      <w:bookmarkStart w:id="9" w:name="sec_4"/>
      <w:pPr>
        <w:pStyle w:val="Heading1"/>
      </w:pPr>
      <w:r>
        <w:t>4. Daily and weekly operating rhythm</w:t>
      </w:r>
      <w:bookmarkEnd w:id="9"/>
      <w:bookmarkEnd w:id="10"/>
    </w:p>
    <w:p>
      <w:r>
        <w:rPr>
          <w:b w:val="0"/>
          <w:i w:val="0"/>
        </w:rPr>
        <w:t xml:space="preserve">Keep the original discipline, but let Month 1 deep work include guided study and applied diagrams. The sequence is more important than rigid clock times. </w:t>
      </w:r>
      <w:r>
        <w:rPr>
          <w:b w:val="0"/>
          <w:i w:val="0"/>
        </w:rPr>
        <w:t>[</w:t>
      </w:r>
      <w:r>
        <w:rPr>
          <w:b w:val="0"/>
          <w:i w:val="0"/>
        </w:rPr>
        <w:t>S1 §4]</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Daily block</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Activity</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Concrete output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Start: 20 min</w:t>
            </w:r>
          </w:p>
        </w:tc>
        <w:tc>
          <w:tcPr>
            <w:tcW w:type="dxa" w:w="3960"/>
            <w:vAlign w:val="center"/>
            <w:shd w:fill="F0F4F6"/>
            <w:tcMar>
              <w:top w:w="65" w:type="dxa"/>
              <w:bottom w:w="65" w:type="dxa"/>
              <w:left w:w="100" w:type="dxa"/>
              <w:right w:w="100" w:type="dxa"/>
            </w:tcMar>
          </w:tcPr>
          <w:p>
            <w:pPr>
              <w:pStyle w:val="TableBody"/>
              <w:keepNext w:val="0"/>
            </w:pPr>
            <w:r>
              <w:rPr>
                <w:b w:val="0"/>
                <w:i w:val="0"/>
              </w:rPr>
              <w:t>Review plan, permissions, actions, and blockers</w:t>
            </w:r>
          </w:p>
        </w:tc>
        <w:tc>
          <w:tcPr>
            <w:tcW w:type="dxa" w:w="4090"/>
            <w:vAlign w:val="center"/>
            <w:shd w:fill="F0F4F6"/>
            <w:tcMar>
              <w:top w:w="65" w:type="dxa"/>
              <w:bottom w:w="65" w:type="dxa"/>
              <w:left w:w="100" w:type="dxa"/>
              <w:right w:w="100" w:type="dxa"/>
            </w:tcMar>
          </w:tcPr>
          <w:p>
            <w:pPr>
              <w:pStyle w:val="TableBody"/>
              <w:keepNext w:val="0"/>
            </w:pPr>
            <w:r>
              <w:rPr>
                <w:b w:val="0"/>
                <w:i w:val="0"/>
              </w:rPr>
              <w:t>“Today succeeds if…”</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Protected: 2 h</w:t>
            </w:r>
          </w:p>
        </w:tc>
        <w:tc>
          <w:tcPr>
            <w:tcW w:type="dxa" w:w="3960"/>
            <w:vAlign w:val="center"/>
            <w:shd w:fill="FFFFFF"/>
            <w:tcMar>
              <w:top w:w="65" w:type="dxa"/>
              <w:bottom w:w="65" w:type="dxa"/>
              <w:left w:w="100" w:type="dxa"/>
              <w:right w:w="100" w:type="dxa"/>
            </w:tcMar>
          </w:tcPr>
          <w:p>
            <w:pPr>
              <w:pStyle w:val="TableBody"/>
              <w:keepNext w:val="0"/>
            </w:pPr>
            <w:r>
              <w:rPr>
                <w:b w:val="0"/>
                <w:i w:val="0"/>
              </w:rPr>
              <w:t>Learn/apply or build/test</w:t>
            </w:r>
          </w:p>
        </w:tc>
        <w:tc>
          <w:tcPr>
            <w:tcW w:type="dxa" w:w="4090"/>
            <w:vAlign w:val="center"/>
            <w:shd w:fill="FFFFFF"/>
            <w:tcMar>
              <w:top w:w="65" w:type="dxa"/>
              <w:bottom w:w="65" w:type="dxa"/>
              <w:left w:w="100" w:type="dxa"/>
              <w:right w:w="100" w:type="dxa"/>
            </w:tcMar>
          </w:tcPr>
          <w:p>
            <w:pPr>
              <w:pStyle w:val="TableBody"/>
              <w:keepNext w:val="0"/>
            </w:pPr>
            <w:r>
              <w:rPr>
                <w:b w:val="0"/>
                <w:i w:val="0"/>
              </w:rPr>
              <w:t>Saved drawing, code, calculation, or experiment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Record: 20 min</w:t>
            </w:r>
          </w:p>
        </w:tc>
        <w:tc>
          <w:tcPr>
            <w:tcW w:type="dxa" w:w="3960"/>
            <w:vAlign w:val="center"/>
            <w:shd w:fill="F0F4F6"/>
            <w:tcMar>
              <w:top w:w="65" w:type="dxa"/>
              <w:bottom w:w="65" w:type="dxa"/>
              <w:left w:w="100" w:type="dxa"/>
              <w:right w:w="100" w:type="dxa"/>
            </w:tcMar>
          </w:tcPr>
          <w:p>
            <w:pPr>
              <w:pStyle w:val="TableBody"/>
              <w:keepNext w:val="0"/>
            </w:pPr>
            <w:r>
              <w:rPr>
                <w:b w:val="0"/>
                <w:i w:val="0"/>
              </w:rPr>
              <w:t>Capture versions and evidence</w:t>
            </w:r>
          </w:p>
        </w:tc>
        <w:tc>
          <w:tcPr>
            <w:tcW w:type="dxa" w:w="4090"/>
            <w:vAlign w:val="center"/>
            <w:shd w:fill="F0F4F6"/>
            <w:tcMar>
              <w:top w:w="65" w:type="dxa"/>
              <w:bottom w:w="65" w:type="dxa"/>
              <w:left w:w="100" w:type="dxa"/>
              <w:right w:w="100" w:type="dxa"/>
            </w:tcMar>
          </w:tcPr>
          <w:p>
            <w:pPr>
              <w:pStyle w:val="TableBody"/>
              <w:keepNext w:val="0"/>
            </w:pPr>
            <w:r>
              <w:rPr>
                <w:b w:val="0"/>
                <w:i w:val="0"/>
              </w:rPr>
              <w:t>Reproducible state and concise change note</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Collaboration: 60–90 min</w:t>
            </w:r>
          </w:p>
        </w:tc>
        <w:tc>
          <w:tcPr>
            <w:tcW w:type="dxa" w:w="3960"/>
            <w:vAlign w:val="center"/>
            <w:shd w:fill="FFFFFF"/>
            <w:tcMar>
              <w:top w:w="65" w:type="dxa"/>
              <w:bottom w:w="65" w:type="dxa"/>
              <w:left w:w="100" w:type="dxa"/>
              <w:right w:w="100" w:type="dxa"/>
            </w:tcMar>
          </w:tcPr>
          <w:p>
            <w:pPr>
              <w:pStyle w:val="TableBody"/>
              <w:keepNext w:val="0"/>
            </w:pPr>
            <w:r>
              <w:rPr>
                <w:b w:val="0"/>
                <w:i w:val="0"/>
              </w:rPr>
              <w:t>Ask one bounded engineering question</w:t>
            </w:r>
          </w:p>
        </w:tc>
        <w:tc>
          <w:tcPr>
            <w:tcW w:type="dxa" w:w="4090"/>
            <w:vAlign w:val="center"/>
            <w:shd w:fill="FFFFFF"/>
            <w:tcMar>
              <w:top w:w="65" w:type="dxa"/>
              <w:bottom w:w="65" w:type="dxa"/>
              <w:left w:w="100" w:type="dxa"/>
              <w:right w:w="100" w:type="dxa"/>
            </w:tcMar>
          </w:tcPr>
          <w:p>
            <w:pPr>
              <w:pStyle w:val="TableBody"/>
              <w:keepNext w:val="0"/>
            </w:pPr>
            <w:r>
              <w:rPr>
                <w:b w:val="0"/>
                <w:i w:val="0"/>
              </w:rPr>
              <w:t>Correction, decision, or assigned action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Second work block</w:t>
            </w:r>
          </w:p>
        </w:tc>
        <w:tc>
          <w:tcPr>
            <w:tcW w:type="dxa" w:w="3960"/>
            <w:vAlign w:val="center"/>
            <w:shd w:fill="F0F4F6"/>
            <w:tcMar>
              <w:top w:w="65" w:type="dxa"/>
              <w:bottom w:w="65" w:type="dxa"/>
              <w:left w:w="100" w:type="dxa"/>
              <w:right w:w="100" w:type="dxa"/>
            </w:tcMar>
          </w:tcPr>
          <w:p>
            <w:pPr>
              <w:pStyle w:val="TableBody"/>
              <w:keepNext w:val="0"/>
            </w:pPr>
            <w:r>
              <w:rPr>
                <w:b w:val="0"/>
                <w:i w:val="0"/>
              </w:rPr>
              <w:t>Apply findings or prepare a review</w:t>
            </w:r>
          </w:p>
        </w:tc>
        <w:tc>
          <w:tcPr>
            <w:tcW w:type="dxa" w:w="4090"/>
            <w:vAlign w:val="center"/>
            <w:shd w:fill="F0F4F6"/>
            <w:tcMar>
              <w:top w:w="65" w:type="dxa"/>
              <w:bottom w:w="65" w:type="dxa"/>
              <w:left w:w="100" w:type="dxa"/>
              <w:right w:w="100" w:type="dxa"/>
            </w:tcMar>
          </w:tcPr>
          <w:p>
            <w:pPr>
              <w:pStyle w:val="TableBody"/>
              <w:keepNext w:val="0"/>
            </w:pPr>
            <w:r>
              <w:rPr>
                <w:b w:val="0"/>
                <w:i w:val="0"/>
              </w:rPr>
              <w:t>Updated artifact, not another reading list</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Meeting window</w:t>
            </w:r>
          </w:p>
        </w:tc>
        <w:tc>
          <w:tcPr>
            <w:tcW w:type="dxa" w:w="3960"/>
            <w:vAlign w:val="center"/>
            <w:shd w:fill="FFFFFF"/>
            <w:tcMar>
              <w:top w:w="65" w:type="dxa"/>
              <w:bottom w:w="65" w:type="dxa"/>
              <w:left w:w="100" w:type="dxa"/>
              <w:right w:w="100" w:type="dxa"/>
            </w:tcMar>
          </w:tcPr>
          <w:p>
            <w:pPr>
              <w:pStyle w:val="TableBody"/>
              <w:keepNext w:val="0"/>
            </w:pPr>
            <w:r>
              <w:rPr>
                <w:b w:val="0"/>
                <w:i w:val="0"/>
              </w:rPr>
              <w:t>Batch required stakeholder work</w:t>
            </w:r>
          </w:p>
        </w:tc>
        <w:tc>
          <w:tcPr>
            <w:tcW w:type="dxa" w:w="4090"/>
            <w:vAlign w:val="center"/>
            <w:shd w:fill="FFFFFF"/>
            <w:tcMar>
              <w:top w:w="65" w:type="dxa"/>
              <w:bottom w:w="65" w:type="dxa"/>
              <w:left w:w="100" w:type="dxa"/>
              <w:right w:w="100" w:type="dxa"/>
            </w:tcMar>
          </w:tcPr>
          <w:p>
            <w:pPr>
              <w:pStyle w:val="TableBody"/>
              <w:keepNext w:val="0"/>
            </w:pPr>
            <w:r>
              <w:rPr>
                <w:b w:val="0"/>
                <w:i w:val="0"/>
              </w:rPr>
              <w:t>Owner, due date, and outcome</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Close: 20 min</w:t>
            </w:r>
          </w:p>
        </w:tc>
        <w:tc>
          <w:tcPr>
            <w:tcW w:type="dxa" w:w="3960"/>
            <w:vAlign w:val="center"/>
            <w:shd w:fill="F0F4F6"/>
            <w:tcMar>
              <w:top w:w="65" w:type="dxa"/>
              <w:bottom w:w="65" w:type="dxa"/>
              <w:left w:w="100" w:type="dxa"/>
              <w:right w:w="100" w:type="dxa"/>
            </w:tcMar>
          </w:tcPr>
          <w:p>
            <w:pPr>
              <w:pStyle w:val="TableBody"/>
              <w:keepNext w:val="0"/>
            </w:pPr>
            <w:r>
              <w:rPr>
                <w:b w:val="0"/>
                <w:i w:val="0"/>
              </w:rPr>
              <w:t>Save work, follow up, plan restart</w:t>
            </w:r>
          </w:p>
        </w:tc>
        <w:tc>
          <w:tcPr>
            <w:tcW w:type="dxa" w:w="4090"/>
            <w:vAlign w:val="center"/>
            <w:shd w:fill="F0F4F6"/>
            <w:tcMar>
              <w:top w:w="65" w:type="dxa"/>
              <w:bottom w:w="65" w:type="dxa"/>
              <w:left w:w="100" w:type="dxa"/>
              <w:right w:w="100" w:type="dxa"/>
            </w:tcMar>
          </w:tcPr>
          <w:p>
            <w:pPr>
              <w:pStyle w:val="TableBody"/>
              <w:keepNext w:val="0"/>
            </w:pPr>
            <w:r>
              <w:rPr>
                <w:b w:val="0"/>
                <w:i w:val="0"/>
              </w:rPr>
              <w:t>Tomorrow’s first task</w:t>
            </w:r>
          </w:p>
        </w:tc>
      </w:tr>
    </w:tbl>
    <w:p>
      <w:pPr>
        <w:spacing w:after="60" w:before="0" w:line="40" w:lineRule="exact"/>
      </w:pPr>
      <w:r>
        <w:rPr>
          <w:sz w:val="4"/>
        </w:rPr>
      </w:r>
    </w:p>
    <w:p>
      <w:r>
        <w:rPr>
          <w:b w:val="0"/>
          <w:i w:val="0"/>
        </w:rPr>
        <w:t>Daily blocks fit within the weekly allocation. Protect at least four two-hour blocks each week. Do not schedule learning and implementation as if they use different people’s time.</w:t>
      </w:r>
    </w:p>
    <w:p>
      <w:pPr>
        <w:pStyle w:val="Heading2"/>
      </w:pPr>
      <w:r>
        <w:rPr>
          <w:b w:val="0"/>
          <w:i w:val="0"/>
        </w:rPr>
        <w:t>Weekly rhythm</w:t>
      </w:r>
    </w:p>
    <w:p>
      <w:r>
        <w:rPr>
          <w:b/>
          <w:i w:val="0"/>
        </w:rPr>
        <w:t>Monday:</w:t>
      </w:r>
      <w:r>
        <w:rPr>
          <w:b w:val="0"/>
          <w:i w:val="0"/>
        </w:rPr>
        <w:t xml:space="preserve"> select three outcomes and the changed experiment variable. </w:t>
      </w:r>
      <w:r>
        <w:rPr>
          <w:b/>
          <w:i w:val="0"/>
        </w:rPr>
        <w:t>Tuesday:</w:t>
      </w:r>
      <w:r>
        <w:rPr>
          <w:b w:val="0"/>
          <w:i w:val="0"/>
        </w:rPr>
        <w:t xml:space="preserve"> learn/build. </w:t>
      </w:r>
      <w:r>
        <w:rPr>
          <w:b/>
          <w:i w:val="0"/>
        </w:rPr>
        <w:t>Wednesday:</w:t>
      </w:r>
      <w:r>
        <w:rPr>
          <w:b w:val="0"/>
          <w:i w:val="0"/>
        </w:rPr>
        <w:t xml:space="preserve"> measure or review correctness. </w:t>
      </w:r>
      <w:r>
        <w:rPr>
          <w:b/>
          <w:i w:val="0"/>
        </w:rPr>
        <w:t>Thursday:</w:t>
      </w:r>
      <w:r>
        <w:rPr>
          <w:b w:val="0"/>
          <w:i w:val="0"/>
        </w:rPr>
        <w:t xml:space="preserve"> engage engineering/field. </w:t>
      </w:r>
      <w:r>
        <w:rPr>
          <w:b/>
          <w:i w:val="0"/>
        </w:rPr>
        <w:t>Friday:</w:t>
      </w:r>
      <w:r>
        <w:rPr>
          <w:b w:val="0"/>
          <w:i w:val="0"/>
        </w:rPr>
        <w:t xml:space="preserve"> reproduce, demonstrate, and synthesize.</w:t>
      </w:r>
    </w:p>
    <w:p>
      <w:pPr>
        <w:pStyle w:val="Heading2"/>
      </w:pPr>
      <w:r>
        <w:rPr>
          <w:b w:val="0"/>
          <w:i w:val="0"/>
        </w:rPr>
        <w:t>Start and close checks</w:t>
      </w:r>
    </w:p>
    <w:p>
      <w:r>
        <w:rPr>
          <w:b w:val="0"/>
          <w:i w:val="0"/>
        </w:rPr>
        <w:t>At the start, identify the decision consuming your work, the applicable source revision, the data classification, and one must-finish task. At the end, save the configuration/result, update action and assumption registers, send follow-ups, record one learned fact and one open question, and define the next action.</w:t>
      </w:r>
    </w:p>
    <w:p>
      <w:pPr>
        <w:pStyle w:val="Heading2"/>
      </w:pPr>
      <w:r>
        <w:rPr>
          <w:b w:val="0"/>
          <w:i w:val="0"/>
        </w:rPr>
        <w:t>Friday evidence note—one page</w:t>
      </w:r>
    </w:p>
    <w:p>
      <w:r>
        <w:rPr>
          <w:b w:val="0"/>
          <w:i w:val="0"/>
        </w:rPr>
        <w:t>What was proved, disproved, or decided? What can another person reproduce? Which product/customer decision moved? Which assumption or claim changed? What should stop next week? Link detailed logs rather than copying them into the note.</w:t>
      </w:r>
    </w:p>
    <w:p>
      <w:r>
        <w:rPr>
          <w:b/>
          <w:i w:val="0"/>
        </w:rPr>
        <w:t>Recovery rule:</w:t>
      </w:r>
      <w:r>
        <w:rPr>
          <w:b w:val="0"/>
          <w:i w:val="0"/>
        </w:rPr>
        <w:t xml:space="preserve"> a missed day or confusing lesson is not a personal failure. Resume at the next incomplete artifact, ask a specific question, and remove lower-priority work. Do not create a compensating weekend program by default.</w:t>
      </w:r>
    </w:p>
    <w:p>
      <w:r>
        <w:br w:type="page"/>
      </w:r>
    </w:p>
    <w:p>
      <w:pPr>
        <w:pStyle w:val="Kicker"/>
        <w:spacing w:after="140"/>
      </w:pPr>
      <w:r>
        <w:t>PLAN  •  EVIDENCE  •  DECISIONS</w:t>
      </w:r>
    </w:p>
    <w:p>
      <w:bookmarkStart w:id="12" w:name="page_7"/>
      <w:bookmarkStart w:id="11" w:name="sec_5"/>
      <w:pPr>
        <w:pStyle w:val="Heading1"/>
      </w:pPr>
      <w:r>
        <w:t>5. Stakeholders: sponsors and working partners</w:t>
      </w:r>
      <w:bookmarkEnd w:id="11"/>
      <w:bookmarkEnd w:id="12"/>
    </w:p>
    <w:p>
      <w:r>
        <w:rPr>
          <w:b w:val="0"/>
          <w:i w:val="0"/>
        </w:rPr>
        <w:t xml:space="preserve">Names and roles below are retained from the original plan as </w:t>
      </w:r>
      <w:r>
        <w:rPr>
          <w:b/>
          <w:i w:val="0"/>
        </w:rPr>
        <w:t>working assumptions</w:t>
      </w:r>
      <w:r>
        <w:rPr>
          <w:b w:val="0"/>
          <w:i w:val="0"/>
        </w:rPr>
        <w:t xml:space="preserve">. Confirm current responsibilities and availability with Raj; this is not a verified organizational directory. </w:t>
      </w:r>
      <w:r>
        <w:rPr>
          <w:b w:val="0"/>
          <w:i w:val="0"/>
        </w:rPr>
        <w:t>[</w:t>
      </w:r>
      <w:r>
        <w:rPr>
          <w:b w:val="0"/>
          <w:i w:val="0"/>
        </w:rPr>
        <w:t>S1 §5]</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016"/>
        <w:gridCol w:w="2448"/>
        <w:gridCol w:w="2909"/>
        <w:gridCol w:w="2909"/>
      </w:tblGrid>
      <w:tr>
        <w:trPr>
          <w:cantSplit/>
          <w:tblHeader w:val="true"/>
        </w:trPr>
        <w:tc>
          <w:tcPr>
            <w:tcW w:type="dxa" w:w="2016"/>
            <w:vAlign w:val="center"/>
            <w:shd w:fill="173047"/>
            <w:tcMar>
              <w:top w:w="65" w:type="dxa"/>
              <w:bottom w:w="65" w:type="dxa"/>
              <w:left w:w="100" w:type="dxa"/>
              <w:right w:w="100" w:type="dxa"/>
            </w:tcMar>
          </w:tcPr>
          <w:p>
            <w:pPr>
              <w:pStyle w:val="TableHead"/>
              <w:keepNext w:val="0"/>
            </w:pPr>
            <w:r>
              <w:rPr>
                <w:b/>
                <w:i w:val="0"/>
                <w:color w:val="FFFFFF"/>
              </w:rPr>
              <w:t>Stakeholder</w:t>
            </w:r>
          </w:p>
        </w:tc>
        <w:tc>
          <w:tcPr>
            <w:tcW w:type="dxa" w:w="2448"/>
            <w:vAlign w:val="center"/>
            <w:shd w:fill="173047"/>
            <w:tcMar>
              <w:top w:w="65" w:type="dxa"/>
              <w:bottom w:w="65" w:type="dxa"/>
              <w:left w:w="100" w:type="dxa"/>
              <w:right w:w="100" w:type="dxa"/>
            </w:tcMar>
          </w:tcPr>
          <w:p>
            <w:pPr>
              <w:pStyle w:val="TableHead"/>
              <w:keepNext w:val="0"/>
            </w:pPr>
            <w:r>
              <w:rPr>
                <w:b/>
                <w:i w:val="0"/>
                <w:color w:val="FFFFFF"/>
              </w:rPr>
              <w:t>Proposed cadence</w:t>
            </w:r>
          </w:p>
        </w:tc>
        <w:tc>
          <w:tcPr>
            <w:tcW w:type="dxa" w:w="2909"/>
            <w:vAlign w:val="center"/>
            <w:shd w:fill="173047"/>
            <w:tcMar>
              <w:top w:w="65" w:type="dxa"/>
              <w:bottom w:w="65" w:type="dxa"/>
              <w:left w:w="100" w:type="dxa"/>
              <w:right w:w="100" w:type="dxa"/>
            </w:tcMar>
          </w:tcPr>
          <w:p>
            <w:pPr>
              <w:pStyle w:val="TableHead"/>
              <w:keepNext w:val="0"/>
            </w:pPr>
            <w:r>
              <w:rPr>
                <w:b/>
                <w:i w:val="0"/>
                <w:color w:val="FFFFFF"/>
              </w:rPr>
              <w:t>What you bring</w:t>
            </w:r>
          </w:p>
        </w:tc>
        <w:tc>
          <w:tcPr>
            <w:tcW w:type="dxa" w:w="2909"/>
            <w:vAlign w:val="center"/>
            <w:shd w:fill="173047"/>
            <w:tcMar>
              <w:top w:w="65" w:type="dxa"/>
              <w:bottom w:w="65" w:type="dxa"/>
              <w:left w:w="100" w:type="dxa"/>
              <w:right w:w="100" w:type="dxa"/>
            </w:tcMar>
          </w:tcPr>
          <w:p>
            <w:pPr>
              <w:pStyle w:val="TableHead"/>
              <w:keepNext w:val="0"/>
            </w:pPr>
            <w:r>
              <w:rPr>
                <w:b/>
                <w:i w:val="0"/>
                <w:color w:val="FFFFFF"/>
              </w:rPr>
              <w:t>Outcome sought</w:t>
            </w:r>
          </w:p>
        </w:tc>
      </w:tr>
      <w:tr>
        <w:trPr>
          <w:cantSplit/>
        </w:trPr>
        <w:tc>
          <w:tcPr>
            <w:tcW w:type="dxa" w:w="2016"/>
            <w:vAlign w:val="center"/>
            <w:shd w:fill="F0F4F6"/>
            <w:tcMar>
              <w:top w:w="65" w:type="dxa"/>
              <w:bottom w:w="65" w:type="dxa"/>
              <w:left w:w="100" w:type="dxa"/>
              <w:right w:w="100" w:type="dxa"/>
            </w:tcMar>
          </w:tcPr>
          <w:p>
            <w:pPr>
              <w:pStyle w:val="TableBody"/>
              <w:keepNext w:val="0"/>
            </w:pPr>
            <w:r>
              <w:rPr>
                <w:b/>
                <w:i w:val="0"/>
              </w:rPr>
              <w:t>Raj</w:t>
            </w:r>
          </w:p>
        </w:tc>
        <w:tc>
          <w:tcPr>
            <w:tcW w:type="dxa" w:w="2448"/>
            <w:vAlign w:val="center"/>
            <w:shd w:fill="F0F4F6"/>
            <w:tcMar>
              <w:top w:w="65" w:type="dxa"/>
              <w:bottom w:w="65" w:type="dxa"/>
              <w:left w:w="100" w:type="dxa"/>
              <w:right w:w="100" w:type="dxa"/>
            </w:tcMar>
          </w:tcPr>
          <w:p>
            <w:pPr>
              <w:pStyle w:val="TableBody"/>
              <w:keepNext w:val="0"/>
            </w:pPr>
            <w:r>
              <w:rPr>
                <w:b w:val="0"/>
                <w:i w:val="0"/>
              </w:rPr>
              <w:t>Weekly 30-minute 1:1; monthly decision review</w:t>
            </w:r>
          </w:p>
        </w:tc>
        <w:tc>
          <w:tcPr>
            <w:tcW w:type="dxa" w:w="2909"/>
            <w:vAlign w:val="center"/>
            <w:shd w:fill="F0F4F6"/>
            <w:tcMar>
              <w:top w:w="65" w:type="dxa"/>
              <w:bottom w:w="65" w:type="dxa"/>
              <w:left w:w="100" w:type="dxa"/>
              <w:right w:w="100" w:type="dxa"/>
            </w:tcMar>
          </w:tcPr>
          <w:p>
            <w:pPr>
              <w:pStyle w:val="TableBody"/>
              <w:keepNext w:val="0"/>
            </w:pPr>
            <w:r>
              <w:rPr>
                <w:b w:val="0"/>
                <w:i w:val="0"/>
              </w:rPr>
              <w:t>One-page evidence note, priorities, trade-offs</w:t>
            </w:r>
          </w:p>
        </w:tc>
        <w:tc>
          <w:tcPr>
            <w:tcW w:type="dxa" w:w="2909"/>
            <w:vAlign w:val="center"/>
            <w:shd w:fill="F0F4F6"/>
            <w:tcMar>
              <w:top w:w="65" w:type="dxa"/>
              <w:bottom w:w="65" w:type="dxa"/>
              <w:left w:w="100" w:type="dxa"/>
              <w:right w:w="100" w:type="dxa"/>
            </w:tcMar>
          </w:tcPr>
          <w:p>
            <w:pPr>
              <w:pStyle w:val="TableBody"/>
              <w:keepNext w:val="0"/>
            </w:pPr>
            <w:r>
              <w:rPr>
                <w:b w:val="0"/>
                <w:i w:val="0"/>
              </w:rPr>
              <w:t>Scope, sponsorship, support, escalation</w:t>
            </w:r>
          </w:p>
        </w:tc>
      </w:tr>
      <w:tr>
        <w:trPr>
          <w:cantSplit/>
        </w:trPr>
        <w:tc>
          <w:tcPr>
            <w:tcW w:type="dxa" w:w="2016"/>
            <w:vAlign w:val="center"/>
            <w:shd w:fill="FFFFFF"/>
            <w:tcMar>
              <w:top w:w="65" w:type="dxa"/>
              <w:bottom w:w="65" w:type="dxa"/>
              <w:left w:w="100" w:type="dxa"/>
              <w:right w:w="100" w:type="dxa"/>
            </w:tcMar>
          </w:tcPr>
          <w:p>
            <w:pPr>
              <w:pStyle w:val="TableBody"/>
              <w:keepNext w:val="0"/>
            </w:pPr>
            <w:r>
              <w:rPr>
                <w:b/>
                <w:i w:val="0"/>
              </w:rPr>
              <w:t>Gopal</w:t>
            </w:r>
          </w:p>
        </w:tc>
        <w:tc>
          <w:tcPr>
            <w:tcW w:type="dxa" w:w="2448"/>
            <w:vAlign w:val="center"/>
            <w:shd w:fill="FFFFFF"/>
            <w:tcMar>
              <w:top w:w="65" w:type="dxa"/>
              <w:bottom w:w="65" w:type="dxa"/>
              <w:left w:w="100" w:type="dxa"/>
              <w:right w:w="100" w:type="dxa"/>
            </w:tcMar>
          </w:tcPr>
          <w:p>
            <w:pPr>
              <w:pStyle w:val="TableBody"/>
              <w:keepNext w:val="0"/>
            </w:pPr>
            <w:r>
              <w:rPr>
                <w:b w:val="0"/>
                <w:i w:val="0"/>
              </w:rPr>
              <w:t>Weekly for an active account</w:t>
            </w:r>
          </w:p>
        </w:tc>
        <w:tc>
          <w:tcPr>
            <w:tcW w:type="dxa" w:w="2909"/>
            <w:vAlign w:val="center"/>
            <w:shd w:fill="FFFFFF"/>
            <w:tcMar>
              <w:top w:w="65" w:type="dxa"/>
              <w:bottom w:w="65" w:type="dxa"/>
              <w:left w:w="100" w:type="dxa"/>
              <w:right w:w="100" w:type="dxa"/>
            </w:tcMar>
          </w:tcPr>
          <w:p>
            <w:pPr>
              <w:pStyle w:val="TableBody"/>
              <w:keepNext w:val="0"/>
            </w:pPr>
            <w:r>
              <w:rPr>
                <w:b w:val="0"/>
                <w:i w:val="0"/>
              </w:rPr>
              <w:t>Workload analysis and approved narrative</w:t>
            </w:r>
          </w:p>
        </w:tc>
        <w:tc>
          <w:tcPr>
            <w:tcW w:type="dxa" w:w="2909"/>
            <w:vAlign w:val="center"/>
            <w:shd w:fill="FFFFFF"/>
            <w:tcMar>
              <w:top w:w="65" w:type="dxa"/>
              <w:bottom w:w="65" w:type="dxa"/>
              <w:left w:w="100" w:type="dxa"/>
              <w:right w:w="100" w:type="dxa"/>
            </w:tcMar>
          </w:tcPr>
          <w:p>
            <w:pPr>
              <w:pStyle w:val="TableBody"/>
              <w:keepNext w:val="0"/>
            </w:pPr>
            <w:r>
              <w:rPr>
                <w:b w:val="0"/>
                <w:i w:val="0"/>
              </w:rPr>
              <w:t>Qualified discussions and coherent account action</w:t>
            </w:r>
          </w:p>
        </w:tc>
      </w:tr>
      <w:tr>
        <w:trPr>
          <w:cantSplit/>
        </w:trPr>
        <w:tc>
          <w:tcPr>
            <w:tcW w:type="dxa" w:w="2016"/>
            <w:vAlign w:val="center"/>
            <w:shd w:fill="F0F4F6"/>
            <w:tcMar>
              <w:top w:w="65" w:type="dxa"/>
              <w:bottom w:w="65" w:type="dxa"/>
              <w:left w:w="100" w:type="dxa"/>
              <w:right w:w="100" w:type="dxa"/>
            </w:tcMar>
          </w:tcPr>
          <w:p>
            <w:pPr>
              <w:pStyle w:val="TableBody"/>
              <w:keepNext w:val="0"/>
            </w:pPr>
            <w:r>
              <w:rPr>
                <w:b/>
                <w:i w:val="0"/>
              </w:rPr>
              <w:t>Eric</w:t>
            </w:r>
          </w:p>
        </w:tc>
        <w:tc>
          <w:tcPr>
            <w:tcW w:type="dxa" w:w="2448"/>
            <w:vAlign w:val="center"/>
            <w:shd w:fill="F0F4F6"/>
            <w:tcMar>
              <w:top w:w="65" w:type="dxa"/>
              <w:bottom w:w="65" w:type="dxa"/>
              <w:left w:w="100" w:type="dxa"/>
              <w:right w:w="100" w:type="dxa"/>
            </w:tcMar>
          </w:tcPr>
          <w:p>
            <w:pPr>
              <w:pStyle w:val="TableBody"/>
              <w:keepNext w:val="0"/>
            </w:pPr>
            <w:r>
              <w:rPr>
                <w:b w:val="0"/>
                <w:i w:val="0"/>
              </w:rPr>
              <w:t>Biweekly; at architecture gates</w:t>
            </w:r>
          </w:p>
        </w:tc>
        <w:tc>
          <w:tcPr>
            <w:tcW w:type="dxa" w:w="2909"/>
            <w:vAlign w:val="center"/>
            <w:shd w:fill="F0F4F6"/>
            <w:tcMar>
              <w:top w:w="65" w:type="dxa"/>
              <w:bottom w:w="65" w:type="dxa"/>
              <w:left w:w="100" w:type="dxa"/>
              <w:right w:w="100" w:type="dxa"/>
            </w:tcMar>
          </w:tcPr>
          <w:p>
            <w:pPr>
              <w:pStyle w:val="TableBody"/>
              <w:keepNext w:val="0"/>
            </w:pPr>
            <w:r>
              <w:rPr>
                <w:b w:val="0"/>
                <w:i w:val="0"/>
              </w:rPr>
              <w:t>Paths, input assumptions, sensitivities</w:t>
            </w:r>
          </w:p>
        </w:tc>
        <w:tc>
          <w:tcPr>
            <w:tcW w:type="dxa" w:w="2909"/>
            <w:vAlign w:val="center"/>
            <w:shd w:fill="F0F4F6"/>
            <w:tcMar>
              <w:top w:w="65" w:type="dxa"/>
              <w:bottom w:w="65" w:type="dxa"/>
              <w:left w:w="100" w:type="dxa"/>
              <w:right w:w="100" w:type="dxa"/>
            </w:tcMar>
          </w:tcPr>
          <w:p>
            <w:pPr>
              <w:pStyle w:val="TableBody"/>
              <w:keepNext w:val="0"/>
            </w:pPr>
            <w:r>
              <w:rPr>
                <w:b w:val="0"/>
                <w:i w:val="0"/>
              </w:rPr>
              <w:t>Architecture truth, owners, access route</w:t>
            </w:r>
          </w:p>
        </w:tc>
      </w:tr>
      <w:tr>
        <w:trPr>
          <w:cantSplit/>
        </w:trPr>
        <w:tc>
          <w:tcPr>
            <w:tcW w:type="dxa" w:w="2016"/>
            <w:vAlign w:val="center"/>
            <w:shd w:fill="FFFFFF"/>
            <w:tcMar>
              <w:top w:w="65" w:type="dxa"/>
              <w:bottom w:w="65" w:type="dxa"/>
              <w:left w:w="100" w:type="dxa"/>
              <w:right w:w="100" w:type="dxa"/>
            </w:tcMar>
          </w:tcPr>
          <w:p>
            <w:pPr>
              <w:pStyle w:val="TableBody"/>
              <w:keepNext w:val="0"/>
            </w:pPr>
            <w:r>
              <w:rPr>
                <w:b/>
                <w:i w:val="0"/>
              </w:rPr>
              <w:t>Anil</w:t>
            </w:r>
          </w:p>
        </w:tc>
        <w:tc>
          <w:tcPr>
            <w:tcW w:type="dxa" w:w="2448"/>
            <w:vAlign w:val="center"/>
            <w:shd w:fill="FFFFFF"/>
            <w:tcMar>
              <w:top w:w="65" w:type="dxa"/>
              <w:bottom w:w="65" w:type="dxa"/>
              <w:left w:w="100" w:type="dxa"/>
              <w:right w:w="100" w:type="dxa"/>
            </w:tcMar>
          </w:tcPr>
          <w:p>
            <w:pPr>
              <w:pStyle w:val="TableBody"/>
              <w:keepNext w:val="0"/>
            </w:pPr>
            <w:r>
              <w:rPr>
                <w:b w:val="0"/>
                <w:i w:val="0"/>
              </w:rPr>
              <w:t>Monthly or at economics gates</w:t>
            </w:r>
          </w:p>
        </w:tc>
        <w:tc>
          <w:tcPr>
            <w:tcW w:type="dxa" w:w="2909"/>
            <w:vAlign w:val="center"/>
            <w:shd w:fill="FFFFFF"/>
            <w:tcMar>
              <w:top w:w="65" w:type="dxa"/>
              <w:bottom w:w="65" w:type="dxa"/>
              <w:left w:w="100" w:type="dxa"/>
              <w:right w:w="100" w:type="dxa"/>
            </w:tcMar>
          </w:tcPr>
          <w:p>
            <w:pPr>
              <w:pStyle w:val="TableBody"/>
              <w:keepNext w:val="0"/>
            </w:pPr>
            <w:r>
              <w:rPr>
                <w:b w:val="0"/>
                <w:i w:val="0"/>
              </w:rPr>
              <w:t>Cost boundary, quote gaps, adoption inputs</w:t>
            </w:r>
          </w:p>
        </w:tc>
        <w:tc>
          <w:tcPr>
            <w:tcW w:type="dxa" w:w="2909"/>
            <w:vAlign w:val="center"/>
            <w:shd w:fill="FFFFFF"/>
            <w:tcMar>
              <w:top w:w="65" w:type="dxa"/>
              <w:bottom w:w="65" w:type="dxa"/>
              <w:left w:w="100" w:type="dxa"/>
              <w:right w:w="100" w:type="dxa"/>
            </w:tcMar>
          </w:tcPr>
          <w:p>
            <w:pPr>
              <w:pStyle w:val="TableBody"/>
              <w:keepNext w:val="0"/>
            </w:pPr>
            <w:r>
              <w:rPr>
                <w:b w:val="0"/>
                <w:i w:val="0"/>
              </w:rPr>
              <w:t>Reviewed price/performance requirements</w:t>
            </w:r>
          </w:p>
        </w:tc>
      </w:tr>
      <w:tr>
        <w:trPr>
          <w:cantSplit/>
        </w:trPr>
        <w:tc>
          <w:tcPr>
            <w:tcW w:type="dxa" w:w="2016"/>
            <w:vAlign w:val="center"/>
            <w:shd w:fill="F0F4F6"/>
            <w:tcMar>
              <w:top w:w="65" w:type="dxa"/>
              <w:bottom w:w="65" w:type="dxa"/>
              <w:left w:w="100" w:type="dxa"/>
              <w:right w:w="100" w:type="dxa"/>
            </w:tcMar>
          </w:tcPr>
          <w:p>
            <w:pPr>
              <w:pStyle w:val="TableBody"/>
              <w:keepNext w:val="0"/>
            </w:pPr>
            <w:r>
              <w:rPr>
                <w:b/>
                <w:i w:val="0"/>
              </w:rPr>
              <w:t>Praveen</w:t>
            </w:r>
          </w:p>
        </w:tc>
        <w:tc>
          <w:tcPr>
            <w:tcW w:type="dxa" w:w="2448"/>
            <w:vAlign w:val="center"/>
            <w:shd w:fill="F0F4F6"/>
            <w:tcMar>
              <w:top w:w="65" w:type="dxa"/>
              <w:bottom w:w="65" w:type="dxa"/>
              <w:left w:w="100" w:type="dxa"/>
              <w:right w:w="100" w:type="dxa"/>
            </w:tcMar>
          </w:tcPr>
          <w:p>
            <w:pPr>
              <w:pStyle w:val="TableBody"/>
              <w:keepNext w:val="0"/>
            </w:pPr>
            <w:r>
              <w:rPr>
                <w:b w:val="0"/>
                <w:i w:val="0"/>
              </w:rPr>
              <w:t>Biweekly</w:t>
            </w:r>
          </w:p>
        </w:tc>
        <w:tc>
          <w:tcPr>
            <w:tcW w:type="dxa" w:w="2909"/>
            <w:vAlign w:val="center"/>
            <w:shd w:fill="F0F4F6"/>
            <w:tcMar>
              <w:top w:w="65" w:type="dxa"/>
              <w:bottom w:w="65" w:type="dxa"/>
              <w:left w:w="100" w:type="dxa"/>
              <w:right w:w="100" w:type="dxa"/>
            </w:tcMar>
          </w:tcPr>
          <w:p>
            <w:pPr>
              <w:pStyle w:val="TableBody"/>
              <w:keepNext w:val="0"/>
            </w:pPr>
            <w:r>
              <w:rPr>
                <w:b w:val="0"/>
                <w:i w:val="0"/>
              </w:rPr>
              <w:t>Discovery questions and no-fit examples</w:t>
            </w:r>
          </w:p>
        </w:tc>
        <w:tc>
          <w:tcPr>
            <w:tcW w:type="dxa" w:w="2909"/>
            <w:vAlign w:val="center"/>
            <w:shd w:fill="F0F4F6"/>
            <w:tcMar>
              <w:top w:w="65" w:type="dxa"/>
              <w:bottom w:w="65" w:type="dxa"/>
              <w:left w:w="100" w:type="dxa"/>
              <w:right w:w="100" w:type="dxa"/>
            </w:tcMar>
          </w:tcPr>
          <w:p>
            <w:pPr>
              <w:pStyle w:val="TableBody"/>
              <w:keepNext w:val="0"/>
            </w:pPr>
            <w:r>
              <w:rPr>
                <w:b w:val="0"/>
                <w:i w:val="0"/>
              </w:rPr>
              <w:t>Real workload signal and field feedback</w:t>
            </w:r>
          </w:p>
        </w:tc>
      </w:tr>
    </w:tbl>
    <w:p>
      <w:pPr>
        <w:spacing w:after="60" w:before="0" w:line="40" w:lineRule="exact"/>
      </w:pPr>
      <w:r>
        <w:rPr>
          <w:sz w:val="4"/>
        </w:rPr>
      </w:r>
    </w:p>
    <w:p>
      <w:pPr>
        <w:pStyle w:val="Heading2"/>
      </w:pPr>
      <w:r>
        <w:rPr>
          <w:b w:val="0"/>
          <w:i w:val="0"/>
        </w:rPr>
        <w:t>First-month relationship objective</w:t>
      </w:r>
    </w:p>
    <w:p>
      <w:r>
        <w:rPr>
          <w:b w:val="0"/>
          <w:i w:val="0"/>
        </w:rPr>
        <w:t>Secure one hardware mentor and one modeling reviewer. Do not independently schedule every specialist every week. Ask the hardware mentor for three short sessions: ordinary server anatomy; the three ATMOS layouts; and correction of your final path drawing.</w:t>
      </w:r>
    </w:p>
    <w:p>
      <w:r>
        <w:rPr>
          <w:b w:val="0"/>
          <w:i w:val="0"/>
        </w:rPr>
        <w:t>Bring your attempted explanation first. The fastest review is “Here is my map; which connection is wrong?” rather than “Please explain hardware.”</w:t>
      </w:r>
    </w:p>
    <w:p>
      <w:pPr>
        <w:pStyle w:val="Heading2"/>
      </w:pPr>
      <w:r>
        <w:rPr>
          <w:b w:val="0"/>
          <w:i w:val="0"/>
        </w:rPr>
        <w:t>Forums with a purpose</w:t>
      </w:r>
    </w:p>
    <w:p>
      <w:r>
        <w:rPr>
          <w:b w:val="0"/>
          <w:i w:val="0"/>
        </w:rPr>
        <w:t xml:space="preserve">Use the relevant program-risk, architecture/specification, bring-up/validation, and runtime forums. Add a customer-account sync only when work is active. Add partner/API review when a liaison exists. A monthly evidence forum should consolidate reviews, not multiply meetings. </w:t>
      </w:r>
      <w:r>
        <w:rPr>
          <w:b w:val="0"/>
          <w:i w:val="0"/>
        </w:rPr>
        <w:t>[</w:t>
      </w:r>
      <w:r>
        <w:rPr>
          <w:b w:val="0"/>
          <w:i w:val="0"/>
        </w:rPr>
        <w:t>S1 §5; S2 §12]</w:t>
      </w:r>
    </w:p>
    <w:p>
      <w:r>
        <w:rPr>
          <w:b/>
          <w:i w:val="0"/>
        </w:rPr>
        <w:t>Meeting rule:</w:t>
      </w:r>
      <w:r>
        <w:rPr>
          <w:b w:val="0"/>
          <w:i w:val="0"/>
        </w:rPr>
        <w:t xml:space="preserve"> you need not answer every electrical or firmware question yourself. State the evidence, identify the correct owner, and record when the answer is needed. Do not turn a draft interpretation into an engineering commitment.</w:t>
      </w:r>
    </w:p>
    <w:p>
      <w:r>
        <w:br w:type="page"/>
      </w:r>
    </w:p>
    <w:p>
      <w:pPr>
        <w:pStyle w:val="Kicker"/>
        <w:spacing w:after="140"/>
      </w:pPr>
      <w:r>
        <w:t>PLAN  •  EVIDENCE  •  DECISIONS</w:t>
      </w:r>
    </w:p>
    <w:p>
      <w:bookmarkStart w:id="13" w:name="page_8"/>
      <w:pPr>
        <w:pStyle w:val="Heading1"/>
      </w:pPr>
      <w:r>
        <w:t>5. Stakeholders: engineering ownership</w:t>
      </w:r>
      <w:bookmarkEnd w:id="13"/>
    </w:p>
    <w:p>
      <w:r>
        <w:rPr>
          <w:b w:val="0"/>
          <w:i w:val="0"/>
        </w:rPr>
        <w:t xml:space="preserve">Use this routing sheet to obtain the required artifact. Initial contacts come from the original plan and must be confirmed. </w:t>
      </w:r>
      <w:r>
        <w:rPr>
          <w:b w:val="0"/>
          <w:i w:val="0"/>
        </w:rPr>
        <w:t>[</w:t>
      </w:r>
      <w:r>
        <w:rPr>
          <w:b w:val="0"/>
          <w:i w:val="0"/>
        </w:rPr>
        <w:t>S1 §5]</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03"/>
        <w:gridCol w:w="3773"/>
        <w:gridCol w:w="4306"/>
      </w:tblGrid>
      <w:tr>
        <w:trPr>
          <w:cantSplit/>
          <w:tblHeader w:val="true"/>
        </w:trPr>
        <w:tc>
          <w:tcPr>
            <w:tcW w:type="dxa" w:w="2203"/>
            <w:vAlign w:val="center"/>
            <w:shd w:fill="173047"/>
            <w:tcMar>
              <w:top w:w="65" w:type="dxa"/>
              <w:bottom w:w="65" w:type="dxa"/>
              <w:left w:w="100" w:type="dxa"/>
              <w:right w:w="100" w:type="dxa"/>
            </w:tcMar>
          </w:tcPr>
          <w:p>
            <w:pPr>
              <w:pStyle w:val="TableHead"/>
              <w:keepNext w:val="0"/>
            </w:pPr>
            <w:r>
              <w:rPr>
                <w:b/>
                <w:i w:val="0"/>
                <w:color w:val="FFFFFF"/>
              </w:rPr>
              <w:t>Area / original contact</w:t>
            </w:r>
          </w:p>
        </w:tc>
        <w:tc>
          <w:tcPr>
            <w:tcW w:type="dxa" w:w="3773"/>
            <w:vAlign w:val="center"/>
            <w:shd w:fill="173047"/>
            <w:tcMar>
              <w:top w:w="65" w:type="dxa"/>
              <w:bottom w:w="65" w:type="dxa"/>
              <w:left w:w="100" w:type="dxa"/>
              <w:right w:w="100" w:type="dxa"/>
            </w:tcMar>
          </w:tcPr>
          <w:p>
            <w:pPr>
              <w:pStyle w:val="TableHead"/>
              <w:keepNext w:val="0"/>
            </w:pPr>
            <w:r>
              <w:rPr>
                <w:b/>
                <w:i w:val="0"/>
                <w:color w:val="FFFFFF"/>
              </w:rPr>
              <w:t>First question</w:t>
            </w:r>
          </w:p>
        </w:tc>
        <w:tc>
          <w:tcPr>
            <w:tcW w:type="dxa" w:w="4306"/>
            <w:vAlign w:val="center"/>
            <w:shd w:fill="173047"/>
            <w:tcMar>
              <w:top w:w="65" w:type="dxa"/>
              <w:bottom w:w="65" w:type="dxa"/>
              <w:left w:w="100" w:type="dxa"/>
              <w:right w:w="100" w:type="dxa"/>
            </w:tcMar>
          </w:tcPr>
          <w:p>
            <w:pPr>
              <w:pStyle w:val="TableHead"/>
              <w:keepNext w:val="0"/>
            </w:pPr>
            <w:r>
              <w:rPr>
                <w:b/>
                <w:i w:val="0"/>
                <w:color w:val="FFFFFF"/>
              </w:rPr>
              <w:t>Requested evidence</w:t>
            </w:r>
          </w:p>
        </w:tc>
      </w:tr>
      <w:tr>
        <w:trPr>
          <w:cantSplit/>
        </w:trPr>
        <w:tc>
          <w:tcPr>
            <w:tcW w:type="dxa" w:w="2203"/>
            <w:vAlign w:val="center"/>
            <w:shd w:fill="F0F4F6"/>
            <w:tcMar>
              <w:top w:w="65" w:type="dxa"/>
              <w:bottom w:w="65" w:type="dxa"/>
              <w:left w:w="100" w:type="dxa"/>
              <w:right w:w="100" w:type="dxa"/>
            </w:tcMar>
          </w:tcPr>
          <w:p>
            <w:pPr>
              <w:pStyle w:val="TableBody"/>
              <w:keepNext w:val="0"/>
            </w:pPr>
            <w:r>
              <w:rPr>
                <w:b w:val="0"/>
                <w:i w:val="0"/>
              </w:rPr>
              <w:t>ASIC — Carl</w:t>
            </w:r>
          </w:p>
        </w:tc>
        <w:tc>
          <w:tcPr>
            <w:tcW w:type="dxa" w:w="3773"/>
            <w:vAlign w:val="center"/>
            <w:shd w:fill="F0F4F6"/>
            <w:tcMar>
              <w:top w:w="65" w:type="dxa"/>
              <w:bottom w:w="65" w:type="dxa"/>
              <w:left w:w="100" w:type="dxa"/>
              <w:right w:w="100" w:type="dxa"/>
            </w:tcMar>
          </w:tcPr>
          <w:p>
            <w:pPr>
              <w:pStyle w:val="TableBody"/>
              <w:keepNext w:val="0"/>
            </w:pPr>
            <w:r>
              <w:rPr>
                <w:b w:val="0"/>
                <w:i w:val="0"/>
              </w:rPr>
              <w:t>What is committed, measured, deferred, or at risk?</w:t>
            </w:r>
          </w:p>
        </w:tc>
        <w:tc>
          <w:tcPr>
            <w:tcW w:type="dxa" w:w="4306"/>
            <w:vAlign w:val="center"/>
            <w:shd w:fill="F0F4F6"/>
            <w:tcMar>
              <w:top w:w="65" w:type="dxa"/>
              <w:bottom w:w="65" w:type="dxa"/>
              <w:left w:w="100" w:type="dxa"/>
              <w:right w:w="100" w:type="dxa"/>
            </w:tcMar>
          </w:tcPr>
          <w:p>
            <w:pPr>
              <w:pStyle w:val="TableBody"/>
              <w:keepNext w:val="0"/>
            </w:pPr>
            <w:r>
              <w:rPr>
                <w:b w:val="0"/>
                <w:i w:val="0"/>
              </w:rPr>
              <w:t>Controlled block/capability revision</w:t>
            </w:r>
          </w:p>
        </w:tc>
      </w:tr>
      <w:tr>
        <w:trPr>
          <w:cantSplit/>
        </w:trPr>
        <w:tc>
          <w:tcPr>
            <w:tcW w:type="dxa" w:w="2203"/>
            <w:vAlign w:val="center"/>
            <w:shd w:fill="FFFFFF"/>
            <w:tcMar>
              <w:top w:w="65" w:type="dxa"/>
              <w:bottom w:w="65" w:type="dxa"/>
              <w:left w:w="100" w:type="dxa"/>
              <w:right w:w="100" w:type="dxa"/>
            </w:tcMar>
          </w:tcPr>
          <w:p>
            <w:pPr>
              <w:pStyle w:val="TableBody"/>
              <w:keepNext w:val="0"/>
            </w:pPr>
            <w:r>
              <w:rPr>
                <w:b w:val="0"/>
                <w:i w:val="0"/>
              </w:rPr>
              <w:t>Backend — Piyush</w:t>
            </w:r>
          </w:p>
        </w:tc>
        <w:tc>
          <w:tcPr>
            <w:tcW w:type="dxa" w:w="3773"/>
            <w:vAlign w:val="center"/>
            <w:shd w:fill="FFFFFF"/>
            <w:tcMar>
              <w:top w:w="65" w:type="dxa"/>
              <w:bottom w:w="65" w:type="dxa"/>
              <w:left w:w="100" w:type="dxa"/>
              <w:right w:w="100" w:type="dxa"/>
            </w:tcMar>
          </w:tcPr>
          <w:p>
            <w:pPr>
              <w:pStyle w:val="TableBody"/>
              <w:keepNext w:val="0"/>
            </w:pPr>
            <w:r>
              <w:rPr>
                <w:b w:val="0"/>
                <w:i w:val="0"/>
              </w:rPr>
              <w:t>Which destinations and controller limits apply?</w:t>
            </w:r>
          </w:p>
        </w:tc>
        <w:tc>
          <w:tcPr>
            <w:tcW w:type="dxa" w:w="4306"/>
            <w:vAlign w:val="center"/>
            <w:shd w:fill="FFFFFF"/>
            <w:tcMar>
              <w:top w:w="65" w:type="dxa"/>
              <w:bottom w:w="65" w:type="dxa"/>
              <w:left w:w="100" w:type="dxa"/>
              <w:right w:w="100" w:type="dxa"/>
            </w:tcMar>
          </w:tcPr>
          <w:p>
            <w:pPr>
              <w:pStyle w:val="TableBody"/>
              <w:keepNext w:val="0"/>
            </w:pPr>
            <w:r>
              <w:rPr>
                <w:b w:val="0"/>
                <w:i w:val="0"/>
              </w:rPr>
              <w:t>HBF/LPDDR/NoC path and service profile</w:t>
            </w:r>
          </w:p>
        </w:tc>
      </w:tr>
      <w:tr>
        <w:trPr>
          <w:cantSplit/>
        </w:trPr>
        <w:tc>
          <w:tcPr>
            <w:tcW w:type="dxa" w:w="2203"/>
            <w:vAlign w:val="center"/>
            <w:shd w:fill="F0F4F6"/>
            <w:tcMar>
              <w:top w:w="65" w:type="dxa"/>
              <w:bottom w:w="65" w:type="dxa"/>
              <w:left w:w="100" w:type="dxa"/>
              <w:right w:w="100" w:type="dxa"/>
            </w:tcMar>
          </w:tcPr>
          <w:p>
            <w:pPr>
              <w:pStyle w:val="TableBody"/>
              <w:keepNext w:val="0"/>
            </w:pPr>
            <w:r>
              <w:rPr>
                <w:b w:val="0"/>
                <w:i w:val="0"/>
              </w:rPr>
              <w:t>Firmware/software — Vishwas</w:t>
            </w:r>
          </w:p>
        </w:tc>
        <w:tc>
          <w:tcPr>
            <w:tcW w:type="dxa" w:w="3773"/>
            <w:vAlign w:val="center"/>
            <w:shd w:fill="F0F4F6"/>
            <w:tcMar>
              <w:top w:w="65" w:type="dxa"/>
              <w:bottom w:w="65" w:type="dxa"/>
              <w:left w:w="100" w:type="dxa"/>
              <w:right w:w="100" w:type="dxa"/>
            </w:tcMar>
          </w:tcPr>
          <w:p>
            <w:pPr>
              <w:pStyle w:val="TableBody"/>
              <w:keepNext w:val="0"/>
            </w:pPr>
            <w:r>
              <w:rPr>
                <w:b w:val="0"/>
                <w:i w:val="0"/>
              </w:rPr>
              <w:t>Which queues, DMA, reset, and APIs can be tested?</w:t>
            </w:r>
          </w:p>
        </w:tc>
        <w:tc>
          <w:tcPr>
            <w:tcW w:type="dxa" w:w="4306"/>
            <w:vAlign w:val="center"/>
            <w:shd w:fill="F0F4F6"/>
            <w:tcMar>
              <w:top w:w="65" w:type="dxa"/>
              <w:bottom w:w="65" w:type="dxa"/>
              <w:left w:w="100" w:type="dxa"/>
              <w:right w:w="100" w:type="dxa"/>
            </w:tcMar>
          </w:tcPr>
          <w:p>
            <w:pPr>
              <w:pStyle w:val="TableBody"/>
              <w:keepNext w:val="0"/>
            </w:pPr>
            <w:r>
              <w:rPr>
                <w:b w:val="0"/>
                <w:i w:val="0"/>
              </w:rPr>
              <w:t>Interface, error, and telemetry contract</w:t>
            </w:r>
          </w:p>
        </w:tc>
      </w:tr>
      <w:tr>
        <w:trPr>
          <w:cantSplit/>
        </w:trPr>
        <w:tc>
          <w:tcPr>
            <w:tcW w:type="dxa" w:w="2203"/>
            <w:vAlign w:val="center"/>
            <w:shd w:fill="FFFFFF"/>
            <w:tcMar>
              <w:top w:w="65" w:type="dxa"/>
              <w:bottom w:w="65" w:type="dxa"/>
              <w:left w:w="100" w:type="dxa"/>
              <w:right w:w="100" w:type="dxa"/>
            </w:tcMar>
          </w:tcPr>
          <w:p>
            <w:pPr>
              <w:pStyle w:val="TableBody"/>
              <w:keepNext w:val="0"/>
            </w:pPr>
            <w:r>
              <w:rPr>
                <w:b w:val="0"/>
                <w:i w:val="0"/>
              </w:rPr>
              <w:t>Hardware — Steve</w:t>
            </w:r>
          </w:p>
        </w:tc>
        <w:tc>
          <w:tcPr>
            <w:tcW w:type="dxa" w:w="3773"/>
            <w:vAlign w:val="center"/>
            <w:shd w:fill="FFFFFF"/>
            <w:tcMar>
              <w:top w:w="65" w:type="dxa"/>
              <w:bottom w:w="65" w:type="dxa"/>
              <w:left w:w="100" w:type="dxa"/>
              <w:right w:w="100" w:type="dxa"/>
            </w:tcMar>
          </w:tcPr>
          <w:p>
            <w:pPr>
              <w:pStyle w:val="TableBody"/>
              <w:keepNext w:val="0"/>
            </w:pPr>
            <w:r>
              <w:rPr>
                <w:b w:val="0"/>
                <w:i w:val="0"/>
              </w:rPr>
              <w:t>Which packaging, lanes, power, and cooling are valid?</w:t>
            </w:r>
          </w:p>
        </w:tc>
        <w:tc>
          <w:tcPr>
            <w:tcW w:type="dxa" w:w="4306"/>
            <w:vAlign w:val="center"/>
            <w:shd w:fill="FFFFFF"/>
            <w:tcMar>
              <w:top w:w="65" w:type="dxa"/>
              <w:bottom w:w="65" w:type="dxa"/>
              <w:left w:w="100" w:type="dxa"/>
              <w:right w:w="100" w:type="dxa"/>
            </w:tcMar>
          </w:tcPr>
          <w:p>
            <w:pPr>
              <w:pStyle w:val="TableBody"/>
              <w:keepNext w:val="0"/>
            </w:pPr>
            <w:r>
              <w:rPr>
                <w:b w:val="0"/>
                <w:i w:val="0"/>
              </w:rPr>
              <w:t>Board/bay/slot lane map and design guide</w:t>
            </w:r>
          </w:p>
        </w:tc>
      </w:tr>
      <w:tr>
        <w:trPr>
          <w:cantSplit/>
        </w:trPr>
        <w:tc>
          <w:tcPr>
            <w:tcW w:type="dxa" w:w="2203"/>
            <w:vAlign w:val="center"/>
            <w:shd w:fill="F0F4F6"/>
            <w:tcMar>
              <w:top w:w="65" w:type="dxa"/>
              <w:bottom w:w="65" w:type="dxa"/>
              <w:left w:w="100" w:type="dxa"/>
              <w:right w:w="100" w:type="dxa"/>
            </w:tcMar>
          </w:tcPr>
          <w:p>
            <w:pPr>
              <w:pStyle w:val="TableBody"/>
              <w:keepNext w:val="0"/>
            </w:pPr>
            <w:r>
              <w:rPr>
                <w:b w:val="0"/>
                <w:i w:val="0"/>
              </w:rPr>
              <w:t>Systems — John</w:t>
            </w:r>
          </w:p>
        </w:tc>
        <w:tc>
          <w:tcPr>
            <w:tcW w:type="dxa" w:w="3773"/>
            <w:vAlign w:val="center"/>
            <w:shd w:fill="F0F4F6"/>
            <w:tcMar>
              <w:top w:w="65" w:type="dxa"/>
              <w:bottom w:w="65" w:type="dxa"/>
              <w:left w:w="100" w:type="dxa"/>
              <w:right w:w="100" w:type="dxa"/>
            </w:tcMar>
          </w:tcPr>
          <w:p>
            <w:pPr>
              <w:pStyle w:val="TableBody"/>
              <w:keepNext w:val="0"/>
            </w:pPr>
            <w:r>
              <w:rPr>
                <w:b w:val="0"/>
                <w:i w:val="0"/>
              </w:rPr>
              <w:t>What defines a working full platform?</w:t>
            </w:r>
          </w:p>
        </w:tc>
        <w:tc>
          <w:tcPr>
            <w:tcW w:type="dxa" w:w="4306"/>
            <w:vAlign w:val="center"/>
            <w:shd w:fill="F0F4F6"/>
            <w:tcMar>
              <w:top w:w="65" w:type="dxa"/>
              <w:bottom w:w="65" w:type="dxa"/>
              <w:left w:w="100" w:type="dxa"/>
              <w:right w:w="100" w:type="dxa"/>
            </w:tcMar>
          </w:tcPr>
          <w:p>
            <w:pPr>
              <w:pStyle w:val="TableBody"/>
              <w:keepNext w:val="0"/>
            </w:pPr>
            <w:r>
              <w:rPr>
                <w:b w:val="0"/>
                <w:i w:val="0"/>
              </w:rPr>
              <w:t>Bring-up and integration acceptance list</w:t>
            </w:r>
          </w:p>
        </w:tc>
      </w:tr>
      <w:tr>
        <w:trPr>
          <w:cantSplit/>
        </w:trPr>
        <w:tc>
          <w:tcPr>
            <w:tcW w:type="dxa" w:w="2203"/>
            <w:vAlign w:val="center"/>
            <w:shd w:fill="FFFFFF"/>
            <w:tcMar>
              <w:top w:w="65" w:type="dxa"/>
              <w:bottom w:w="65" w:type="dxa"/>
              <w:left w:w="100" w:type="dxa"/>
              <w:right w:w="100" w:type="dxa"/>
            </w:tcMar>
          </w:tcPr>
          <w:p>
            <w:pPr>
              <w:pStyle w:val="TableBody"/>
              <w:keepNext w:val="0"/>
            </w:pPr>
            <w:r>
              <w:rPr>
                <w:b w:val="0"/>
                <w:i w:val="0"/>
              </w:rPr>
              <w:t>Program operations — PK Sharma</w:t>
            </w:r>
          </w:p>
        </w:tc>
        <w:tc>
          <w:tcPr>
            <w:tcW w:type="dxa" w:w="3773"/>
            <w:vAlign w:val="center"/>
            <w:shd w:fill="FFFFFF"/>
            <w:tcMar>
              <w:top w:w="65" w:type="dxa"/>
              <w:bottom w:w="65" w:type="dxa"/>
              <w:left w:w="100" w:type="dxa"/>
              <w:right w:w="100" w:type="dxa"/>
            </w:tcMar>
          </w:tcPr>
          <w:p>
            <w:pPr>
              <w:pStyle w:val="TableBody"/>
              <w:keepNext w:val="0"/>
            </w:pPr>
            <w:r>
              <w:rPr>
                <w:b w:val="0"/>
                <w:i w:val="0"/>
              </w:rPr>
              <w:t>How are dependencies and changes governed?</w:t>
            </w:r>
          </w:p>
        </w:tc>
        <w:tc>
          <w:tcPr>
            <w:tcW w:type="dxa" w:w="4306"/>
            <w:vAlign w:val="center"/>
            <w:shd w:fill="FFFFFF"/>
            <w:tcMar>
              <w:top w:w="65" w:type="dxa"/>
              <w:bottom w:w="65" w:type="dxa"/>
              <w:left w:w="100" w:type="dxa"/>
              <w:right w:w="100" w:type="dxa"/>
            </w:tcMar>
          </w:tcPr>
          <w:p>
            <w:pPr>
              <w:pStyle w:val="TableBody"/>
              <w:keepNext w:val="0"/>
            </w:pPr>
            <w:r>
              <w:rPr>
                <w:b w:val="0"/>
                <w:i w:val="0"/>
              </w:rPr>
              <w:t>Change and decision process</w:t>
            </w:r>
          </w:p>
        </w:tc>
      </w:tr>
      <w:tr>
        <w:trPr>
          <w:cantSplit/>
        </w:trPr>
        <w:tc>
          <w:tcPr>
            <w:tcW w:type="dxa" w:w="2203"/>
            <w:vAlign w:val="center"/>
            <w:shd w:fill="F0F4F6"/>
            <w:tcMar>
              <w:top w:w="65" w:type="dxa"/>
              <w:bottom w:w="65" w:type="dxa"/>
              <w:left w:w="100" w:type="dxa"/>
              <w:right w:w="100" w:type="dxa"/>
            </w:tcMar>
          </w:tcPr>
          <w:p>
            <w:pPr>
              <w:pStyle w:val="TableBody"/>
              <w:keepNext w:val="0"/>
            </w:pPr>
            <w:r>
              <w:rPr>
                <w:b w:val="0"/>
                <w:i w:val="0"/>
              </w:rPr>
              <w:t>PTDI — Ashok</w:t>
            </w:r>
          </w:p>
        </w:tc>
        <w:tc>
          <w:tcPr>
            <w:tcW w:type="dxa" w:w="3773"/>
            <w:vAlign w:val="center"/>
            <w:shd w:fill="F0F4F6"/>
            <w:tcMar>
              <w:top w:w="65" w:type="dxa"/>
              <w:bottom w:w="65" w:type="dxa"/>
              <w:left w:w="100" w:type="dxa"/>
              <w:right w:w="100" w:type="dxa"/>
            </w:tcMar>
          </w:tcPr>
          <w:p>
            <w:pPr>
              <w:pStyle w:val="TableBody"/>
              <w:keepNext w:val="0"/>
            </w:pPr>
            <w:r>
              <w:rPr>
                <w:b w:val="0"/>
                <w:i w:val="0"/>
              </w:rPr>
              <w:t>Which diagnostics or test evidence are reusable?</w:t>
            </w:r>
          </w:p>
        </w:tc>
        <w:tc>
          <w:tcPr>
            <w:tcW w:type="dxa" w:w="4306"/>
            <w:vAlign w:val="center"/>
            <w:shd w:fill="F0F4F6"/>
            <w:tcMar>
              <w:top w:w="65" w:type="dxa"/>
              <w:bottom w:w="65" w:type="dxa"/>
              <w:left w:w="100" w:type="dxa"/>
              <w:right w:w="100" w:type="dxa"/>
            </w:tcMar>
          </w:tcPr>
          <w:p>
            <w:pPr>
              <w:pStyle w:val="TableBody"/>
              <w:keepNext w:val="0"/>
            </w:pPr>
            <w:r>
              <w:rPr>
                <w:b w:val="0"/>
                <w:i w:val="0"/>
              </w:rPr>
              <w:t>Approved counters and fixtures</w:t>
            </w:r>
          </w:p>
        </w:tc>
      </w:tr>
      <w:tr>
        <w:trPr>
          <w:cantSplit/>
        </w:trPr>
        <w:tc>
          <w:tcPr>
            <w:tcW w:type="dxa" w:w="2203"/>
            <w:vAlign w:val="center"/>
            <w:shd w:fill="FFFFFF"/>
            <w:tcMar>
              <w:top w:w="65" w:type="dxa"/>
              <w:bottom w:w="65" w:type="dxa"/>
              <w:left w:w="100" w:type="dxa"/>
              <w:right w:w="100" w:type="dxa"/>
            </w:tcMar>
          </w:tcPr>
          <w:p>
            <w:pPr>
              <w:pStyle w:val="TableBody"/>
              <w:keepNext w:val="0"/>
            </w:pPr>
            <w:r>
              <w:rPr>
                <w:b w:val="0"/>
                <w:i w:val="0"/>
              </w:rPr>
              <w:t>Test working group — Sathya</w:t>
            </w:r>
          </w:p>
        </w:tc>
        <w:tc>
          <w:tcPr>
            <w:tcW w:type="dxa" w:w="3773"/>
            <w:vAlign w:val="center"/>
            <w:shd w:fill="FFFFFF"/>
            <w:tcMar>
              <w:top w:w="65" w:type="dxa"/>
              <w:bottom w:w="65" w:type="dxa"/>
              <w:left w:w="100" w:type="dxa"/>
              <w:right w:w="100" w:type="dxa"/>
            </w:tcMar>
          </w:tcPr>
          <w:p>
            <w:pPr>
              <w:pStyle w:val="TableBody"/>
              <w:keepNext w:val="0"/>
            </w:pPr>
            <w:r>
              <w:rPr>
                <w:b w:val="0"/>
                <w:i w:val="0"/>
              </w:rPr>
              <w:t>Which workload failures are covered?</w:t>
            </w:r>
          </w:p>
        </w:tc>
        <w:tc>
          <w:tcPr>
            <w:tcW w:type="dxa" w:w="4306"/>
            <w:vAlign w:val="center"/>
            <w:shd w:fill="FFFFFF"/>
            <w:tcMar>
              <w:top w:w="65" w:type="dxa"/>
              <w:bottom w:w="65" w:type="dxa"/>
              <w:left w:w="100" w:type="dxa"/>
              <w:right w:w="100" w:type="dxa"/>
            </w:tcMar>
          </w:tcPr>
          <w:p>
            <w:pPr>
              <w:pStyle w:val="TableBody"/>
              <w:keepNext w:val="0"/>
            </w:pPr>
            <w:r>
              <w:rPr>
                <w:b w:val="0"/>
                <w:i w:val="0"/>
              </w:rPr>
              <w:t>Coverage and validation-owner map</w:t>
            </w:r>
          </w:p>
        </w:tc>
      </w:tr>
      <w:tr>
        <w:trPr>
          <w:cantSplit/>
        </w:trPr>
        <w:tc>
          <w:tcPr>
            <w:tcW w:type="dxa" w:w="2203"/>
            <w:vAlign w:val="center"/>
            <w:shd w:fill="F0F4F6"/>
            <w:tcMar>
              <w:top w:w="65" w:type="dxa"/>
              <w:bottom w:w="65" w:type="dxa"/>
              <w:left w:w="100" w:type="dxa"/>
              <w:right w:w="100" w:type="dxa"/>
            </w:tcMar>
          </w:tcPr>
          <w:p>
            <w:pPr>
              <w:pStyle w:val="TableBody"/>
              <w:keepNext w:val="0"/>
            </w:pPr>
            <w:r>
              <w:rPr>
                <w:b w:val="0"/>
                <w:i w:val="0"/>
              </w:rPr>
              <w:t>Schedule — Gurjit</w:t>
            </w:r>
          </w:p>
        </w:tc>
        <w:tc>
          <w:tcPr>
            <w:tcW w:type="dxa" w:w="3773"/>
            <w:vAlign w:val="center"/>
            <w:shd w:fill="F0F4F6"/>
            <w:tcMar>
              <w:top w:w="65" w:type="dxa"/>
              <w:bottom w:w="65" w:type="dxa"/>
              <w:left w:w="100" w:type="dxa"/>
              <w:right w:w="100" w:type="dxa"/>
            </w:tcMar>
          </w:tcPr>
          <w:p>
            <w:pPr>
              <w:pStyle w:val="TableBody"/>
              <w:keepNext w:val="0"/>
            </w:pPr>
            <w:r>
              <w:rPr>
                <w:b w:val="0"/>
                <w:i w:val="0"/>
              </w:rPr>
              <w:t>Which dates and access dependencies are authoritative?</w:t>
            </w:r>
          </w:p>
        </w:tc>
        <w:tc>
          <w:tcPr>
            <w:tcW w:type="dxa" w:w="4306"/>
            <w:vAlign w:val="center"/>
            <w:shd w:fill="F0F4F6"/>
            <w:tcMar>
              <w:top w:w="65" w:type="dxa"/>
              <w:bottom w:w="65" w:type="dxa"/>
              <w:left w:w="100" w:type="dxa"/>
              <w:right w:w="100" w:type="dxa"/>
            </w:tcMar>
          </w:tcPr>
          <w:p>
            <w:pPr>
              <w:pStyle w:val="TableBody"/>
              <w:keepNext w:val="0"/>
            </w:pPr>
            <w:r>
              <w:rPr>
                <w:b w:val="0"/>
                <w:i w:val="0"/>
              </w:rPr>
              <w:t>Controlled milestone record</w:t>
            </w:r>
          </w:p>
        </w:tc>
      </w:tr>
      <w:tr>
        <w:trPr>
          <w:cantSplit/>
        </w:trPr>
        <w:tc>
          <w:tcPr>
            <w:tcW w:type="dxa" w:w="2203"/>
            <w:vAlign w:val="center"/>
            <w:shd w:fill="FFFFFF"/>
            <w:tcMar>
              <w:top w:w="65" w:type="dxa"/>
              <w:bottom w:w="65" w:type="dxa"/>
              <w:left w:w="100" w:type="dxa"/>
              <w:right w:w="100" w:type="dxa"/>
            </w:tcMar>
          </w:tcPr>
          <w:p>
            <w:pPr>
              <w:pStyle w:val="TableBody"/>
              <w:keepNext w:val="0"/>
            </w:pPr>
            <w:r>
              <w:rPr>
                <w:b w:val="0"/>
                <w:i w:val="0"/>
              </w:rPr>
              <w:t>Bring-up — Eshak</w:t>
            </w:r>
          </w:p>
        </w:tc>
        <w:tc>
          <w:tcPr>
            <w:tcW w:type="dxa" w:w="3773"/>
            <w:vAlign w:val="center"/>
            <w:shd w:fill="FFFFFF"/>
            <w:tcMar>
              <w:top w:w="65" w:type="dxa"/>
              <w:bottom w:w="65" w:type="dxa"/>
              <w:left w:w="100" w:type="dxa"/>
              <w:right w:w="100" w:type="dxa"/>
            </w:tcMar>
          </w:tcPr>
          <w:p>
            <w:pPr>
              <w:pStyle w:val="TableBody"/>
              <w:keepNext w:val="0"/>
            </w:pPr>
            <w:r>
              <w:rPr>
                <w:b w:val="0"/>
                <w:i w:val="0"/>
              </w:rPr>
              <w:t>What works now and what can be measured?</w:t>
            </w:r>
          </w:p>
        </w:tc>
        <w:tc>
          <w:tcPr>
            <w:tcW w:type="dxa" w:w="4306"/>
            <w:vAlign w:val="center"/>
            <w:shd w:fill="FFFFFF"/>
            <w:tcMar>
              <w:top w:w="65" w:type="dxa"/>
              <w:bottom w:w="65" w:type="dxa"/>
              <w:left w:w="100" w:type="dxa"/>
              <w:right w:w="100" w:type="dxa"/>
            </w:tcMar>
          </w:tcPr>
          <w:p>
            <w:pPr>
              <w:pStyle w:val="TableBody"/>
              <w:keepNext w:val="0"/>
            </w:pPr>
            <w:r>
              <w:rPr>
                <w:b w:val="0"/>
                <w:i w:val="0"/>
              </w:rPr>
              <w:t>Available configurations and known issues</w:t>
            </w:r>
          </w:p>
        </w:tc>
      </w:tr>
      <w:tr>
        <w:trPr>
          <w:cantSplit/>
        </w:trPr>
        <w:tc>
          <w:tcPr>
            <w:tcW w:type="dxa" w:w="2203"/>
            <w:vAlign w:val="center"/>
            <w:shd w:fill="F0F4F6"/>
            <w:tcMar>
              <w:top w:w="65" w:type="dxa"/>
              <w:bottom w:w="65" w:type="dxa"/>
              <w:left w:w="100" w:type="dxa"/>
              <w:right w:w="100" w:type="dxa"/>
            </w:tcMar>
          </w:tcPr>
          <w:p>
            <w:pPr>
              <w:pStyle w:val="TableBody"/>
              <w:keepNext w:val="0"/>
            </w:pPr>
            <w:r>
              <w:rPr>
                <w:b w:val="0"/>
                <w:i w:val="0"/>
              </w:rPr>
              <w:t>Partner liaison — assign</w:t>
            </w:r>
          </w:p>
        </w:tc>
        <w:tc>
          <w:tcPr>
            <w:tcW w:type="dxa" w:w="3773"/>
            <w:vAlign w:val="center"/>
            <w:shd w:fill="F0F4F6"/>
            <w:tcMar>
              <w:top w:w="65" w:type="dxa"/>
              <w:bottom w:w="65" w:type="dxa"/>
              <w:left w:w="100" w:type="dxa"/>
              <w:right w:w="100" w:type="dxa"/>
            </w:tcMar>
          </w:tcPr>
          <w:p>
            <w:pPr>
              <w:pStyle w:val="TableBody"/>
              <w:keepNext w:val="0"/>
            </w:pPr>
            <w:r>
              <w:rPr>
                <w:b w:val="0"/>
                <w:i w:val="0"/>
              </w:rPr>
              <w:t>What exists now versus a later deliverable?</w:t>
            </w:r>
          </w:p>
        </w:tc>
        <w:tc>
          <w:tcPr>
            <w:tcW w:type="dxa" w:w="4306"/>
            <w:vAlign w:val="center"/>
            <w:shd w:fill="F0F4F6"/>
            <w:tcMar>
              <w:top w:w="65" w:type="dxa"/>
              <w:bottom w:w="65" w:type="dxa"/>
              <w:left w:w="100" w:type="dxa"/>
              <w:right w:w="100" w:type="dxa"/>
            </w:tcMar>
          </w:tcPr>
          <w:p>
            <w:pPr>
              <w:pStyle w:val="TableBody"/>
              <w:keepNext w:val="0"/>
            </w:pPr>
            <w:r>
              <w:rPr>
                <w:b w:val="0"/>
                <w:i w:val="0"/>
              </w:rPr>
              <w:t>Statement of work, API, licensing, tests</w:t>
            </w:r>
          </w:p>
        </w:tc>
      </w:tr>
    </w:tbl>
    <w:p>
      <w:pPr>
        <w:spacing w:after="60" w:before="0" w:line="40" w:lineRule="exact"/>
      </w:pPr>
      <w:r>
        <w:rPr>
          <w:sz w:val="4"/>
        </w:rPr>
      </w:r>
    </w:p>
    <w:p>
      <w:pPr>
        <w:pStyle w:val="Heading2"/>
      </w:pPr>
      <w:r>
        <w:rPr>
          <w:b w:val="0"/>
          <w:i w:val="0"/>
        </w:rPr>
        <w:t>Your ownership boundary</w:t>
      </w:r>
    </w:p>
    <w:p>
      <w:r>
        <w:rPr>
          <w:b/>
          <w:i w:val="0"/>
        </w:rPr>
        <w:t>Own:</w:t>
      </w:r>
      <w:r>
        <w:rPr>
          <w:b w:val="0"/>
          <w:i w:val="0"/>
        </w:rPr>
        <w:t xml:space="preserve"> workload definitions, scenario/profile quality, system-level reasoning, evidence lineage, follow-through, and decision reports.</w:t>
      </w:r>
    </w:p>
    <w:p>
      <w:r>
        <w:rPr>
          <w:b/>
          <w:i w:val="0"/>
        </w:rPr>
        <w:t>Co-own:</w:t>
      </w:r>
      <w:r>
        <w:rPr>
          <w:b w:val="0"/>
          <w:i w:val="0"/>
        </w:rPr>
        <w:t xml:space="preserve"> test design, baseline validity, simulator contracts, runtime requirements, and OEM acceptance criteria.</w:t>
      </w:r>
    </w:p>
    <w:p>
      <w:r>
        <w:rPr>
          <w:b/>
          <w:i w:val="0"/>
        </w:rPr>
        <w:t>Do not self-certify:</w:t>
      </w:r>
      <w:r>
        <w:rPr>
          <w:b w:val="0"/>
          <w:i w:val="0"/>
        </w:rPr>
        <w:t xml:space="preserve"> signal integrity, electrical compatibility, thermal limits, secure isolation, final silicon timing, license rights, or launch readiness. Obtain the qualified owner’s review.</w:t>
      </w:r>
    </w:p>
    <w:p>
      <w:r>
        <w:rPr>
          <w:b w:val="0"/>
          <w:i w:val="0"/>
        </w:rPr>
        <w:t xml:space="preserve">Every unresolved question needs an </w:t>
      </w:r>
      <w:r>
        <w:rPr>
          <w:b/>
          <w:i w:val="0"/>
        </w:rPr>
        <w:t>impact, owner, requested artifact, review date, and interim assumption</w:t>
      </w:r>
      <w:r>
        <w:rPr>
          <w:b w:val="0"/>
          <w:i w:val="0"/>
        </w:rPr>
        <w:t>. Escalate a blocked input rather than silently replacing it with a favorable number.</w:t>
      </w:r>
    </w:p>
    <w:p>
      <w:r>
        <w:br w:type="page"/>
      </w:r>
    </w:p>
    <w:p>
      <w:pPr>
        <w:pStyle w:val="Kicker"/>
        <w:spacing w:after="140"/>
      </w:pPr>
      <w:r>
        <w:t>PLAN  •  EVIDENCE  •  DECISIONS</w:t>
      </w:r>
    </w:p>
    <w:p>
      <w:bookmarkStart w:id="15" w:name="page_9"/>
      <w:bookmarkStart w:id="14" w:name="sec_6"/>
      <w:pPr>
        <w:pStyle w:val="Heading1"/>
      </w:pPr>
      <w:r>
        <w:t>6. Meeting playbooks: the next Raj discussion</w:t>
      </w:r>
      <w:bookmarkEnd w:id="14"/>
      <w:bookmarkEnd w:id="15"/>
    </w:p>
    <w:p>
      <w:r>
        <w:rPr>
          <w:b/>
          <w:i w:val="0"/>
        </w:rPr>
        <w:t>Purpose:</w:t>
      </w:r>
      <w:r>
        <w:rPr>
          <w:b w:val="0"/>
          <w:i w:val="0"/>
        </w:rPr>
        <w:t xml:space="preserve"> agree a focused reset. Send a one-page pre-read the prior business day when possible. The detailed plan supports the discussion; it is not the agenda to read aloud. </w:t>
      </w:r>
      <w:r>
        <w:rPr>
          <w:b w:val="0"/>
          <w:i w:val="0"/>
        </w:rPr>
        <w:t>[</w:t>
      </w:r>
      <w:r>
        <w:rPr>
          <w:b w:val="0"/>
          <w:i w:val="0"/>
        </w:rPr>
        <w:t>S1 §6]</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Time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Walkthrough</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Decision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0–5 min</w:t>
            </w:r>
          </w:p>
        </w:tc>
        <w:tc>
          <w:tcPr>
            <w:tcW w:type="dxa" w:w="3960"/>
            <w:vAlign w:val="center"/>
            <w:shd w:fill="F0F4F6"/>
            <w:tcMar>
              <w:top w:w="65" w:type="dxa"/>
              <w:bottom w:w="65" w:type="dxa"/>
              <w:left w:w="100" w:type="dxa"/>
              <w:right w:w="100" w:type="dxa"/>
            </w:tcMar>
          </w:tcPr>
          <w:p>
            <w:pPr>
              <w:pStyle w:val="TableBody"/>
              <w:keepNext w:val="0"/>
            </w:pPr>
            <w:r>
              <w:rPr>
                <w:b w:val="0"/>
                <w:i w:val="0"/>
              </w:rPr>
              <w:t>One-, three-, six-month outcomes</w:t>
            </w:r>
          </w:p>
        </w:tc>
        <w:tc>
          <w:tcPr>
            <w:tcW w:type="dxa" w:w="4090"/>
            <w:vAlign w:val="center"/>
            <w:shd w:fill="F0F4F6"/>
            <w:tcMar>
              <w:top w:w="65" w:type="dxa"/>
              <w:bottom w:w="65" w:type="dxa"/>
              <w:left w:w="100" w:type="dxa"/>
              <w:right w:w="100" w:type="dxa"/>
            </w:tcMar>
          </w:tcPr>
          <w:p>
            <w:pPr>
              <w:pStyle w:val="TableBody"/>
              <w:keepNext w:val="0"/>
            </w:pPr>
            <w:r>
              <w:rPr>
                <w:b w:val="0"/>
                <w:i w:val="0"/>
              </w:rPr>
              <w:t>Agree what success means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5–12 min</w:t>
            </w:r>
          </w:p>
        </w:tc>
        <w:tc>
          <w:tcPr>
            <w:tcW w:type="dxa" w:w="3960"/>
            <w:vAlign w:val="center"/>
            <w:shd w:fill="FFFFFF"/>
            <w:tcMar>
              <w:top w:w="65" w:type="dxa"/>
              <w:bottom w:w="65" w:type="dxa"/>
              <w:left w:w="100" w:type="dxa"/>
              <w:right w:w="100" w:type="dxa"/>
            </w:tcMar>
          </w:tcPr>
          <w:p>
            <w:pPr>
              <w:pStyle w:val="TableBody"/>
              <w:keepNext w:val="0"/>
            </w:pPr>
            <w:r>
              <w:rPr>
                <w:b w:val="0"/>
                <w:i w:val="0"/>
              </w:rPr>
              <w:t>Three physical layouts and unknown paths</w:t>
            </w:r>
          </w:p>
        </w:tc>
        <w:tc>
          <w:tcPr>
            <w:tcW w:type="dxa" w:w="4090"/>
            <w:vAlign w:val="center"/>
            <w:shd w:fill="FFFFFF"/>
            <w:tcMar>
              <w:top w:w="65" w:type="dxa"/>
              <w:bottom w:w="65" w:type="dxa"/>
              <w:left w:w="100" w:type="dxa"/>
              <w:right w:w="100" w:type="dxa"/>
            </w:tcMar>
          </w:tcPr>
          <w:p>
            <w:pPr>
              <w:pStyle w:val="TableBody"/>
              <w:keepNext w:val="0"/>
            </w:pPr>
            <w:r>
              <w:rPr>
                <w:b w:val="0"/>
                <w:i w:val="0"/>
              </w:rPr>
              <w:t>Select baseline and hardware owner</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12–18 min</w:t>
            </w:r>
          </w:p>
        </w:tc>
        <w:tc>
          <w:tcPr>
            <w:tcW w:type="dxa" w:w="3960"/>
            <w:vAlign w:val="center"/>
            <w:shd w:fill="F0F4F6"/>
            <w:tcMar>
              <w:top w:w="65" w:type="dxa"/>
              <w:bottom w:w="65" w:type="dxa"/>
              <w:left w:w="100" w:type="dxa"/>
              <w:right w:w="100" w:type="dxa"/>
            </w:tcMar>
          </w:tcPr>
          <w:p>
            <w:pPr>
              <w:pStyle w:val="TableBody"/>
              <w:keepNext w:val="0"/>
            </w:pPr>
            <w:r>
              <w:rPr>
                <w:b w:val="0"/>
                <w:i w:val="0"/>
              </w:rPr>
              <w:t>One memory/queue example and evidence boundary</w:t>
            </w:r>
          </w:p>
        </w:tc>
        <w:tc>
          <w:tcPr>
            <w:tcW w:type="dxa" w:w="4090"/>
            <w:vAlign w:val="center"/>
            <w:shd w:fill="F0F4F6"/>
            <w:tcMar>
              <w:top w:w="65" w:type="dxa"/>
              <w:bottom w:w="65" w:type="dxa"/>
              <w:left w:w="100" w:type="dxa"/>
              <w:right w:w="100" w:type="dxa"/>
            </w:tcMar>
          </w:tcPr>
          <w:p>
            <w:pPr>
              <w:pStyle w:val="TableBody"/>
              <w:keepNext w:val="0"/>
            </w:pPr>
            <w:r>
              <w:rPr>
                <w:b w:val="0"/>
                <w:i w:val="0"/>
              </w:rPr>
              <w:t>Select the first causal test</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18–25 min</w:t>
            </w:r>
          </w:p>
        </w:tc>
        <w:tc>
          <w:tcPr>
            <w:tcW w:type="dxa" w:w="3960"/>
            <w:vAlign w:val="center"/>
            <w:shd w:fill="FFFFFF"/>
            <w:tcMar>
              <w:top w:w="65" w:type="dxa"/>
              <w:bottom w:w="65" w:type="dxa"/>
              <w:left w:w="100" w:type="dxa"/>
              <w:right w:w="100" w:type="dxa"/>
            </w:tcMar>
          </w:tcPr>
          <w:p>
            <w:pPr>
              <w:pStyle w:val="TableBody"/>
              <w:keepNext w:val="0"/>
            </w:pPr>
            <w:r>
              <w:rPr>
                <w:b w:val="0"/>
                <w:i w:val="0"/>
              </w:rPr>
              <w:t>Learning, modeling support, lab and partner access</w:t>
            </w:r>
          </w:p>
        </w:tc>
        <w:tc>
          <w:tcPr>
            <w:tcW w:type="dxa" w:w="4090"/>
            <w:vAlign w:val="center"/>
            <w:shd w:fill="FFFFFF"/>
            <w:tcMar>
              <w:top w:w="65" w:type="dxa"/>
              <w:bottom w:w="65" w:type="dxa"/>
              <w:left w:w="100" w:type="dxa"/>
              <w:right w:w="100" w:type="dxa"/>
            </w:tcMar>
          </w:tcPr>
          <w:p>
            <w:pPr>
              <w:pStyle w:val="TableBody"/>
              <w:keepNext w:val="0"/>
            </w:pPr>
            <w:r>
              <w:rPr>
                <w:b w:val="0"/>
                <w:i w:val="0"/>
              </w:rPr>
              <w:t>Assign mentor, reviewer, access, liaison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25–30 min</w:t>
            </w:r>
          </w:p>
        </w:tc>
        <w:tc>
          <w:tcPr>
            <w:tcW w:type="dxa" w:w="3960"/>
            <w:vAlign w:val="center"/>
            <w:shd w:fill="F0F4F6"/>
            <w:tcMar>
              <w:top w:w="65" w:type="dxa"/>
              <w:bottom w:w="65" w:type="dxa"/>
              <w:left w:w="100" w:type="dxa"/>
              <w:right w:w="100" w:type="dxa"/>
            </w:tcMar>
          </w:tcPr>
          <w:p>
            <w:pPr>
              <w:pStyle w:val="TableBody"/>
              <w:keepNext w:val="0"/>
            </w:pPr>
            <w:r>
              <w:rPr>
                <w:b w:val="0"/>
                <w:i w:val="0"/>
              </w:rPr>
              <w:t>Priorities and deferrals</w:t>
            </w:r>
          </w:p>
        </w:tc>
        <w:tc>
          <w:tcPr>
            <w:tcW w:type="dxa" w:w="4090"/>
            <w:vAlign w:val="center"/>
            <w:shd w:fill="F0F4F6"/>
            <w:tcMar>
              <w:top w:w="65" w:type="dxa"/>
              <w:bottom w:w="65" w:type="dxa"/>
              <w:left w:w="100" w:type="dxa"/>
              <w:right w:w="100" w:type="dxa"/>
            </w:tcMar>
          </w:tcPr>
          <w:p>
            <w:pPr>
              <w:pStyle w:val="TableBody"/>
              <w:keepNext w:val="0"/>
            </w:pPr>
            <w:r>
              <w:rPr>
                <w:b w:val="0"/>
                <w:i w:val="0"/>
              </w:rPr>
              <w:t>Agree next artifact, owner, review date</w:t>
            </w:r>
          </w:p>
        </w:tc>
      </w:tr>
    </w:tbl>
    <w:p>
      <w:pPr>
        <w:spacing w:after="60" w:before="0" w:line="40" w:lineRule="exact"/>
      </w:pPr>
      <w:r>
        <w:rPr>
          <w:sz w:val="4"/>
        </w:rPr>
      </w:r>
    </w:p>
    <w:p>
      <w:pPr>
        <w:pStyle w:val="Heading2"/>
      </w:pPr>
      <w:r>
        <w:rPr>
          <w:b w:val="0"/>
          <w:i w:val="0"/>
        </w:rPr>
        <w:t>Bring three things</w:t>
      </w:r>
    </w:p>
    <w:p>
      <w:r>
        <w:rPr>
          <w:b w:val="0"/>
          <w:i w:val="0"/>
        </w:rPr>
        <w:t>One-page outcomes; a full-card/direct-E3.S/switched-E3.S comparison; a five-question register. Do not bring seven competing proposals without explaining which is authoritative.</w:t>
      </w:r>
    </w:p>
    <w:p>
      <w:pPr>
        <w:pStyle w:val="Heading2"/>
      </w:pPr>
      <w:r>
        <w:rPr>
          <w:b w:val="0"/>
          <w:i w:val="0"/>
        </w:rPr>
        <w:t>Opening you can rehearse</w:t>
      </w:r>
    </w:p>
    <w:p>
      <w:pPr>
        <w:spacing w:before="120" w:after="200"/>
        <w:ind w:left="187" w:right="187"/>
        <w:shd w:fill="F8F3EF"/>
        <w:pBdr>
          <w:left w:val="single" w:sz="20" w:color="8C2335" w:space="8"/>
        </w:pBdr>
      </w:pPr>
      <w:r>
        <w:rPr>
          <w:b w:val="0"/>
          <w:i w:val="0"/>
          <w:color w:val="173047"/>
        </w:rPr>
        <w:t>“I am connecting the workload work to the physical deployment. First I will validate the three ATMOS layouts and the memory path with the hardware owner. In parallel, I will build a small reproducible resource test. By one month we should have reviewed profiles and a causal example; by three months a bounded comparison and the lead POC; by six months a calibrated package and partner/OEM path, subject to access.”</w:t>
      </w:r>
    </w:p>
    <w:p>
      <w:pPr>
        <w:pStyle w:val="Heading2"/>
      </w:pPr>
      <w:r>
        <w:rPr>
          <w:b w:val="0"/>
          <w:i w:val="0"/>
        </w:rPr>
        <w:t>Recurring manager 1:1</w:t>
      </w:r>
    </w:p>
    <w:p>
      <w:r>
        <w:rPr>
          <w:b w:val="0"/>
          <w:i w:val="0"/>
        </w:rPr>
        <w:t xml:space="preserve">Retain the original structure: outcomes 5 minutes; changed evidence 5; priorities/trade-offs 8; decisions/escalations 8; commitments/visibility 4. Close with: </w:t>
      </w:r>
      <w:r>
        <w:rPr>
          <w:b/>
          <w:i w:val="0"/>
        </w:rPr>
        <w:t>What should stop? Which assumption needs escalation? Who reviews the next artifact?</w:t>
      </w:r>
      <w:r>
        <w:rPr>
          <w:b w:val="0"/>
          <w:i w:val="0"/>
        </w:rPr>
        <w:t xml:space="preserve"> Record the answers that day.</w:t>
      </w:r>
    </w:p>
    <w:p>
      <w:pPr>
        <w:pStyle w:val="Heading2"/>
      </w:pPr>
      <w:r>
        <w:rPr>
          <w:b w:val="0"/>
          <w:i w:val="0"/>
        </w:rPr>
        <w:t>Readiness check</w:t>
      </w:r>
    </w:p>
    <w:p>
      <w:r>
        <w:rPr>
          <w:b w:val="0"/>
          <w:i w:val="0"/>
        </w:rPr>
        <w:t>Explain E3.S versus PCIe; locate compute and switch; distinguish local, host, and peer traffic; identify what is measured versus assumed. Unresolved quantities are acceptable when visible and owned. Invented certainty is not.</w:t>
      </w:r>
    </w:p>
    <w:p>
      <w:r>
        <w:br w:type="page"/>
      </w:r>
    </w:p>
    <w:p>
      <w:pPr>
        <w:pStyle w:val="Kicker"/>
        <w:spacing w:after="140"/>
      </w:pPr>
      <w:r>
        <w:t>PLAN  •  EVIDENCE  •  DECISIONS</w:t>
      </w:r>
    </w:p>
    <w:p>
      <w:bookmarkStart w:id="16" w:name="page_10"/>
      <w:pPr>
        <w:pStyle w:val="Heading1"/>
      </w:pPr>
      <w:r>
        <w:t>6. Other reviews and follow-up</w:t>
      </w:r>
      <w:bookmarkEnd w:id="16"/>
    </w:p>
    <w:p>
      <w:r>
        <w:rPr>
          <w:b w:val="0"/>
          <w:i w:val="0"/>
        </w:rPr>
        <w:t xml:space="preserve">These retain the original forum types and intended outcomes. </w:t>
      </w:r>
      <w:r>
        <w:rPr>
          <w:b w:val="0"/>
          <w:i w:val="0"/>
        </w:rPr>
        <w:t>[</w:t>
      </w:r>
      <w:r>
        <w:rPr>
          <w:b w:val="0"/>
          <w:i w:val="0"/>
        </w:rPr>
        <w:t>S1 §6]</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Forum</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Agenda</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Required output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Engineering architecture — 60 min</w:t>
            </w:r>
          </w:p>
        </w:tc>
        <w:tc>
          <w:tcPr>
            <w:tcW w:type="dxa" w:w="3960"/>
            <w:vAlign w:val="center"/>
            <w:shd w:fill="F0F4F6"/>
            <w:tcMar>
              <w:top w:w="65" w:type="dxa"/>
              <w:bottom w:w="65" w:type="dxa"/>
              <w:left w:w="100" w:type="dxa"/>
              <w:right w:w="100" w:type="dxa"/>
            </w:tcMar>
          </w:tcPr>
          <w:p>
            <w:pPr>
              <w:pStyle w:val="TableBody"/>
              <w:keepNext w:val="0"/>
            </w:pPr>
            <w:r>
              <w:rPr>
                <w:b w:val="0"/>
                <w:i w:val="0"/>
              </w:rPr>
              <w:t>Decision; paths; workload; alternatives; failures/security; validation</w:t>
            </w:r>
          </w:p>
        </w:tc>
        <w:tc>
          <w:tcPr>
            <w:tcW w:type="dxa" w:w="4090"/>
            <w:vAlign w:val="center"/>
            <w:shd w:fill="F0F4F6"/>
            <w:tcMar>
              <w:top w:w="65" w:type="dxa"/>
              <w:bottom w:w="65" w:type="dxa"/>
              <w:left w:w="100" w:type="dxa"/>
              <w:right w:w="100" w:type="dxa"/>
            </w:tcMar>
          </w:tcPr>
          <w:p>
            <w:pPr>
              <w:pStyle w:val="TableBody"/>
              <w:keepNext w:val="0"/>
            </w:pPr>
            <w:r>
              <w:rPr>
                <w:b w:val="0"/>
                <w:i w:val="0"/>
              </w:rPr>
              <w:t>Architecture decision and validation owner</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Product — 45 min monthly</w:t>
            </w:r>
          </w:p>
        </w:tc>
        <w:tc>
          <w:tcPr>
            <w:tcW w:type="dxa" w:w="3960"/>
            <w:vAlign w:val="center"/>
            <w:shd w:fill="FFFFFF"/>
            <w:tcMar>
              <w:top w:w="65" w:type="dxa"/>
              <w:bottom w:w="65" w:type="dxa"/>
              <w:left w:w="100" w:type="dxa"/>
              <w:right w:w="100" w:type="dxa"/>
            </w:tcMar>
          </w:tcPr>
          <w:p>
            <w:pPr>
              <w:pStyle w:val="TableBody"/>
              <w:keepNext w:val="0"/>
            </w:pPr>
            <w:r>
              <w:rPr>
                <w:b w:val="0"/>
                <w:i w:val="0"/>
              </w:rPr>
              <w:t>Customer problem; evidence; fit; gap; alternatives/economics</w:t>
            </w:r>
          </w:p>
        </w:tc>
        <w:tc>
          <w:tcPr>
            <w:tcW w:type="dxa" w:w="4090"/>
            <w:vAlign w:val="center"/>
            <w:shd w:fill="FFFFFF"/>
            <w:tcMar>
              <w:top w:w="65" w:type="dxa"/>
              <w:bottom w:w="65" w:type="dxa"/>
              <w:left w:w="100" w:type="dxa"/>
              <w:right w:w="100" w:type="dxa"/>
            </w:tcMar>
          </w:tcPr>
          <w:p>
            <w:pPr>
              <w:pStyle w:val="TableBody"/>
              <w:keepNext w:val="0"/>
            </w:pPr>
            <w:r>
              <w:rPr>
                <w:b w:val="0"/>
                <w:i w:val="0"/>
              </w:rPr>
              <w:t>Commit, investigate, defer, or reject a requirement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Executive — 30 min quarterly</w:t>
            </w:r>
          </w:p>
        </w:tc>
        <w:tc>
          <w:tcPr>
            <w:tcW w:type="dxa" w:w="3960"/>
            <w:vAlign w:val="center"/>
            <w:shd w:fill="F0F4F6"/>
            <w:tcMar>
              <w:top w:w="65" w:type="dxa"/>
              <w:bottom w:w="65" w:type="dxa"/>
              <w:left w:w="100" w:type="dxa"/>
              <w:right w:w="100" w:type="dxa"/>
            </w:tcMar>
          </w:tcPr>
          <w:p>
            <w:pPr>
              <w:pStyle w:val="TableBody"/>
              <w:keepNext w:val="0"/>
            </w:pPr>
            <w:r>
              <w:rPr>
                <w:b w:val="0"/>
                <w:i w:val="0"/>
              </w:rPr>
              <w:t>Objective; three insights; pipeline; risks; next gates; at most two asks</w:t>
            </w:r>
          </w:p>
        </w:tc>
        <w:tc>
          <w:tcPr>
            <w:tcW w:type="dxa" w:w="4090"/>
            <w:vAlign w:val="center"/>
            <w:shd w:fill="F0F4F6"/>
            <w:tcMar>
              <w:top w:w="65" w:type="dxa"/>
              <w:bottom w:w="65" w:type="dxa"/>
              <w:left w:w="100" w:type="dxa"/>
              <w:right w:w="100" w:type="dxa"/>
            </w:tcMar>
          </w:tcPr>
          <w:p>
            <w:pPr>
              <w:pStyle w:val="TableBody"/>
              <w:keepNext w:val="0"/>
            </w:pPr>
            <w:r>
              <w:rPr>
                <w:b w:val="0"/>
                <w:i w:val="0"/>
              </w:rPr>
              <w:t>Recorded resource/priority/stop decision</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Customer discovery — 60 min</w:t>
            </w:r>
          </w:p>
        </w:tc>
        <w:tc>
          <w:tcPr>
            <w:tcW w:type="dxa" w:w="3960"/>
            <w:vAlign w:val="center"/>
            <w:shd w:fill="FFFFFF"/>
            <w:tcMar>
              <w:top w:w="65" w:type="dxa"/>
              <w:bottom w:w="65" w:type="dxa"/>
              <w:left w:w="100" w:type="dxa"/>
              <w:right w:w="100" w:type="dxa"/>
            </w:tcMar>
          </w:tcPr>
          <w:p>
            <w:pPr>
              <w:pStyle w:val="TableBody"/>
              <w:keepNext w:val="0"/>
            </w:pPr>
            <w:r>
              <w:rPr>
                <w:b w:val="0"/>
                <w:i w:val="0"/>
              </w:rPr>
              <w:t>Outcome 10; workload 15; platform 15; operations 10; hypothesis 5; next step 5</w:t>
            </w:r>
          </w:p>
        </w:tc>
        <w:tc>
          <w:tcPr>
            <w:tcW w:type="dxa" w:w="4090"/>
            <w:vAlign w:val="center"/>
            <w:shd w:fill="FFFFFF"/>
            <w:tcMar>
              <w:top w:w="65" w:type="dxa"/>
              <w:bottom w:w="65" w:type="dxa"/>
              <w:left w:w="100" w:type="dxa"/>
              <w:right w:w="100" w:type="dxa"/>
            </w:tcMar>
          </w:tcPr>
          <w:p>
            <w:pPr>
              <w:pStyle w:val="TableBody"/>
              <w:keepNext w:val="0"/>
            </w:pPr>
            <w:r>
              <w:rPr>
                <w:b w:val="0"/>
                <w:i w:val="0"/>
              </w:rPr>
              <w:t>Quantified problem and authorized data request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POC kickoff — 60 min</w:t>
            </w:r>
          </w:p>
        </w:tc>
        <w:tc>
          <w:tcPr>
            <w:tcW w:type="dxa" w:w="3960"/>
            <w:vAlign w:val="center"/>
            <w:shd w:fill="F0F4F6"/>
            <w:tcMar>
              <w:top w:w="65" w:type="dxa"/>
              <w:bottom w:w="65" w:type="dxa"/>
              <w:left w:w="100" w:type="dxa"/>
              <w:right w:w="100" w:type="dxa"/>
            </w:tcMar>
          </w:tcPr>
          <w:p>
            <w:pPr>
              <w:pStyle w:val="TableBody"/>
              <w:keepNext w:val="0"/>
            </w:pPr>
            <w:r>
              <w:rPr>
                <w:b w:val="0"/>
                <w:i w:val="0"/>
              </w:rPr>
              <w:t>Decision; baseline; trace; quality/latency; gates; data/IP; responsibilities</w:t>
            </w:r>
          </w:p>
        </w:tc>
        <w:tc>
          <w:tcPr>
            <w:tcW w:type="dxa" w:w="4090"/>
            <w:vAlign w:val="center"/>
            <w:shd w:fill="F0F4F6"/>
            <w:tcMar>
              <w:top w:w="65" w:type="dxa"/>
              <w:bottom w:w="65" w:type="dxa"/>
              <w:left w:w="100" w:type="dxa"/>
              <w:right w:w="100" w:type="dxa"/>
            </w:tcMar>
          </w:tcPr>
          <w:p>
            <w:pPr>
              <w:pStyle w:val="TableBody"/>
              <w:keepNext w:val="0"/>
            </w:pPr>
            <w:r>
              <w:rPr>
                <w:b w:val="0"/>
                <w:i w:val="0"/>
              </w:rPr>
              <w:t>Joint charter before comparative runs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POC closeout — 60 min</w:t>
            </w:r>
          </w:p>
        </w:tc>
        <w:tc>
          <w:tcPr>
            <w:tcW w:type="dxa" w:w="3960"/>
            <w:vAlign w:val="center"/>
            <w:shd w:fill="FFFFFF"/>
            <w:tcMar>
              <w:top w:w="65" w:type="dxa"/>
              <w:bottom w:w="65" w:type="dxa"/>
              <w:left w:w="100" w:type="dxa"/>
              <w:right w:w="100" w:type="dxa"/>
            </w:tcMar>
          </w:tcPr>
          <w:p>
            <w:pPr>
              <w:pStyle w:val="TableBody"/>
              <w:keepNext w:val="0"/>
            </w:pPr>
            <w:r>
              <w:rPr>
                <w:b w:val="0"/>
                <w:i w:val="0"/>
              </w:rPr>
              <w:t>Hypothesis; reproducibility; results/limits; failures; TCO; decision</w:t>
            </w:r>
          </w:p>
        </w:tc>
        <w:tc>
          <w:tcPr>
            <w:tcW w:type="dxa" w:w="4090"/>
            <w:vAlign w:val="center"/>
            <w:shd w:fill="FFFFFF"/>
            <w:tcMar>
              <w:top w:w="65" w:type="dxa"/>
              <w:bottom w:w="65" w:type="dxa"/>
              <w:left w:w="100" w:type="dxa"/>
              <w:right w:w="100" w:type="dxa"/>
            </w:tcMar>
          </w:tcPr>
          <w:p>
            <w:pPr>
              <w:pStyle w:val="TableBody"/>
              <w:keepNext w:val="0"/>
            </w:pPr>
            <w:r>
              <w:rPr>
                <w:b w:val="0"/>
                <w:i w:val="0"/>
              </w:rPr>
              <w:t>Written proceed, iterate, pause, or stop</w:t>
            </w:r>
          </w:p>
        </w:tc>
      </w:tr>
    </w:tbl>
    <w:p>
      <w:pPr>
        <w:spacing w:after="60" w:before="0" w:line="40" w:lineRule="exact"/>
      </w:pPr>
      <w:r>
        <w:rPr>
          <w:sz w:val="4"/>
        </w:rPr>
      </w:r>
    </w:p>
    <w:p>
      <w:pPr>
        <w:pStyle w:val="Heading2"/>
      </w:pPr>
      <w:r>
        <w:rPr>
          <w:b w:val="0"/>
          <w:i w:val="0"/>
        </w:rPr>
        <w:t>Questions for every technical workshop</w:t>
      </w:r>
    </w:p>
    <w:p>
      <w:r>
        <w:rPr>
          <w:b/>
          <w:i w:val="0"/>
        </w:rPr>
        <w:t>Hardware:</w:t>
      </w:r>
      <w:r>
        <w:rPr>
          <w:b w:val="0"/>
          <w:i w:val="0"/>
        </w:rPr>
        <w:t xml:space="preserve"> Where is compute? Where is each memory? Which connection is shared? What generation/width is negotiated? Which peer paths are supported?</w:t>
      </w:r>
    </w:p>
    <w:p>
      <w:r>
        <w:rPr>
          <w:b/>
          <w:i w:val="0"/>
        </w:rPr>
        <w:t>Workload:</w:t>
      </w:r>
      <w:r>
        <w:rPr>
          <w:b w:val="0"/>
          <w:i w:val="0"/>
        </w:rPr>
        <w:t xml:space="preserve"> What arrives and when? What is resident, what is actually accessed, and which bytes cross each boundary? What latency and quality must hold?</w:t>
      </w:r>
    </w:p>
    <w:p>
      <w:r>
        <w:rPr>
          <w:b/>
          <w:i w:val="0"/>
        </w:rPr>
        <w:t>Evidence:</w:t>
      </w:r>
      <w:r>
        <w:rPr>
          <w:b w:val="0"/>
          <w:i w:val="0"/>
        </w:rPr>
        <w:t xml:space="preserve"> Did the backend execute numbers, simulate timing, or observe a partner block? Which input dominates uncertainty? What result would disconfirm the hypothesis?</w:t>
      </w:r>
    </w:p>
    <w:p>
      <w:pPr>
        <w:pStyle w:val="Heading2"/>
      </w:pPr>
      <w:r>
        <w:rPr>
          <w:b w:val="0"/>
          <w:i w:val="0"/>
        </w:rPr>
        <w:t>Follow-up format</w:t>
      </w:r>
    </w:p>
    <w:p>
      <w:r>
        <w:rPr>
          <w:b w:val="0"/>
          <w:i w:val="0"/>
        </w:rPr>
        <w:t xml:space="preserve">Send </w:t>
      </w:r>
      <w:r>
        <w:rPr>
          <w:b/>
          <w:i w:val="0"/>
        </w:rPr>
        <w:t>decision, rationale, evidence link, owner, date, and open issue</w:t>
      </w:r>
      <w:r>
        <w:rPr>
          <w:b w:val="0"/>
          <w:i w:val="0"/>
        </w:rPr>
        <w:t>. Attach detailed logs only when useful. Preview material with Raj and the relevant owner before asking them to defend it in a wider forum.</w:t>
      </w:r>
    </w:p>
    <w:p>
      <w:r>
        <w:rPr>
          <w:b w:val="0"/>
          <w:i w:val="0"/>
        </w:rPr>
        <w:t>A POC kickoff is not permission to make a product promise. External performance, compatibility, pricing, or availability wording must be approved by the authorized product, engineering, and communications/legal owners.</w:t>
      </w:r>
    </w:p>
    <w:p>
      <w:r>
        <w:br w:type="page"/>
      </w:r>
    </w:p>
    <w:p>
      <w:pPr>
        <w:pStyle w:val="Kicker"/>
        <w:spacing w:after="140"/>
      </w:pPr>
      <w:r>
        <w:t>PLAN  •  EVIDENCE  •  DECISIONS</w:t>
      </w:r>
    </w:p>
    <w:p>
      <w:bookmarkStart w:id="18" w:name="page_11"/>
      <w:bookmarkStart w:id="17" w:name="sec_7"/>
      <w:pPr>
        <w:pStyle w:val="Heading1"/>
      </w:pPr>
      <w:r>
        <w:t>7. Artifact and source-control system</w:t>
      </w:r>
      <w:bookmarkEnd w:id="17"/>
      <w:bookmarkEnd w:id="18"/>
    </w:p>
    <w:p>
      <w:r>
        <w:rPr>
          <w:b w:val="0"/>
          <w:i w:val="0"/>
        </w:rPr>
        <w:t xml:space="preserve">Maintain one controlled workspace and index. Reuse these artifacts rather than creating a new document family for each discussion. </w:t>
      </w:r>
      <w:r>
        <w:rPr>
          <w:b w:val="0"/>
          <w:i w:val="0"/>
        </w:rPr>
        <w:t>[</w:t>
      </w:r>
      <w:r>
        <w:rPr>
          <w:b w:val="0"/>
          <w:i w:val="0"/>
        </w:rPr>
        <w:t>S1 §7]</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Artifact</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Cadence</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Done means…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Plan and weekly board</w:t>
            </w:r>
          </w:p>
        </w:tc>
        <w:tc>
          <w:tcPr>
            <w:tcW w:type="dxa" w:w="3960"/>
            <w:vAlign w:val="center"/>
            <w:shd w:fill="F0F4F6"/>
            <w:tcMar>
              <w:top w:w="65" w:type="dxa"/>
              <w:bottom w:w="65" w:type="dxa"/>
              <w:left w:w="100" w:type="dxa"/>
              <w:right w:w="100" w:type="dxa"/>
            </w:tcMar>
          </w:tcPr>
          <w:p>
            <w:pPr>
              <w:pStyle w:val="TableBody"/>
              <w:keepNext w:val="0"/>
            </w:pPr>
            <w:r>
              <w:rPr>
                <w:b w:val="0"/>
                <w:i w:val="0"/>
              </w:rPr>
              <w:t>Weekly</w:t>
            </w:r>
          </w:p>
        </w:tc>
        <w:tc>
          <w:tcPr>
            <w:tcW w:type="dxa" w:w="4090"/>
            <w:vAlign w:val="center"/>
            <w:shd w:fill="F0F4F6"/>
            <w:tcMar>
              <w:top w:w="65" w:type="dxa"/>
              <w:bottom w:w="65" w:type="dxa"/>
              <w:left w:w="100" w:type="dxa"/>
              <w:right w:w="100" w:type="dxa"/>
            </w:tcMar>
          </w:tcPr>
          <w:p>
            <w:pPr>
              <w:pStyle w:val="TableBody"/>
              <w:keepNext w:val="0"/>
            </w:pPr>
            <w:r>
              <w:rPr>
                <w:b w:val="0"/>
                <w:i w:val="0"/>
              </w:rPr>
              <w:t>Three outcomes, dates, owners, blockers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Hardware/system map</w:t>
            </w:r>
          </w:p>
        </w:tc>
        <w:tc>
          <w:tcPr>
            <w:tcW w:type="dxa" w:w="3960"/>
            <w:vAlign w:val="center"/>
            <w:shd w:fill="FFFFFF"/>
            <w:tcMar>
              <w:top w:w="65" w:type="dxa"/>
              <w:bottom w:w="65" w:type="dxa"/>
              <w:left w:w="100" w:type="dxa"/>
              <w:right w:w="100" w:type="dxa"/>
            </w:tcMar>
          </w:tcPr>
          <w:p>
            <w:pPr>
              <w:pStyle w:val="TableBody"/>
              <w:keepNext w:val="0"/>
            </w:pPr>
            <w:r>
              <w:rPr>
                <w:b w:val="0"/>
                <w:i w:val="0"/>
              </w:rPr>
              <w:t>Weekly initially; on change</w:t>
            </w:r>
          </w:p>
        </w:tc>
        <w:tc>
          <w:tcPr>
            <w:tcW w:type="dxa" w:w="4090"/>
            <w:vAlign w:val="center"/>
            <w:shd w:fill="FFFFFF"/>
            <w:tcMar>
              <w:top w:w="65" w:type="dxa"/>
              <w:bottom w:w="65" w:type="dxa"/>
              <w:left w:w="100" w:type="dxa"/>
              <w:right w:w="100" w:type="dxa"/>
            </w:tcMar>
          </w:tcPr>
          <w:p>
            <w:pPr>
              <w:pStyle w:val="TableBody"/>
              <w:keepNext w:val="0"/>
            </w:pPr>
            <w:r>
              <w:rPr>
                <w:b w:val="0"/>
                <w:i w:val="0"/>
              </w:rPr>
              <w:t>Three layouts, named paths, owner corrections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Workload card and run manifest</w:t>
            </w:r>
          </w:p>
        </w:tc>
        <w:tc>
          <w:tcPr>
            <w:tcW w:type="dxa" w:w="3960"/>
            <w:vAlign w:val="center"/>
            <w:shd w:fill="F0F4F6"/>
            <w:tcMar>
              <w:top w:w="65" w:type="dxa"/>
              <w:bottom w:w="65" w:type="dxa"/>
              <w:left w:w="100" w:type="dxa"/>
              <w:right w:w="100" w:type="dxa"/>
            </w:tcMar>
          </w:tcPr>
          <w:p>
            <w:pPr>
              <w:pStyle w:val="TableBody"/>
              <w:keepNext w:val="0"/>
            </w:pPr>
            <w:r>
              <w:rPr>
                <w:b w:val="0"/>
                <w:i w:val="0"/>
              </w:rPr>
              <w:t>Per experiment</w:t>
            </w:r>
          </w:p>
        </w:tc>
        <w:tc>
          <w:tcPr>
            <w:tcW w:type="dxa" w:w="4090"/>
            <w:vAlign w:val="center"/>
            <w:shd w:fill="F0F4F6"/>
            <w:tcMar>
              <w:top w:w="65" w:type="dxa"/>
              <w:bottom w:w="65" w:type="dxa"/>
              <w:left w:w="100" w:type="dxa"/>
              <w:right w:w="100" w:type="dxa"/>
            </w:tcMar>
          </w:tcPr>
          <w:p>
            <w:pPr>
              <w:pStyle w:val="TableBody"/>
              <w:keepNext w:val="0"/>
            </w:pPr>
            <w:r>
              <w:rPr>
                <w:b w:val="0"/>
                <w:i w:val="0"/>
              </w:rPr>
              <w:t>Versions, traffic, policies, configuration, gates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Evidence note / decision memo</w:t>
            </w:r>
          </w:p>
        </w:tc>
        <w:tc>
          <w:tcPr>
            <w:tcW w:type="dxa" w:w="3960"/>
            <w:vAlign w:val="center"/>
            <w:shd w:fill="FFFFFF"/>
            <w:tcMar>
              <w:top w:w="65" w:type="dxa"/>
              <w:bottom w:w="65" w:type="dxa"/>
              <w:left w:w="100" w:type="dxa"/>
              <w:right w:w="100" w:type="dxa"/>
            </w:tcMar>
          </w:tcPr>
          <w:p>
            <w:pPr>
              <w:pStyle w:val="TableBody"/>
              <w:keepNext w:val="0"/>
            </w:pPr>
            <w:r>
              <w:rPr>
                <w:b w:val="0"/>
                <w:i w:val="0"/>
              </w:rPr>
              <w:t>Weekly / monthly</w:t>
            </w:r>
          </w:p>
        </w:tc>
        <w:tc>
          <w:tcPr>
            <w:tcW w:type="dxa" w:w="4090"/>
            <w:vAlign w:val="center"/>
            <w:shd w:fill="FFFFFF"/>
            <w:tcMar>
              <w:top w:w="65" w:type="dxa"/>
              <w:bottom w:w="65" w:type="dxa"/>
              <w:left w:w="100" w:type="dxa"/>
              <w:right w:w="100" w:type="dxa"/>
            </w:tcMar>
          </w:tcPr>
          <w:p>
            <w:pPr>
              <w:pStyle w:val="TableBody"/>
              <w:keepNext w:val="0"/>
            </w:pPr>
            <w:r>
              <w:rPr>
                <w:b w:val="0"/>
                <w:i w:val="0"/>
              </w:rPr>
              <w:t>Result, reproducibility, limits, next decision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Architecture decision record</w:t>
            </w:r>
          </w:p>
        </w:tc>
        <w:tc>
          <w:tcPr>
            <w:tcW w:type="dxa" w:w="3960"/>
            <w:vAlign w:val="center"/>
            <w:shd w:fill="F0F4F6"/>
            <w:tcMar>
              <w:top w:w="65" w:type="dxa"/>
              <w:bottom w:w="65" w:type="dxa"/>
              <w:left w:w="100" w:type="dxa"/>
              <w:right w:w="100" w:type="dxa"/>
            </w:tcMar>
          </w:tcPr>
          <w:p>
            <w:pPr>
              <w:pStyle w:val="TableBody"/>
              <w:keepNext w:val="0"/>
            </w:pPr>
            <w:r>
              <w:rPr>
                <w:b w:val="0"/>
                <w:i w:val="0"/>
              </w:rPr>
              <w:t>At a material choice</w:t>
            </w:r>
          </w:p>
        </w:tc>
        <w:tc>
          <w:tcPr>
            <w:tcW w:type="dxa" w:w="4090"/>
            <w:vAlign w:val="center"/>
            <w:shd w:fill="F0F4F6"/>
            <w:tcMar>
              <w:top w:w="65" w:type="dxa"/>
              <w:bottom w:w="65" w:type="dxa"/>
              <w:left w:w="100" w:type="dxa"/>
              <w:right w:w="100" w:type="dxa"/>
            </w:tcMar>
          </w:tcPr>
          <w:p>
            <w:pPr>
              <w:pStyle w:val="TableBody"/>
              <w:keepNext w:val="0"/>
            </w:pPr>
            <w:r>
              <w:rPr>
                <w:b w:val="0"/>
                <w:i w:val="0"/>
              </w:rPr>
              <w:t>Options, trade-offs, owner, validation</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POC report / reference architecture</w:t>
            </w:r>
          </w:p>
        </w:tc>
        <w:tc>
          <w:tcPr>
            <w:tcW w:type="dxa" w:w="3960"/>
            <w:vAlign w:val="center"/>
            <w:shd w:fill="FFFFFF"/>
            <w:tcMar>
              <w:top w:w="65" w:type="dxa"/>
              <w:bottom w:w="65" w:type="dxa"/>
              <w:left w:w="100" w:type="dxa"/>
              <w:right w:w="100" w:type="dxa"/>
            </w:tcMar>
          </w:tcPr>
          <w:p>
            <w:pPr>
              <w:pStyle w:val="TableBody"/>
              <w:keepNext w:val="0"/>
            </w:pPr>
            <w:r>
              <w:rPr>
                <w:b w:val="0"/>
                <w:i w:val="0"/>
              </w:rPr>
              <w:t>At gates</w:t>
            </w:r>
          </w:p>
        </w:tc>
        <w:tc>
          <w:tcPr>
            <w:tcW w:type="dxa" w:w="4090"/>
            <w:vAlign w:val="center"/>
            <w:shd w:fill="FFFFFF"/>
            <w:tcMar>
              <w:top w:w="65" w:type="dxa"/>
              <w:bottom w:w="65" w:type="dxa"/>
              <w:left w:w="100" w:type="dxa"/>
              <w:right w:w="100" w:type="dxa"/>
            </w:tcMar>
          </w:tcPr>
          <w:p>
            <w:pPr>
              <w:pStyle w:val="TableBody"/>
              <w:keepNext w:val="0"/>
            </w:pPr>
            <w:r>
              <w:rPr>
                <w:b w:val="0"/>
                <w:i w:val="0"/>
              </w:rPr>
              <w:t>Quality, failures, cost, operation, and adoption boundary</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Field kit / competitive brief</w:t>
            </w:r>
          </w:p>
        </w:tc>
        <w:tc>
          <w:tcPr>
            <w:tcW w:type="dxa" w:w="3960"/>
            <w:vAlign w:val="center"/>
            <w:shd w:fill="F0F4F6"/>
            <w:tcMar>
              <w:top w:w="65" w:type="dxa"/>
              <w:bottom w:w="65" w:type="dxa"/>
              <w:left w:w="100" w:type="dxa"/>
              <w:right w:w="100" w:type="dxa"/>
            </w:tcMar>
          </w:tcPr>
          <w:p>
            <w:pPr>
              <w:pStyle w:val="TableBody"/>
              <w:keepNext w:val="0"/>
            </w:pPr>
            <w:r>
              <w:rPr>
                <w:b w:val="0"/>
                <w:i w:val="0"/>
              </w:rPr>
              <w:t>Quarterly</w:t>
            </w:r>
          </w:p>
        </w:tc>
        <w:tc>
          <w:tcPr>
            <w:tcW w:type="dxa" w:w="4090"/>
            <w:vAlign w:val="center"/>
            <w:shd w:fill="F0F4F6"/>
            <w:tcMar>
              <w:top w:w="65" w:type="dxa"/>
              <w:bottom w:w="65" w:type="dxa"/>
              <w:left w:w="100" w:type="dxa"/>
              <w:right w:w="100" w:type="dxa"/>
            </w:tcMar>
          </w:tcPr>
          <w:p>
            <w:pPr>
              <w:pStyle w:val="TableBody"/>
              <w:keepNext w:val="0"/>
            </w:pPr>
            <w:r>
              <w:rPr>
                <w:b w:val="0"/>
                <w:i w:val="0"/>
              </w:rPr>
              <w:t>Reusable, current, sourced, and approved</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Impact log</w:t>
            </w:r>
          </w:p>
        </w:tc>
        <w:tc>
          <w:tcPr>
            <w:tcW w:type="dxa" w:w="3960"/>
            <w:vAlign w:val="center"/>
            <w:shd w:fill="FFFFFF"/>
            <w:tcMar>
              <w:top w:w="65" w:type="dxa"/>
              <w:bottom w:w="65" w:type="dxa"/>
              <w:left w:w="100" w:type="dxa"/>
              <w:right w:w="100" w:type="dxa"/>
            </w:tcMar>
          </w:tcPr>
          <w:p>
            <w:pPr>
              <w:pStyle w:val="TableBody"/>
              <w:keepNext w:val="0"/>
            </w:pPr>
            <w:r>
              <w:rPr>
                <w:b w:val="0"/>
                <w:i w:val="0"/>
              </w:rPr>
              <w:t>Weekly</w:t>
            </w:r>
          </w:p>
        </w:tc>
        <w:tc>
          <w:tcPr>
            <w:tcW w:type="dxa" w:w="4090"/>
            <w:vAlign w:val="center"/>
            <w:shd w:fill="FFFFFF"/>
            <w:tcMar>
              <w:top w:w="65" w:type="dxa"/>
              <w:bottom w:w="65" w:type="dxa"/>
              <w:left w:w="100" w:type="dxa"/>
              <w:right w:w="100" w:type="dxa"/>
            </w:tcMar>
          </w:tcPr>
          <w:p>
            <w:pPr>
              <w:pStyle w:val="TableBody"/>
              <w:keepNext w:val="0"/>
            </w:pPr>
            <w:r>
              <w:rPr>
                <w:b w:val="0"/>
                <w:i w:val="0"/>
              </w:rPr>
              <w:t>A decision moved or another person used the work</w:t>
            </w:r>
          </w:p>
        </w:tc>
      </w:tr>
    </w:tbl>
    <w:p>
      <w:pPr>
        <w:spacing w:after="60" w:before="0" w:line="40" w:lineRule="exact"/>
      </w:pPr>
      <w:r>
        <w:rPr>
          <w:sz w:val="4"/>
        </w:rPr>
      </w:r>
    </w:p>
    <w:p>
      <w:pPr>
        <w:pStyle w:val="Heading2"/>
      </w:pPr>
      <w:r>
        <w:rPr>
          <w:b w:val="0"/>
          <w:i w:val="0"/>
        </w:rPr>
        <w:t>Six registers, one index</w:t>
      </w:r>
    </w:p>
    <w:p>
      <w:r>
        <w:rPr>
          <w:b/>
          <w:i w:val="0"/>
        </w:rPr>
        <w:t>Decisions:</w:t>
      </w:r>
      <w:r>
        <w:rPr>
          <w:b w:val="0"/>
          <w:i w:val="0"/>
        </w:rPr>
        <w:t xml:space="preserve"> why/owner/date. </w:t>
      </w:r>
      <w:r>
        <w:rPr>
          <w:b/>
          <w:i w:val="0"/>
        </w:rPr>
        <w:t>Assumptions:</w:t>
      </w:r>
      <w:r>
        <w:rPr>
          <w:b w:val="0"/>
          <w:i w:val="0"/>
        </w:rPr>
        <w:t xml:space="preserve"> source/range/confidence/expiry. </w:t>
      </w:r>
      <w:r>
        <w:rPr>
          <w:b/>
          <w:i w:val="0"/>
        </w:rPr>
        <w:t>Risks:</w:t>
      </w:r>
      <w:r>
        <w:rPr>
          <w:b w:val="0"/>
          <w:i w:val="0"/>
        </w:rPr>
        <w:t xml:space="preserve"> trigger/impact/response. </w:t>
      </w:r>
      <w:r>
        <w:rPr>
          <w:b/>
          <w:i w:val="0"/>
        </w:rPr>
        <w:t>Claims:</w:t>
      </w:r>
      <w:r>
        <w:rPr>
          <w:b w:val="0"/>
          <w:i w:val="0"/>
        </w:rPr>
        <w:t xml:space="preserve"> wording/evidence/approval/audience. </w:t>
      </w:r>
      <w:r>
        <w:rPr>
          <w:b/>
          <w:i w:val="0"/>
        </w:rPr>
        <w:t>Customer actions:</w:t>
      </w:r>
      <w:r>
        <w:rPr>
          <w:b w:val="0"/>
          <w:i w:val="0"/>
        </w:rPr>
        <w:t xml:space="preserve"> stage/owner/date. </w:t>
      </w:r>
      <w:r>
        <w:rPr>
          <w:b/>
          <w:i w:val="0"/>
        </w:rPr>
        <w:t>Product evidence backlog:</w:t>
      </w:r>
      <w:r>
        <w:rPr>
          <w:b w:val="0"/>
          <w:i w:val="0"/>
        </w:rPr>
        <w:t xml:space="preserve"> need/value/acceptance/disposition.</w:t>
      </w:r>
    </w:p>
    <w:p>
      <w:pPr>
        <w:pStyle w:val="Heading2"/>
      </w:pPr>
      <w:r>
        <w:rPr>
          <w:b w:val="0"/>
          <w:i w:val="0"/>
        </w:rPr>
        <w:t>Resolve the document conflicts</w:t>
      </w:r>
    </w:p>
    <w:p>
      <w:r>
        <w:rPr>
          <w:b w:val="0"/>
          <w:i w:val="0"/>
        </w:rPr>
        <w:t xml:space="preserve">An approved controlled engineering release outranks a proposal. Recommend using the reviewed Bridge draft </w:t>
      </w:r>
      <w:r>
        <w:rPr>
          <w:b w:val="0"/>
          <w:i w:val="0"/>
        </w:rPr>
        <w:t>[</w:t>
      </w:r>
      <w:r>
        <w:rPr>
          <w:b w:val="0"/>
          <w:i w:val="0"/>
        </w:rPr>
        <w:t xml:space="preserve">S2] as the implementation-planning baseline, subject to Raj’s agreement. The previously discussed Rust/C++ design </w:t>
      </w:r>
      <w:r>
        <w:rPr>
          <w:b w:val="0"/>
          <w:i w:val="0"/>
        </w:rPr>
        <w:t>[</w:t>
      </w:r>
      <w:r>
        <w:rPr>
          <w:b w:val="0"/>
          <w:i w:val="0"/>
        </w:rPr>
        <w:t>S8] remains an alternative and source of reusable contracts; do not assume both need implementation.</w:t>
      </w:r>
    </w:p>
    <w:p>
      <w:r>
        <w:rPr>
          <w:b w:val="0"/>
          <w:i w:val="0"/>
        </w:rPr>
        <w:t xml:space="preserve">The inference proposal </w:t>
      </w:r>
      <w:r>
        <w:rPr>
          <w:b w:val="0"/>
          <w:i w:val="0"/>
        </w:rPr>
        <w:t>[</w:t>
      </w:r>
      <w:r>
        <w:rPr>
          <w:b w:val="0"/>
          <w:i w:val="0"/>
        </w:rPr>
        <w:t xml:space="preserve">S4] and retrieval proposals </w:t>
      </w:r>
      <w:r>
        <w:rPr>
          <w:b w:val="0"/>
          <w:i w:val="0"/>
        </w:rPr>
        <w:t>[</w:t>
      </w:r>
      <w:r>
        <w:rPr>
          <w:b w:val="0"/>
          <w:i w:val="0"/>
        </w:rPr>
        <w:t>S5–S6] have different lead workloads. The reviewed Bridge addendum also differs from its earlier roadmap. Record the selected minimum release and explicitly deferred adapters.</w:t>
      </w:r>
    </w:p>
    <w:p>
      <w:pPr>
        <w:pStyle w:val="Heading2"/>
      </w:pPr>
      <w:r>
        <w:rPr>
          <w:b w:val="0"/>
          <w:i w:val="0"/>
        </w:rPr>
        <w:t>Confidentiality</w:t>
      </w:r>
    </w:p>
    <w:p>
      <w:r>
        <w:rPr>
          <w:b w:val="0"/>
          <w:i w:val="0"/>
        </w:rPr>
        <w:t xml:space="preserve">Keep customer traces, restricted architecture, partner collateral, credentials, and unreleased claims internal. Generalizable FlashKV code may be shared only after approval and sanitization. If legacy material creates a concern, notify the authorized owner; this plan does not assert an incident. </w:t>
      </w:r>
      <w:r>
        <w:rPr>
          <w:b w:val="0"/>
          <w:i w:val="0"/>
        </w:rPr>
        <w:t>[</w:t>
      </w:r>
      <w:r>
        <w:rPr>
          <w:b w:val="0"/>
          <w:i w:val="0"/>
        </w:rPr>
        <w:t>S1 §§2, 9]</w:t>
      </w:r>
    </w:p>
    <w:p>
      <w:r>
        <w:br w:type="page"/>
      </w:r>
    </w:p>
    <w:p>
      <w:pPr>
        <w:pStyle w:val="Kicker"/>
        <w:spacing w:after="140"/>
      </w:pPr>
      <w:r>
        <w:t>LEARN  •  EXPLAIN  •  APPLY  •  REVIEW</w:t>
      </w:r>
    </w:p>
    <w:p>
      <w:bookmarkStart w:id="20" w:name="page_12"/>
      <w:bookmarkStart w:id="19" w:name="sec_8"/>
      <w:pPr>
        <w:pStyle w:val="Heading1"/>
      </w:pPr>
      <w:r>
        <w:t>8. Learning curriculum: from level zero</w:t>
      </w:r>
      <w:bookmarkEnd w:id="19"/>
      <w:bookmarkEnd w:id="20"/>
    </w:p>
    <w:p>
      <w:r>
        <w:rPr>
          <w:b w:val="0"/>
          <w:i w:val="0"/>
        </w:rPr>
        <w:t xml:space="preserve">The curriculum now starts before the original GAIA-specific reading list. Use </w:t>
      </w:r>
      <w:r>
        <w:rPr>
          <w:b/>
          <w:i w:val="0"/>
        </w:rPr>
        <w:t>watch → identify → explain → apply → review</w:t>
      </w:r>
      <w:r>
        <w:rPr>
          <w:b w:val="0"/>
          <w:i w:val="0"/>
        </w:rPr>
        <w:t xml:space="preserve">. Record only three notes per lesson: what it does; where it is in our drawing; what engineering must confirm. </w:t>
      </w:r>
      <w:r>
        <w:rPr>
          <w:b w:val="0"/>
          <w:i w:val="0"/>
        </w:rPr>
        <w:t>[</w:t>
      </w:r>
      <w:r>
        <w:rPr>
          <w:b w:val="0"/>
          <w:i w:val="0"/>
        </w:rPr>
        <w:t>S1 §8; new learning sequence]</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1728"/>
        <w:gridCol w:w="3960"/>
        <w:gridCol w:w="3024"/>
        <w:gridCol w:w="1570"/>
      </w:tblGrid>
      <w:tr>
        <w:trPr>
          <w:cantSplit/>
          <w:tblHeader w:val="true"/>
        </w:trPr>
        <w:tc>
          <w:tcPr>
            <w:tcW w:type="dxa" w:w="1728"/>
            <w:vAlign w:val="center"/>
            <w:shd w:fill="173047"/>
            <w:tcMar>
              <w:top w:w="65" w:type="dxa"/>
              <w:bottom w:w="65" w:type="dxa"/>
              <w:left w:w="100" w:type="dxa"/>
              <w:right w:w="100" w:type="dxa"/>
            </w:tcMar>
          </w:tcPr>
          <w:p>
            <w:pPr>
              <w:pStyle w:val="TableHead"/>
              <w:keepNext w:val="0"/>
            </w:pPr>
            <w:r>
              <w:rPr>
                <w:b/>
                <w:i w:val="0"/>
                <w:color w:val="FFFFFF"/>
              </w:rPr>
              <w:t>Group</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Learn in this order</w:t>
            </w:r>
          </w:p>
        </w:tc>
        <w:tc>
          <w:tcPr>
            <w:tcW w:type="dxa" w:w="3024"/>
            <w:vAlign w:val="center"/>
            <w:shd w:fill="173047"/>
            <w:tcMar>
              <w:top w:w="65" w:type="dxa"/>
              <w:bottom w:w="65" w:type="dxa"/>
              <w:left w:w="100" w:type="dxa"/>
              <w:right w:w="100" w:type="dxa"/>
            </w:tcMar>
          </w:tcPr>
          <w:p>
            <w:pPr>
              <w:pStyle w:val="TableHead"/>
              <w:keepNext w:val="0"/>
            </w:pPr>
            <w:r>
              <w:rPr>
                <w:b/>
                <w:i w:val="0"/>
                <w:color w:val="FFFFFF"/>
              </w:rPr>
              <w:t>Apply it to</w:t>
            </w:r>
          </w:p>
        </w:tc>
        <w:tc>
          <w:tcPr>
            <w:tcW w:type="dxa" w:w="1570"/>
            <w:vAlign w:val="center"/>
            <w:shd w:fill="173047"/>
            <w:tcMar>
              <w:top w:w="65" w:type="dxa"/>
              <w:bottom w:w="65" w:type="dxa"/>
              <w:left w:w="100" w:type="dxa"/>
              <w:right w:w="100" w:type="dxa"/>
            </w:tcMar>
          </w:tcPr>
          <w:p>
            <w:pPr>
              <w:pStyle w:val="TableHead"/>
              <w:keepNext w:val="0"/>
            </w:pPr>
            <w:r>
              <w:rPr>
                <w:b/>
                <w:i w:val="0"/>
                <w:color w:val="FFFFFF"/>
              </w:rPr>
              <w:t>Horizon</w:t>
            </w:r>
          </w:p>
        </w:tc>
      </w:tr>
      <w:tr>
        <w:trPr>
          <w:cantSplit/>
        </w:trPr>
        <w:tc>
          <w:tcPr>
            <w:tcW w:type="dxa" w:w="1728"/>
            <w:vAlign w:val="center"/>
            <w:shd w:fill="F0F4F6"/>
            <w:tcMar>
              <w:top w:w="65" w:type="dxa"/>
              <w:bottom w:w="65" w:type="dxa"/>
              <w:left w:w="100" w:type="dxa"/>
              <w:right w:w="100" w:type="dxa"/>
            </w:tcMar>
          </w:tcPr>
          <w:p>
            <w:pPr>
              <w:pStyle w:val="TableBody"/>
              <w:keepNext w:val="0"/>
            </w:pPr>
            <w:r>
              <w:rPr>
                <w:b w:val="0"/>
                <w:i w:val="0"/>
              </w:rPr>
              <w:t>A. Ordinary server</w:t>
            </w:r>
          </w:p>
        </w:tc>
        <w:tc>
          <w:tcPr>
            <w:tcW w:type="dxa" w:w="3960"/>
            <w:vAlign w:val="center"/>
            <w:shd w:fill="F0F4F6"/>
            <w:tcMar>
              <w:top w:w="65" w:type="dxa"/>
              <w:bottom w:w="65" w:type="dxa"/>
              <w:left w:w="100" w:type="dxa"/>
              <w:right w:w="100" w:type="dxa"/>
            </w:tcMar>
          </w:tcPr>
          <w:p>
            <w:pPr>
              <w:pStyle w:val="TableBody"/>
              <w:keepNext w:val="0"/>
            </w:pPr>
            <w:r>
              <w:rPr>
                <w:b w:val="0"/>
                <w:i w:val="0"/>
              </w:rPr>
              <w:t>Board, CPU, cores, RAM, DIMMs, storage, cooling</w:t>
            </w:r>
          </w:p>
        </w:tc>
        <w:tc>
          <w:tcPr>
            <w:tcW w:type="dxa" w:w="3024"/>
            <w:vAlign w:val="center"/>
            <w:shd w:fill="F0F4F6"/>
            <w:tcMar>
              <w:top w:w="65" w:type="dxa"/>
              <w:bottom w:w="65" w:type="dxa"/>
              <w:left w:w="100" w:type="dxa"/>
              <w:right w:w="100" w:type="dxa"/>
            </w:tcMar>
          </w:tcPr>
          <w:p>
            <w:pPr>
              <w:pStyle w:val="TableBody"/>
              <w:keepNext w:val="0"/>
            </w:pPr>
            <w:r>
              <w:rPr>
                <w:b w:val="0"/>
                <w:i w:val="0"/>
              </w:rPr>
              <w:t>Label a server and trace a file-processing task</w:t>
            </w:r>
          </w:p>
        </w:tc>
        <w:tc>
          <w:tcPr>
            <w:tcW w:type="dxa" w:w="1570"/>
            <w:vAlign w:val="center"/>
            <w:shd w:fill="F0F4F6"/>
            <w:tcMar>
              <w:top w:w="65" w:type="dxa"/>
              <w:bottom w:w="65" w:type="dxa"/>
              <w:left w:w="100" w:type="dxa"/>
              <w:right w:w="100" w:type="dxa"/>
            </w:tcMar>
          </w:tcPr>
          <w:p>
            <w:pPr>
              <w:pStyle w:val="TableBody"/>
              <w:keepNext w:val="0"/>
            </w:pPr>
            <w:r>
              <w:rPr>
                <w:b w:val="0"/>
                <w:i w:val="0"/>
              </w:rPr>
              <w:t>First days</w:t>
            </w:r>
          </w:p>
        </w:tc>
      </w:tr>
      <w:tr>
        <w:trPr>
          <w:cantSplit/>
        </w:trPr>
        <w:tc>
          <w:tcPr>
            <w:tcW w:type="dxa" w:w="1728"/>
            <w:vAlign w:val="center"/>
            <w:shd w:fill="FFFFFF"/>
            <w:tcMar>
              <w:top w:w="65" w:type="dxa"/>
              <w:bottom w:w="65" w:type="dxa"/>
              <w:left w:w="100" w:type="dxa"/>
              <w:right w:w="100" w:type="dxa"/>
            </w:tcMar>
          </w:tcPr>
          <w:p>
            <w:pPr>
              <w:pStyle w:val="TableBody"/>
              <w:keepNext w:val="0"/>
            </w:pPr>
            <w:r>
              <w:rPr>
                <w:b w:val="0"/>
                <w:i w:val="0"/>
              </w:rPr>
              <w:t>B. Connections and packaging</w:t>
            </w:r>
          </w:p>
        </w:tc>
        <w:tc>
          <w:tcPr>
            <w:tcW w:type="dxa" w:w="3960"/>
            <w:vAlign w:val="center"/>
            <w:shd w:fill="FFFFFF"/>
            <w:tcMar>
              <w:top w:w="65" w:type="dxa"/>
              <w:bottom w:w="65" w:type="dxa"/>
              <w:left w:w="100" w:type="dxa"/>
              <w:right w:w="100" w:type="dxa"/>
            </w:tcMar>
          </w:tcPr>
          <w:p>
            <w:pPr>
              <w:pStyle w:val="TableBody"/>
              <w:keepNext w:val="0"/>
            </w:pPr>
            <w:r>
              <w:rPr>
                <w:b w:val="0"/>
                <w:i w:val="0"/>
              </w:rPr>
              <w:t>PCIe, slots/lanes, switches, MCIO, backplane, E3.S, NUMA</w:t>
            </w:r>
          </w:p>
        </w:tc>
        <w:tc>
          <w:tcPr>
            <w:tcW w:type="dxa" w:w="3024"/>
            <w:vAlign w:val="center"/>
            <w:shd w:fill="FFFFFF"/>
            <w:tcMar>
              <w:top w:w="65" w:type="dxa"/>
              <w:bottom w:w="65" w:type="dxa"/>
              <w:left w:w="100" w:type="dxa"/>
              <w:right w:w="100" w:type="dxa"/>
            </w:tcMar>
          </w:tcPr>
          <w:p>
            <w:pPr>
              <w:pStyle w:val="TableBody"/>
              <w:keepNext w:val="0"/>
            </w:pPr>
            <w:r>
              <w:rPr>
                <w:b w:val="0"/>
                <w:i w:val="0"/>
              </w:rPr>
              <w:t>Three physical ATMOS layouts</w:t>
            </w:r>
          </w:p>
        </w:tc>
        <w:tc>
          <w:tcPr>
            <w:tcW w:type="dxa" w:w="1570"/>
            <w:vAlign w:val="center"/>
            <w:shd w:fill="FFFFFF"/>
            <w:tcMar>
              <w:top w:w="65" w:type="dxa"/>
              <w:bottom w:w="65" w:type="dxa"/>
              <w:left w:w="100" w:type="dxa"/>
              <w:right w:w="100" w:type="dxa"/>
            </w:tcMar>
          </w:tcPr>
          <w:p>
            <w:pPr>
              <w:pStyle w:val="TableBody"/>
              <w:keepNext w:val="0"/>
            </w:pPr>
            <w:r>
              <w:rPr>
                <w:b w:val="0"/>
                <w:i w:val="0"/>
              </w:rPr>
              <w:t>Weeks 1–2</w:t>
            </w:r>
          </w:p>
        </w:tc>
      </w:tr>
      <w:tr>
        <w:trPr>
          <w:cantSplit/>
        </w:trPr>
        <w:tc>
          <w:tcPr>
            <w:tcW w:type="dxa" w:w="1728"/>
            <w:vAlign w:val="center"/>
            <w:shd w:fill="F0F4F6"/>
            <w:tcMar>
              <w:top w:w="65" w:type="dxa"/>
              <w:bottom w:w="65" w:type="dxa"/>
              <w:left w:w="100" w:type="dxa"/>
              <w:right w:w="100" w:type="dxa"/>
            </w:tcMar>
          </w:tcPr>
          <w:p>
            <w:pPr>
              <w:pStyle w:val="TableBody"/>
              <w:keepNext w:val="0"/>
            </w:pPr>
            <w:r>
              <w:rPr>
                <w:b w:val="0"/>
                <w:i w:val="0"/>
              </w:rPr>
              <w:t>C. Accelerator/SoC</w:t>
            </w:r>
          </w:p>
        </w:tc>
        <w:tc>
          <w:tcPr>
            <w:tcW w:type="dxa" w:w="3960"/>
            <w:vAlign w:val="center"/>
            <w:shd w:fill="F0F4F6"/>
            <w:tcMar>
              <w:top w:w="65" w:type="dxa"/>
              <w:bottom w:w="65" w:type="dxa"/>
              <w:left w:w="100" w:type="dxa"/>
              <w:right w:w="100" w:type="dxa"/>
            </w:tcMar>
          </w:tcPr>
          <w:p>
            <w:pPr>
              <w:pStyle w:val="TableBody"/>
              <w:keepNext w:val="0"/>
            </w:pPr>
            <w:r>
              <w:rPr>
                <w:b w:val="0"/>
                <w:i w:val="0"/>
              </w:rPr>
              <w:t>GPU/NPU, HBF, LPDDR, SRAM, HIM, NoC, DMA, queues</w:t>
            </w:r>
          </w:p>
        </w:tc>
        <w:tc>
          <w:tcPr>
            <w:tcW w:type="dxa" w:w="3024"/>
            <w:vAlign w:val="center"/>
            <w:shd w:fill="F0F4F6"/>
            <w:tcMar>
              <w:top w:w="65" w:type="dxa"/>
              <w:bottom w:w="65" w:type="dxa"/>
              <w:left w:w="100" w:type="dxa"/>
              <w:right w:w="100" w:type="dxa"/>
            </w:tcMar>
          </w:tcPr>
          <w:p>
            <w:pPr>
              <w:pStyle w:val="TableBody"/>
              <w:keepNext w:val="0"/>
            </w:pPr>
            <w:r>
              <w:rPr>
                <w:b w:val="0"/>
                <w:i w:val="0"/>
              </w:rPr>
              <w:t>Local data path and its possible bottleneck</w:t>
            </w:r>
          </w:p>
        </w:tc>
        <w:tc>
          <w:tcPr>
            <w:tcW w:type="dxa" w:w="1570"/>
            <w:vAlign w:val="center"/>
            <w:shd w:fill="F0F4F6"/>
            <w:tcMar>
              <w:top w:w="65" w:type="dxa"/>
              <w:bottom w:w="65" w:type="dxa"/>
              <w:left w:w="100" w:type="dxa"/>
              <w:right w:w="100" w:type="dxa"/>
            </w:tcMar>
          </w:tcPr>
          <w:p>
            <w:pPr>
              <w:pStyle w:val="TableBody"/>
              <w:keepNext w:val="0"/>
            </w:pPr>
            <w:r>
              <w:rPr>
                <w:b w:val="0"/>
                <w:i w:val="0"/>
              </w:rPr>
              <w:t>Weeks 2–6</w:t>
            </w:r>
          </w:p>
        </w:tc>
      </w:tr>
      <w:tr>
        <w:trPr>
          <w:cantSplit/>
        </w:trPr>
        <w:tc>
          <w:tcPr>
            <w:tcW w:type="dxa" w:w="1728"/>
            <w:vAlign w:val="center"/>
            <w:shd w:fill="FFFFFF"/>
            <w:tcMar>
              <w:top w:w="65" w:type="dxa"/>
              <w:bottom w:w="65" w:type="dxa"/>
              <w:left w:w="100" w:type="dxa"/>
              <w:right w:w="100" w:type="dxa"/>
            </w:tcMar>
          </w:tcPr>
          <w:p>
            <w:pPr>
              <w:pStyle w:val="TableBody"/>
              <w:keepNext w:val="0"/>
            </w:pPr>
            <w:r>
              <w:rPr>
                <w:b w:val="0"/>
                <w:i w:val="0"/>
              </w:rPr>
              <w:t>D. Server to rack</w:t>
            </w:r>
          </w:p>
        </w:tc>
        <w:tc>
          <w:tcPr>
            <w:tcW w:type="dxa" w:w="3960"/>
            <w:vAlign w:val="center"/>
            <w:shd w:fill="FFFFFF"/>
            <w:tcMar>
              <w:top w:w="65" w:type="dxa"/>
              <w:bottom w:w="65" w:type="dxa"/>
              <w:left w:w="100" w:type="dxa"/>
              <w:right w:w="100" w:type="dxa"/>
            </w:tcMar>
          </w:tcPr>
          <w:p>
            <w:pPr>
              <w:pStyle w:val="TableBody"/>
              <w:keepNext w:val="0"/>
            </w:pPr>
            <w:r>
              <w:rPr>
                <w:b w:val="0"/>
                <w:i w:val="0"/>
              </w:rPr>
              <w:t>NIC/network, RDMA, firmware, power, failures, Kubernetes</w:t>
            </w:r>
          </w:p>
        </w:tc>
        <w:tc>
          <w:tcPr>
            <w:tcW w:type="dxa" w:w="3024"/>
            <w:vAlign w:val="center"/>
            <w:shd w:fill="FFFFFF"/>
            <w:tcMar>
              <w:top w:w="65" w:type="dxa"/>
              <w:bottom w:w="65" w:type="dxa"/>
              <w:left w:w="100" w:type="dxa"/>
              <w:right w:w="100" w:type="dxa"/>
            </w:tcMar>
          </w:tcPr>
          <w:p>
            <w:pPr>
              <w:pStyle w:val="TableBody"/>
              <w:keepNext w:val="0"/>
            </w:pPr>
            <w:r>
              <w:rPr>
                <w:b w:val="0"/>
                <w:i w:val="0"/>
              </w:rPr>
              <w:t>Two-node topology and service boundaries</w:t>
            </w:r>
          </w:p>
        </w:tc>
        <w:tc>
          <w:tcPr>
            <w:tcW w:type="dxa" w:w="1570"/>
            <w:vAlign w:val="center"/>
            <w:shd w:fill="FFFFFF"/>
            <w:tcMar>
              <w:top w:w="65" w:type="dxa"/>
              <w:bottom w:w="65" w:type="dxa"/>
              <w:left w:w="100" w:type="dxa"/>
              <w:right w:w="100" w:type="dxa"/>
            </w:tcMar>
          </w:tcPr>
          <w:p>
            <w:pPr>
              <w:pStyle w:val="TableBody"/>
              <w:keepNext w:val="0"/>
            </w:pPr>
            <w:r>
              <w:rPr>
                <w:b w:val="0"/>
                <w:i w:val="0"/>
              </w:rPr>
              <w:t>Months 2–3</w:t>
            </w:r>
          </w:p>
        </w:tc>
      </w:tr>
      <w:tr>
        <w:trPr>
          <w:cantSplit/>
        </w:trPr>
        <w:tc>
          <w:tcPr>
            <w:tcW w:type="dxa" w:w="1728"/>
            <w:vAlign w:val="center"/>
            <w:shd w:fill="F0F4F6"/>
            <w:tcMar>
              <w:top w:w="65" w:type="dxa"/>
              <w:bottom w:w="65" w:type="dxa"/>
              <w:left w:w="100" w:type="dxa"/>
              <w:right w:w="100" w:type="dxa"/>
            </w:tcMar>
          </w:tcPr>
          <w:p>
            <w:pPr>
              <w:pStyle w:val="TableBody"/>
              <w:keepNext w:val="0"/>
            </w:pPr>
            <w:r>
              <w:rPr>
                <w:b w:val="0"/>
                <w:i w:val="0"/>
              </w:rPr>
              <w:t>E. Serving</w:t>
            </w:r>
          </w:p>
        </w:tc>
        <w:tc>
          <w:tcPr>
            <w:tcW w:type="dxa" w:w="3960"/>
            <w:vAlign w:val="center"/>
            <w:shd w:fill="F0F4F6"/>
            <w:tcMar>
              <w:top w:w="65" w:type="dxa"/>
              <w:bottom w:w="65" w:type="dxa"/>
              <w:left w:w="100" w:type="dxa"/>
              <w:right w:w="100" w:type="dxa"/>
            </w:tcMar>
          </w:tcPr>
          <w:p>
            <w:pPr>
              <w:pStyle w:val="TableBody"/>
              <w:keepNext w:val="0"/>
            </w:pPr>
            <w:r>
              <w:rPr>
                <w:b w:val="0"/>
                <w:i w:val="0"/>
              </w:rPr>
              <w:t>Prefill/decode, KV, MoE, TP/EP, replicas, vector scoring</w:t>
            </w:r>
          </w:p>
        </w:tc>
        <w:tc>
          <w:tcPr>
            <w:tcW w:type="dxa" w:w="3024"/>
            <w:vAlign w:val="center"/>
            <w:shd w:fill="F0F4F6"/>
            <w:tcMar>
              <w:top w:w="65" w:type="dxa"/>
              <w:bottom w:w="65" w:type="dxa"/>
              <w:left w:w="100" w:type="dxa"/>
              <w:right w:w="100" w:type="dxa"/>
            </w:tcMar>
          </w:tcPr>
          <w:p>
            <w:pPr>
              <w:pStyle w:val="TableBody"/>
              <w:keepNext w:val="0"/>
            </w:pPr>
            <w:r>
              <w:rPr>
                <w:b w:val="0"/>
                <w:i w:val="0"/>
              </w:rPr>
              <w:t>Fair profiles and result interpretation</w:t>
            </w:r>
          </w:p>
        </w:tc>
        <w:tc>
          <w:tcPr>
            <w:tcW w:type="dxa" w:w="1570"/>
            <w:vAlign w:val="center"/>
            <w:shd w:fill="F0F4F6"/>
            <w:tcMar>
              <w:top w:w="65" w:type="dxa"/>
              <w:bottom w:w="65" w:type="dxa"/>
              <w:left w:w="100" w:type="dxa"/>
              <w:right w:w="100" w:type="dxa"/>
            </w:tcMar>
          </w:tcPr>
          <w:p>
            <w:pPr>
              <w:pStyle w:val="TableBody"/>
              <w:keepNext w:val="0"/>
            </w:pPr>
            <w:r>
              <w:rPr>
                <w:b w:val="0"/>
                <w:i w:val="0"/>
              </w:rPr>
              <w:t>Months 1–3; then deepen</w:t>
            </w:r>
          </w:p>
        </w:tc>
      </w:tr>
    </w:tbl>
    <w:p>
      <w:pPr>
        <w:spacing w:after="60" w:before="0" w:line="40" w:lineRule="exact"/>
      </w:pPr>
      <w:r>
        <w:rPr>
          <w:sz w:val="4"/>
        </w:rPr>
      </w:r>
    </w:p>
    <w:p>
      <w:pPr>
        <w:pStyle w:val="Heading2"/>
      </w:pPr>
      <w:r>
        <w:rPr>
          <w:b w:val="0"/>
          <w:i w:val="0"/>
        </w:rPr>
        <w:t>First two study days</w:t>
      </w:r>
    </w:p>
    <w:p>
      <w:r>
        <w:rPr>
          <w:b/>
          <w:i w:val="0"/>
        </w:rPr>
        <w:t>Day A:</w:t>
      </w:r>
      <w:r>
        <w:rPr>
          <w:b w:val="0"/>
          <w:i w:val="0"/>
        </w:rPr>
        <w:t xml:space="preserve"> lessons 1–3, 5, 7; about 2–3 hours with pauses. Produce a labeled server and an explanation of CPU, RAM, and storage.</w:t>
      </w:r>
    </w:p>
    <w:p>
      <w:r>
        <w:rPr>
          <w:b/>
          <w:i w:val="0"/>
        </w:rPr>
        <w:t>Day B:</w:t>
      </w:r>
      <w:r>
        <w:rPr>
          <w:b w:val="0"/>
          <w:i w:val="0"/>
        </w:rPr>
        <w:t xml:space="preserve"> lessons 8–12; about 2–3 hours with pauses. Skim E3 sections of lesson 10 now and revisit later. Draw the three configurations and write five questions. Finish remaining lessons during Month 1.</w:t>
      </w:r>
    </w:p>
    <w:p>
      <w:r>
        <w:rPr>
          <w:b w:val="0"/>
          <w:i w:val="0"/>
        </w:rPr>
        <w:t>These are recommended study budgets, not stated video runtimes. Desktop and older platform examples teach concepts, not current OEM specifications. Service demonstrations are observation exercises, not authorization to modify hardware.</w:t>
      </w:r>
    </w:p>
    <w:p>
      <w:r>
        <w:rPr>
          <w:b/>
          <w:i w:val="0"/>
        </w:rPr>
        <w:t>Link status:</w:t>
      </w:r>
      <w:r>
        <w:rPr>
          <w:b w:val="0"/>
          <w:i w:val="0"/>
        </w:rPr>
        <w:t xml:space="preserve"> the prior video sequence is preserved. Publisher/indexed pages were checked where accessible on 23 September 2026; several direct YouTube fetches failed. Full playback, captions, regional availability, and exact durations were not verified. Use the publisher fallback where supplied; recheck access before a group session.</w:t>
      </w:r>
    </w:p>
    <w:p>
      <w:r>
        <w:br w:type="page"/>
      </w:r>
    </w:p>
    <w:p>
      <w:pPr>
        <w:pStyle w:val="Kicker"/>
        <w:spacing w:after="140"/>
      </w:pPr>
      <w:r>
        <w:t>LEARN  •  EXPLAIN  •  APPLY  •  REVIEW</w:t>
      </w:r>
    </w:p>
    <w:p>
      <w:bookmarkStart w:id="21" w:name="page_13"/>
      <w:pPr>
        <w:pStyle w:val="Heading1"/>
      </w:pPr>
      <w:r>
        <w:t>8. Video sequence: ordinary computer parts</w:t>
      </w:r>
      <w:bookmarkEnd w:id="21"/>
    </w:p>
    <w:p>
      <w:r>
        <w:rPr>
          <w:b w:val="0"/>
          <w:i w:val="0"/>
        </w:rPr>
        <w:t>These exercises are the plan’s assignments; the linked material supplies the lesson. Study allowances include pauses and notes, not only playback.</w:t>
      </w:r>
    </w:p>
    <w:p>
      <w:pPr>
        <w:pStyle w:val="Heading3"/>
      </w:pPr>
      <w:r>
        <w:rPr>
          <w:b w:val="0"/>
          <w:i w:val="0"/>
        </w:rPr>
        <w:t>1. Explaining Desktop PC Hardware — ExplainingComputers</w:t>
      </w:r>
    </w:p>
    <w:p>
      <w:hyperlink r:id="rId11">
        <w:r>
          <w:rPr>
            <w:color w:val="0D7477"/>
            <w:u w:val="single"/>
          </w:rPr>
          <w:t xml:space="preserve">YouTube</w:t>
        </w:r>
      </w:hyperlink>
      <w:r>
        <w:rPr>
          <w:b w:val="0"/>
          <w:i w:val="0"/>
        </w:rPr>
        <w:t xml:space="preserve"> · </w:t>
      </w:r>
      <w:hyperlink r:id="rId12">
        <w:r>
          <w:rPr>
            <w:color w:val="0D7477"/>
            <w:u w:val="single"/>
          </w:rPr>
          <w:t xml:space="preserve">Publisher / creator reference</w:t>
        </w:r>
      </w:hyperlink>
    </w:p>
    <w:p>
      <w:r>
        <w:rPr>
          <w:b/>
          <w:i w:val="0"/>
        </w:rPr>
        <w:t>Focus:</w:t>
      </w:r>
      <w:r>
        <w:rPr>
          <w:b w:val="0"/>
          <w:i w:val="0"/>
        </w:rPr>
        <w:t xml:space="preserve"> Motherboard, processor, memory, storage, expansion card, and power supply. </w:t>
      </w:r>
      <w:r>
        <w:rPr>
          <w:b/>
          <w:i w:val="0"/>
        </w:rPr>
        <w:t>Apply:</w:t>
      </w:r>
      <w:r>
        <w:rPr>
          <w:b w:val="0"/>
          <w:i w:val="0"/>
        </w:rPr>
        <w:t xml:space="preserve"> Label six physical objects in a paused image. </w:t>
      </w:r>
      <w:r>
        <w:rPr>
          <w:b/>
          <w:i w:val="0"/>
        </w:rPr>
        <w:t>Self-check:</w:t>
      </w:r>
      <w:r>
        <w:rPr>
          <w:b w:val="0"/>
          <w:i w:val="0"/>
        </w:rPr>
        <w:t xml:space="preserve"> Which component executes instructions, and which keeps a saved file? </w:t>
      </w:r>
      <w:r>
        <w:rPr>
          <w:b/>
          <w:i w:val="0"/>
        </w:rPr>
        <w:t>Study allowance:</w:t>
      </w:r>
      <w:r>
        <w:rPr>
          <w:b w:val="0"/>
          <w:i w:val="0"/>
        </w:rPr>
        <w:t xml:space="preserve"> 25–35 min. </w:t>
      </w:r>
      <w:r>
        <w:rPr>
          <w:b w:val="0"/>
          <w:i w:val="0"/>
        </w:rPr>
        <w:t>[</w:t>
      </w:r>
      <w:r>
        <w:rPr>
          <w:b w:val="0"/>
          <w:i w:val="0"/>
        </w:rPr>
        <w:t>V1]</w:t>
      </w:r>
    </w:p>
    <w:p>
      <w:pPr>
        <w:pStyle w:val="Heading3"/>
      </w:pPr>
      <w:r>
        <w:rPr>
          <w:b w:val="0"/>
          <w:i w:val="0"/>
        </w:rPr>
        <w:t>2. How Do CPUs Work? — ExplainingComputers</w:t>
      </w:r>
    </w:p>
    <w:p>
      <w:hyperlink r:id="rId13">
        <w:r>
          <w:rPr>
            <w:color w:val="0D7477"/>
            <w:u w:val="single"/>
          </w:rPr>
          <w:t xml:space="preserve">YouTube</w:t>
        </w:r>
      </w:hyperlink>
      <w:r>
        <w:rPr>
          <w:b w:val="0"/>
          <w:i w:val="0"/>
        </w:rPr>
        <w:t xml:space="preserve"> · </w:t>
      </w:r>
      <w:hyperlink r:id="rId12">
        <w:r>
          <w:rPr>
            <w:color w:val="0D7477"/>
            <w:u w:val="single"/>
          </w:rPr>
          <w:t xml:space="preserve">Publisher / creator reference</w:t>
        </w:r>
      </w:hyperlink>
    </w:p>
    <w:p>
      <w:r>
        <w:rPr>
          <w:b/>
          <w:i w:val="0"/>
        </w:rPr>
        <w:t>Focus:</w:t>
      </w:r>
      <w:r>
        <w:rPr>
          <w:b w:val="0"/>
          <w:i w:val="0"/>
        </w:rPr>
        <w:t xml:space="preserve"> Instruction execution and the processor’s relationship with memory. </w:t>
      </w:r>
      <w:r>
        <w:rPr>
          <w:b/>
          <w:i w:val="0"/>
        </w:rPr>
        <w:t>Apply:</w:t>
      </w:r>
      <w:r>
        <w:rPr>
          <w:b w:val="0"/>
          <w:i w:val="0"/>
        </w:rPr>
        <w:t xml:space="preserve"> Describe reading two values, adding them, and keeping the result. </w:t>
      </w:r>
      <w:r>
        <w:rPr>
          <w:b/>
          <w:i w:val="0"/>
        </w:rPr>
        <w:t>Self-check:</w:t>
      </w:r>
      <w:r>
        <w:rPr>
          <w:b w:val="0"/>
          <w:i w:val="0"/>
        </w:rPr>
        <w:t xml:space="preserve"> Distinguish the server, CPU package, core, and socket. </w:t>
      </w:r>
      <w:r>
        <w:rPr>
          <w:b/>
          <w:i w:val="0"/>
        </w:rPr>
        <w:t>Study allowance:</w:t>
      </w:r>
      <w:r>
        <w:rPr>
          <w:b w:val="0"/>
          <w:i w:val="0"/>
        </w:rPr>
        <w:t xml:space="preserve"> 25–35 min. </w:t>
      </w:r>
      <w:r>
        <w:rPr>
          <w:b w:val="0"/>
          <w:i w:val="0"/>
        </w:rPr>
        <w:t>[</w:t>
      </w:r>
      <w:r>
        <w:rPr>
          <w:b w:val="0"/>
          <w:i w:val="0"/>
        </w:rPr>
        <w:t>V2]</w:t>
      </w:r>
    </w:p>
    <w:p>
      <w:pPr>
        <w:pStyle w:val="Heading3"/>
      </w:pPr>
      <w:r>
        <w:rPr>
          <w:b w:val="0"/>
          <w:i w:val="0"/>
        </w:rPr>
        <w:t>3. Explaining RAM — ExplainingComputers</w:t>
      </w:r>
    </w:p>
    <w:p>
      <w:hyperlink r:id="rId14">
        <w:r>
          <w:rPr>
            <w:color w:val="0D7477"/>
            <w:u w:val="single"/>
          </w:rPr>
          <w:t xml:space="preserve">YouTube</w:t>
        </w:r>
      </w:hyperlink>
      <w:r>
        <w:rPr>
          <w:b w:val="0"/>
          <w:i w:val="0"/>
        </w:rPr>
        <w:t xml:space="preserve"> · </w:t>
      </w:r>
      <w:hyperlink r:id="rId12">
        <w:r>
          <w:rPr>
            <w:color w:val="0D7477"/>
            <w:u w:val="single"/>
          </w:rPr>
          <w:t xml:space="preserve">Publisher / creator reference</w:t>
        </w:r>
      </w:hyperlink>
    </w:p>
    <w:p>
      <w:r>
        <w:rPr>
          <w:b/>
          <w:i w:val="0"/>
        </w:rPr>
        <w:t>Focus:</w:t>
      </w:r>
      <w:r>
        <w:rPr>
          <w:b w:val="0"/>
          <w:i w:val="0"/>
        </w:rPr>
        <w:t xml:space="preserve"> Working memory versus persistent storage; physical memory modules. </w:t>
      </w:r>
      <w:r>
        <w:rPr>
          <w:b/>
          <w:i w:val="0"/>
        </w:rPr>
        <w:t>Apply:</w:t>
      </w:r>
      <w:r>
        <w:rPr>
          <w:b w:val="0"/>
          <w:i w:val="0"/>
        </w:rPr>
        <w:t xml:space="preserve"> Calculate eight 32 GB modules as 256 GB capacity, not bandwidth. </w:t>
      </w:r>
      <w:r>
        <w:rPr>
          <w:b/>
          <w:i w:val="0"/>
        </w:rPr>
        <w:t>Self-check:</w:t>
      </w:r>
      <w:r>
        <w:rPr>
          <w:b w:val="0"/>
          <w:i w:val="0"/>
        </w:rPr>
        <w:t xml:space="preserve"> Explain RAM, DRAM, DIMM, and memory slot at different levels. </w:t>
      </w:r>
      <w:r>
        <w:rPr>
          <w:b/>
          <w:i w:val="0"/>
        </w:rPr>
        <w:t>Study allowance:</w:t>
      </w:r>
      <w:r>
        <w:rPr>
          <w:b w:val="0"/>
          <w:i w:val="0"/>
        </w:rPr>
        <w:t xml:space="preserve"> 25–35 min. </w:t>
      </w:r>
      <w:r>
        <w:rPr>
          <w:b w:val="0"/>
          <w:i w:val="0"/>
        </w:rPr>
        <w:t>[</w:t>
      </w:r>
      <w:r>
        <w:rPr>
          <w:b w:val="0"/>
          <w:i w:val="0"/>
        </w:rPr>
        <w:t>V3]</w:t>
      </w:r>
    </w:p>
    <w:p>
      <w:pPr>
        <w:pStyle w:val="Heading3"/>
      </w:pPr>
      <w:r>
        <w:rPr>
          <w:b w:val="0"/>
          <w:i w:val="0"/>
        </w:rPr>
        <w:t>4. Memory Technologies — Professor Messer</w:t>
      </w:r>
    </w:p>
    <w:p>
      <w:hyperlink r:id="rId15">
        <w:r>
          <w:rPr>
            <w:color w:val="0D7477"/>
            <w:u w:val="single"/>
          </w:rPr>
          <w:t xml:space="preserve">YouTube</w:t>
        </w:r>
      </w:hyperlink>
      <w:r>
        <w:rPr>
          <w:b w:val="0"/>
          <w:i w:val="0"/>
        </w:rPr>
        <w:t xml:space="preserve"> · </w:t>
      </w:r>
      <w:hyperlink r:id="rId16">
        <w:r>
          <w:rPr>
            <w:color w:val="0D7477"/>
            <w:u w:val="single"/>
          </w:rPr>
          <w:t xml:space="preserve">Publisher / creator reference</w:t>
        </w:r>
      </w:hyperlink>
    </w:p>
    <w:p>
      <w:r>
        <w:rPr>
          <w:b/>
          <w:i w:val="0"/>
        </w:rPr>
        <w:t>Focus:</w:t>
      </w:r>
      <w:r>
        <w:rPr>
          <w:b w:val="0"/>
          <w:i w:val="0"/>
        </w:rPr>
        <w:t xml:space="preserve"> Memory channels and error-correction vocabulary. </w:t>
      </w:r>
      <w:r>
        <w:rPr>
          <w:b/>
          <w:i w:val="0"/>
        </w:rPr>
        <w:t>Apply:</w:t>
      </w:r>
      <w:r>
        <w:rPr>
          <w:b w:val="0"/>
          <w:i w:val="0"/>
        </w:rPr>
        <w:t xml:space="preserve"> Ask which DIMM population rules apply to the selected server. </w:t>
      </w:r>
      <w:r>
        <w:rPr>
          <w:b/>
          <w:i w:val="0"/>
        </w:rPr>
        <w:t>Self-check:</w:t>
      </w:r>
      <w:r>
        <w:rPr>
          <w:b w:val="0"/>
          <w:i w:val="0"/>
        </w:rPr>
        <w:t xml:space="preserve"> Does equal capacity guarantee equal memory performance? </w:t>
      </w:r>
      <w:r>
        <w:rPr>
          <w:b/>
          <w:i w:val="0"/>
        </w:rPr>
        <w:t>Study allowance:</w:t>
      </w:r>
      <w:r>
        <w:rPr>
          <w:b w:val="0"/>
          <w:i w:val="0"/>
        </w:rPr>
        <w:t xml:space="preserve"> 20–30 min. </w:t>
      </w:r>
      <w:r>
        <w:rPr>
          <w:b w:val="0"/>
          <w:i w:val="0"/>
        </w:rPr>
        <w:t>[</w:t>
      </w:r>
      <w:r>
        <w:rPr>
          <w:b w:val="0"/>
          <w:i w:val="0"/>
        </w:rPr>
        <w:t>V4]</w:t>
      </w:r>
    </w:p>
    <w:p>
      <w:r>
        <w:br w:type="page"/>
      </w:r>
    </w:p>
    <w:p>
      <w:pPr>
        <w:pStyle w:val="Kicker"/>
        <w:spacing w:after="140"/>
      </w:pPr>
      <w:r>
        <w:t>LEARN  •  EXPLAIN  •  APPLY  •  REVIEW</w:t>
      </w:r>
    </w:p>
    <w:p>
      <w:bookmarkStart w:id="22" w:name="page_14"/>
      <w:pPr>
        <w:pStyle w:val="Heading1"/>
      </w:pPr>
      <w:r>
        <w:t>8. Video sequence: server and PCIe connections</w:t>
      </w:r>
      <w:bookmarkEnd w:id="22"/>
    </w:p>
    <w:p>
      <w:r>
        <w:rPr>
          <w:b w:val="0"/>
          <w:i w:val="0"/>
        </w:rPr>
        <w:t>These exercises are the plan’s assignments; the linked material supplies the lesson. Study allowances include pauses and notes, not only playback.</w:t>
      </w:r>
    </w:p>
    <w:p>
      <w:pPr>
        <w:pStyle w:val="Heading3"/>
      </w:pPr>
      <w:r>
        <w:rPr>
          <w:b w:val="0"/>
          <w:i w:val="0"/>
        </w:rPr>
        <w:t>5. RAM replacement: PowerEdge R520 — Dell</w:t>
      </w:r>
    </w:p>
    <w:p>
      <w:hyperlink r:id="rId17">
        <w:r>
          <w:rPr>
            <w:color w:val="0D7477"/>
            <w:u w:val="single"/>
          </w:rPr>
          <w:t xml:space="preserve">Dell-hosted video</w:t>
        </w:r>
      </w:hyperlink>
    </w:p>
    <w:p>
      <w:r>
        <w:rPr>
          <w:b/>
          <w:i w:val="0"/>
        </w:rPr>
        <w:t>Focus:</w:t>
      </w:r>
      <w:r>
        <w:rPr>
          <w:b w:val="0"/>
          <w:i w:val="0"/>
        </w:rPr>
        <w:t xml:space="preserve"> Actual DIMMs, clips, slots, heat sinks, and the surrounding server board. </w:t>
      </w:r>
      <w:r>
        <w:rPr>
          <w:b/>
          <w:i w:val="0"/>
        </w:rPr>
        <w:t>Apply:</w:t>
      </w:r>
      <w:r>
        <w:rPr>
          <w:b w:val="0"/>
          <w:i w:val="0"/>
        </w:rPr>
        <w:t xml:space="preserve"> Recognize the same objects in an OEM system diagram. </w:t>
      </w:r>
      <w:r>
        <w:rPr>
          <w:b/>
          <w:i w:val="0"/>
        </w:rPr>
        <w:t>Self-check:</w:t>
      </w:r>
      <w:r>
        <w:rPr>
          <w:b w:val="0"/>
          <w:i w:val="0"/>
        </w:rPr>
        <w:t xml:space="preserve"> Point to memory without confusing it with the processor cooling assembly. </w:t>
      </w:r>
      <w:r>
        <w:rPr>
          <w:b/>
          <w:i w:val="0"/>
        </w:rPr>
        <w:t>Study allowance:</w:t>
      </w:r>
      <w:r>
        <w:rPr>
          <w:b w:val="0"/>
          <w:i w:val="0"/>
        </w:rPr>
        <w:t xml:space="preserve"> 15–20 min. </w:t>
      </w:r>
      <w:r>
        <w:rPr>
          <w:b w:val="0"/>
          <w:i w:val="0"/>
        </w:rPr>
        <w:t>[</w:t>
      </w:r>
      <w:r>
        <w:rPr>
          <w:b w:val="0"/>
          <w:i w:val="0"/>
        </w:rPr>
        <w:t>V5]</w:t>
      </w:r>
    </w:p>
    <w:p>
      <w:pPr>
        <w:pStyle w:val="Heading3"/>
      </w:pPr>
      <w:r>
        <w:rPr>
          <w:b w:val="0"/>
          <w:i w:val="0"/>
        </w:rPr>
        <w:t>6. Explaining Motherboard Chipsets — ExplainingComputers</w:t>
      </w:r>
    </w:p>
    <w:p>
      <w:hyperlink r:id="rId18">
        <w:r>
          <w:rPr>
            <w:color w:val="0D7477"/>
            <w:u w:val="single"/>
          </w:rPr>
          <w:t xml:space="preserve">YouTube</w:t>
        </w:r>
      </w:hyperlink>
      <w:r>
        <w:rPr>
          <w:b w:val="0"/>
          <w:i w:val="0"/>
        </w:rPr>
        <w:t xml:space="preserve"> · </w:t>
      </w:r>
      <w:hyperlink r:id="rId12">
        <w:r>
          <w:rPr>
            <w:color w:val="0D7477"/>
            <w:u w:val="single"/>
          </w:rPr>
          <w:t xml:space="preserve">Publisher / creator reference</w:t>
        </w:r>
      </w:hyperlink>
    </w:p>
    <w:p>
      <w:r>
        <w:rPr>
          <w:b/>
          <w:i w:val="0"/>
        </w:rPr>
        <w:t>Focus:</w:t>
      </w:r>
      <w:r>
        <w:rPr>
          <w:b w:val="0"/>
          <w:i w:val="0"/>
        </w:rPr>
        <w:t xml:space="preserve"> Connection diagrams among CPU, memory, and other devices. </w:t>
      </w:r>
      <w:r>
        <w:rPr>
          <w:b/>
          <w:i w:val="0"/>
        </w:rPr>
        <w:t>Apply:</w:t>
      </w:r>
      <w:r>
        <w:rPr>
          <w:b w:val="0"/>
          <w:i w:val="0"/>
        </w:rPr>
        <w:t xml:space="preserve"> Draw a basic host map and mark server-specific paths that remain unknown. </w:t>
      </w:r>
      <w:r>
        <w:rPr>
          <w:b/>
          <w:i w:val="0"/>
        </w:rPr>
        <w:t>Self-check:</w:t>
      </w:r>
      <w:r>
        <w:rPr>
          <w:b w:val="0"/>
          <w:i w:val="0"/>
        </w:rPr>
        <w:t xml:space="preserve"> Why is a motherboard not another application processor? </w:t>
      </w:r>
      <w:r>
        <w:rPr>
          <w:b/>
          <w:i w:val="0"/>
        </w:rPr>
        <w:t>Study allowance:</w:t>
      </w:r>
      <w:r>
        <w:rPr>
          <w:b w:val="0"/>
          <w:i w:val="0"/>
        </w:rPr>
        <w:t xml:space="preserve"> 25–35 min. </w:t>
      </w:r>
      <w:r>
        <w:rPr>
          <w:b w:val="0"/>
          <w:i w:val="0"/>
        </w:rPr>
        <w:t>[</w:t>
      </w:r>
      <w:r>
        <w:rPr>
          <w:b w:val="0"/>
          <w:i w:val="0"/>
        </w:rPr>
        <w:t>V6]</w:t>
      </w:r>
    </w:p>
    <w:p>
      <w:pPr>
        <w:pStyle w:val="Heading3"/>
      </w:pPr>
      <w:r>
        <w:rPr>
          <w:b w:val="0"/>
          <w:i w:val="0"/>
        </w:rPr>
        <w:t>7. Explaining PCIe Slots — ExplainingComputers</w:t>
      </w:r>
    </w:p>
    <w:p>
      <w:hyperlink r:id="rId19">
        <w:r>
          <w:rPr>
            <w:color w:val="0D7477"/>
            <w:u w:val="single"/>
          </w:rPr>
          <w:t xml:space="preserve">YouTube</w:t>
        </w:r>
      </w:hyperlink>
      <w:r>
        <w:rPr>
          <w:b w:val="0"/>
          <w:i w:val="0"/>
        </w:rPr>
        <w:t xml:space="preserve"> · </w:t>
      </w:r>
      <w:hyperlink r:id="rId12">
        <w:r>
          <w:rPr>
            <w:color w:val="0D7477"/>
            <w:u w:val="single"/>
          </w:rPr>
          <w:t xml:space="preserve">Publisher / creator reference</w:t>
        </w:r>
      </w:hyperlink>
    </w:p>
    <w:p>
      <w:r>
        <w:rPr>
          <w:b/>
          <w:i w:val="0"/>
        </w:rPr>
        <w:t>Focus:</w:t>
      </w:r>
      <w:r>
        <w:rPr>
          <w:b w:val="0"/>
          <w:i w:val="0"/>
        </w:rPr>
        <w:t xml:space="preserve"> Slot, generation, and lane-width terminology. </w:t>
      </w:r>
      <w:r>
        <w:rPr>
          <w:b/>
          <w:i w:val="0"/>
        </w:rPr>
        <w:t>Apply:</w:t>
      </w:r>
      <w:r>
        <w:rPr>
          <w:b w:val="0"/>
          <w:i w:val="0"/>
        </w:rPr>
        <w:t xml:space="preserve"> Read a Gen5 x4 label and list what still needs measurement. </w:t>
      </w:r>
      <w:r>
        <w:rPr>
          <w:b/>
          <w:i w:val="0"/>
        </w:rPr>
        <w:t>Self-check:</w:t>
      </w:r>
      <w:r>
        <w:rPr>
          <w:b w:val="0"/>
          <w:i w:val="0"/>
        </w:rPr>
        <w:t xml:space="preserve"> Separate physical slot size from electrically available lanes. </w:t>
      </w:r>
      <w:r>
        <w:rPr>
          <w:b/>
          <w:i w:val="0"/>
        </w:rPr>
        <w:t>Study allowance:</w:t>
      </w:r>
      <w:r>
        <w:rPr>
          <w:b w:val="0"/>
          <w:i w:val="0"/>
        </w:rPr>
        <w:t xml:space="preserve"> 30–40 min. </w:t>
      </w:r>
      <w:r>
        <w:rPr>
          <w:b w:val="0"/>
          <w:i w:val="0"/>
        </w:rPr>
        <w:t>[</w:t>
      </w:r>
      <w:r>
        <w:rPr>
          <w:b w:val="0"/>
          <w:i w:val="0"/>
        </w:rPr>
        <w:t>V7]</w:t>
      </w:r>
    </w:p>
    <w:p>
      <w:pPr>
        <w:pStyle w:val="Heading3"/>
      </w:pPr>
      <w:r>
        <w:rPr>
          <w:b w:val="0"/>
          <w:i w:val="0"/>
        </w:rPr>
        <w:t>8. Interop Lab Bulletin #3: PCIe Switches — Astera Labs</w:t>
      </w:r>
    </w:p>
    <w:p>
      <w:hyperlink r:id="rId20">
        <w:r>
          <w:rPr>
            <w:color w:val="0D7477"/>
            <w:u w:val="single"/>
          </w:rPr>
          <w:t xml:space="preserve">YouTube</w:t>
        </w:r>
      </w:hyperlink>
    </w:p>
    <w:p>
      <w:r>
        <w:rPr>
          <w:b/>
          <w:i w:val="0"/>
        </w:rPr>
        <w:t>Focus:</w:t>
      </w:r>
      <w:r>
        <w:rPr>
          <w:b w:val="0"/>
          <w:i w:val="0"/>
        </w:rPr>
        <w:t xml:space="preserve"> Host and device ports; switch routing versus signal restoration. </w:t>
      </w:r>
      <w:r>
        <w:rPr>
          <w:b/>
          <w:i w:val="0"/>
        </w:rPr>
        <w:t>Apply:</w:t>
      </w:r>
      <w:r>
        <w:rPr>
          <w:b w:val="0"/>
          <w:i w:val="0"/>
        </w:rPr>
        <w:t xml:space="preserve"> Locate the switch in a full card and a separate-switch-card arrangement. </w:t>
      </w:r>
      <w:r>
        <w:rPr>
          <w:b/>
          <w:i w:val="0"/>
        </w:rPr>
        <w:t>Self-check:</w:t>
      </w:r>
      <w:r>
        <w:rPr>
          <w:b w:val="0"/>
          <w:i w:val="0"/>
        </w:rPr>
        <w:t xml:space="preserve"> Which connection is shared, and which traffic actually uses it? </w:t>
      </w:r>
      <w:r>
        <w:rPr>
          <w:b/>
          <w:i w:val="0"/>
        </w:rPr>
        <w:t>Study allowance:</w:t>
      </w:r>
      <w:r>
        <w:rPr>
          <w:b w:val="0"/>
          <w:i w:val="0"/>
        </w:rPr>
        <w:t xml:space="preserve"> 20–30 min. </w:t>
      </w:r>
      <w:r>
        <w:rPr>
          <w:b w:val="0"/>
          <w:i w:val="0"/>
        </w:rPr>
        <w:t>[</w:t>
      </w:r>
      <w:r>
        <w:rPr>
          <w:b w:val="0"/>
          <w:i w:val="0"/>
        </w:rPr>
        <w:t>V8]</w:t>
      </w:r>
    </w:p>
    <w:p>
      <w:r>
        <w:rPr>
          <w:b/>
          <w:i w:val="0"/>
        </w:rPr>
        <w:t>Checkpoint:</w:t>
      </w:r>
      <w:r>
        <w:rPr>
          <w:b w:val="0"/>
          <w:i w:val="0"/>
        </w:rPr>
        <w:t xml:space="preserve"> connector, cable, slot, link, and switch are different things. A supported peer path must still be verified.</w:t>
      </w:r>
    </w:p>
    <w:p>
      <w:r>
        <w:br w:type="page"/>
      </w:r>
    </w:p>
    <w:p>
      <w:pPr>
        <w:pStyle w:val="Kicker"/>
        <w:spacing w:after="140"/>
      </w:pPr>
      <w:r>
        <w:t>LEARN  •  EXPLAIN  •  APPLY  •  REVIEW</w:t>
      </w:r>
    </w:p>
    <w:p>
      <w:bookmarkStart w:id="23" w:name="page_15"/>
      <w:pPr>
        <w:pStyle w:val="Heading1"/>
      </w:pPr>
      <w:r>
        <w:t>8. Video sequence: E3.S, backplanes, and MCIO</w:t>
      </w:r>
      <w:bookmarkEnd w:id="23"/>
    </w:p>
    <w:p>
      <w:r>
        <w:rPr>
          <w:b w:val="0"/>
          <w:i w:val="0"/>
        </w:rPr>
        <w:t>These exercises are the plan’s assignments; the linked material supplies the lesson. Study allowances include pauses and notes, not only playback.</w:t>
      </w:r>
    </w:p>
    <w:p>
      <w:pPr>
        <w:pStyle w:val="Heading3"/>
      </w:pPr>
      <w:r>
        <w:rPr>
          <w:b w:val="0"/>
          <w:i w:val="0"/>
        </w:rPr>
        <w:t>9. Explaining SSDs: Form Factors, Interfaces &amp; Technologies — ExplainingComputers</w:t>
      </w:r>
    </w:p>
    <w:p>
      <w:hyperlink r:id="rId21">
        <w:r>
          <w:rPr>
            <w:color w:val="0D7477"/>
            <w:u w:val="single"/>
          </w:rPr>
          <w:t xml:space="preserve">YouTube</w:t>
        </w:r>
      </w:hyperlink>
    </w:p>
    <w:p>
      <w:r>
        <w:rPr>
          <w:b/>
          <w:i w:val="0"/>
        </w:rPr>
        <w:t>Focus:</w:t>
      </w:r>
      <w:r>
        <w:rPr>
          <w:b w:val="0"/>
          <w:i w:val="0"/>
        </w:rPr>
        <w:t xml:space="preserve"> Physical package, communication interface, and storage protocol. </w:t>
      </w:r>
      <w:r>
        <w:rPr>
          <w:b/>
          <w:i w:val="0"/>
        </w:rPr>
        <w:t>Apply:</w:t>
      </w:r>
      <w:r>
        <w:rPr>
          <w:b w:val="0"/>
          <w:i w:val="0"/>
        </w:rPr>
        <w:t xml:space="preserve"> Make three columns: shape, connection, function. </w:t>
      </w:r>
      <w:r>
        <w:rPr>
          <w:b/>
          <w:i w:val="0"/>
        </w:rPr>
        <w:t>Self-check:</w:t>
      </w:r>
      <w:r>
        <w:rPr>
          <w:b w:val="0"/>
          <w:i w:val="0"/>
        </w:rPr>
        <w:t xml:space="preserve"> Why are E3.S, PCIe, NVMe, and NPU not alternatives? </w:t>
      </w:r>
      <w:r>
        <w:rPr>
          <w:b/>
          <w:i w:val="0"/>
        </w:rPr>
        <w:t>Study allowance:</w:t>
      </w:r>
      <w:r>
        <w:rPr>
          <w:b w:val="0"/>
          <w:i w:val="0"/>
        </w:rPr>
        <w:t xml:space="preserve"> 25–35 min. </w:t>
      </w:r>
      <w:r>
        <w:rPr>
          <w:b w:val="0"/>
          <w:i w:val="0"/>
        </w:rPr>
        <w:t>[</w:t>
      </w:r>
      <w:r>
        <w:rPr>
          <w:b w:val="0"/>
          <w:i w:val="0"/>
        </w:rPr>
        <w:t>V9]</w:t>
      </w:r>
    </w:p>
    <w:p>
      <w:pPr>
        <w:pStyle w:val="Heading3"/>
      </w:pPr>
      <w:r>
        <w:rPr>
          <w:b w:val="0"/>
          <w:i w:val="0"/>
        </w:rPr>
        <w:t>10. The Latest in Form Factors — SNIA-linked presentation</w:t>
      </w:r>
    </w:p>
    <w:p>
      <w:hyperlink r:id="rId22">
        <w:r>
          <w:rPr>
            <w:color w:val="0D7477"/>
            <w:u w:val="single"/>
          </w:rPr>
          <w:t xml:space="preserve">YouTube</w:t>
        </w:r>
      </w:hyperlink>
      <w:r>
        <w:rPr>
          <w:b w:val="0"/>
          <w:i w:val="0"/>
        </w:rPr>
        <w:t xml:space="preserve"> · </w:t>
      </w:r>
      <w:hyperlink r:id="rId23">
        <w:r>
          <w:rPr>
            <w:color w:val="0D7477"/>
            <w:u w:val="single"/>
          </w:rPr>
          <w:t xml:space="preserve">Publisher / creator reference</w:t>
        </w:r>
      </w:hyperlink>
    </w:p>
    <w:p>
      <w:r>
        <w:rPr>
          <w:b/>
          <w:i w:val="0"/>
        </w:rPr>
        <w:t>Focus:</w:t>
      </w:r>
      <w:r>
        <w:rPr>
          <w:b w:val="0"/>
          <w:i w:val="0"/>
        </w:rPr>
        <w:t xml:space="preserve"> EDSFF and E3 packaging; device versus bay versus backplane. </w:t>
      </w:r>
      <w:r>
        <w:rPr>
          <w:b/>
          <w:i w:val="0"/>
        </w:rPr>
        <w:t>Apply:</w:t>
      </w:r>
      <w:r>
        <w:rPr>
          <w:b w:val="0"/>
          <w:i w:val="0"/>
        </w:rPr>
        <w:t xml:space="preserve"> Annotate the E3.S device location on the ATMOS photograph. </w:t>
      </w:r>
      <w:r>
        <w:rPr>
          <w:b/>
          <w:i w:val="0"/>
        </w:rPr>
        <w:t>Self-check:</w:t>
      </w:r>
      <w:r>
        <w:rPr>
          <w:b w:val="0"/>
          <w:i w:val="0"/>
        </w:rPr>
        <w:t xml:space="preserve"> Does a thicker device automatically receive more lanes? </w:t>
      </w:r>
      <w:r>
        <w:rPr>
          <w:b/>
          <w:i w:val="0"/>
        </w:rPr>
        <w:t>Study allowance:</w:t>
      </w:r>
      <w:r>
        <w:rPr>
          <w:b w:val="0"/>
          <w:i w:val="0"/>
        </w:rPr>
        <w:t xml:space="preserve"> 30–45 min selected content. </w:t>
      </w:r>
      <w:r>
        <w:rPr>
          <w:b w:val="0"/>
          <w:i w:val="0"/>
        </w:rPr>
        <w:t>[</w:t>
      </w:r>
      <w:r>
        <w:rPr>
          <w:b w:val="0"/>
          <w:i w:val="0"/>
        </w:rPr>
        <w:t>V10]</w:t>
      </w:r>
    </w:p>
    <w:p>
      <w:pPr>
        <w:pStyle w:val="Heading3"/>
      </w:pPr>
      <w:r>
        <w:rPr>
          <w:b w:val="0"/>
          <w:i w:val="0"/>
        </w:rPr>
        <w:t>11. EDSFF backplane replacement: PowerEdge R570 — Dell</w:t>
      </w:r>
    </w:p>
    <w:p>
      <w:hyperlink r:id="rId24">
        <w:r>
          <w:rPr>
            <w:color w:val="0D7477"/>
            <w:u w:val="single"/>
          </w:rPr>
          <w:t xml:space="preserve">Dell-hosted video</w:t>
        </w:r>
      </w:hyperlink>
    </w:p>
    <w:p>
      <w:r>
        <w:rPr>
          <w:b/>
          <w:i w:val="0"/>
        </w:rPr>
        <w:t>Focus:</w:t>
      </w:r>
      <w:r>
        <w:rPr>
          <w:b w:val="0"/>
          <w:i w:val="0"/>
        </w:rPr>
        <w:t xml:space="preserve"> Board behind the devices, and its power/data connections. </w:t>
      </w:r>
      <w:r>
        <w:rPr>
          <w:b/>
          <w:i w:val="0"/>
        </w:rPr>
        <w:t>Apply:</w:t>
      </w:r>
      <w:r>
        <w:rPr>
          <w:b w:val="0"/>
          <w:i w:val="0"/>
        </w:rPr>
        <w:t xml:space="preserve"> Label the backplane and cables in your own diagram. </w:t>
      </w:r>
      <w:r>
        <w:rPr>
          <w:b/>
          <w:i w:val="0"/>
        </w:rPr>
        <w:t>Self-check:</w:t>
      </w:r>
      <w:r>
        <w:rPr>
          <w:b w:val="0"/>
          <w:i w:val="0"/>
        </w:rPr>
        <w:t xml:space="preserve"> How is a passive backplane different from an active switch card? </w:t>
      </w:r>
      <w:r>
        <w:rPr>
          <w:b/>
          <w:i w:val="0"/>
        </w:rPr>
        <w:t>Study allowance:</w:t>
      </w:r>
      <w:r>
        <w:rPr>
          <w:b w:val="0"/>
          <w:i w:val="0"/>
        </w:rPr>
        <w:t xml:space="preserve"> 15–20 min. </w:t>
      </w:r>
      <w:r>
        <w:rPr>
          <w:b w:val="0"/>
          <w:i w:val="0"/>
        </w:rPr>
        <w:t>[</w:t>
      </w:r>
      <w:r>
        <w:rPr>
          <w:b w:val="0"/>
          <w:i w:val="0"/>
        </w:rPr>
        <w:t>V11]</w:t>
      </w:r>
    </w:p>
    <w:p>
      <w:pPr>
        <w:pStyle w:val="Heading3"/>
      </w:pPr>
      <w:r>
        <w:rPr>
          <w:b w:val="0"/>
          <w:i w:val="0"/>
        </w:rPr>
        <w:t>12. Mini Cool Edge IO Cable Assembly — Amphenol Tech Demo</w:t>
      </w:r>
    </w:p>
    <w:p>
      <w:hyperlink r:id="rId25">
        <w:r>
          <w:rPr>
            <w:color w:val="0D7477"/>
            <w:u w:val="single"/>
          </w:rPr>
          <w:t xml:space="preserve">YouTube</w:t>
        </w:r>
      </w:hyperlink>
      <w:r>
        <w:rPr>
          <w:b w:val="0"/>
          <w:i w:val="0"/>
        </w:rPr>
        <w:t xml:space="preserve"> · </w:t>
      </w:r>
      <w:hyperlink r:id="rId26">
        <w:r>
          <w:rPr>
            <w:color w:val="0D7477"/>
            <w:u w:val="single"/>
          </w:rPr>
          <w:t xml:space="preserve">Publisher / creator reference</w:t>
        </w:r>
      </w:hyperlink>
    </w:p>
    <w:p>
      <w:r>
        <w:rPr>
          <w:b/>
          <w:i w:val="0"/>
        </w:rPr>
        <w:t>Focus:</w:t>
      </w:r>
      <w:r>
        <w:rPr>
          <w:b w:val="0"/>
          <w:i w:val="0"/>
        </w:rPr>
        <w:t xml:space="preserve"> Recognize the MCIO connector, cable assembly, and board attachment. </w:t>
      </w:r>
      <w:r>
        <w:rPr>
          <w:b/>
          <w:i w:val="0"/>
        </w:rPr>
        <w:t>Apply:</w:t>
      </w:r>
      <w:r>
        <w:rPr>
          <w:b w:val="0"/>
          <w:i w:val="0"/>
        </w:rPr>
        <w:t xml:space="preserve"> Trace bay/backplane → cable → switch card → host. </w:t>
      </w:r>
      <w:r>
        <w:rPr>
          <w:b/>
          <w:i w:val="0"/>
        </w:rPr>
        <w:t>Self-check:</w:t>
      </w:r>
      <w:r>
        <w:rPr>
          <w:b w:val="0"/>
          <w:i w:val="0"/>
        </w:rPr>
        <w:t xml:space="preserve"> Why does the cable label not fully specify logical port routing? </w:t>
      </w:r>
      <w:r>
        <w:rPr>
          <w:b/>
          <w:i w:val="0"/>
        </w:rPr>
        <w:t>Study allowance:</w:t>
      </w:r>
      <w:r>
        <w:rPr>
          <w:b w:val="0"/>
          <w:i w:val="0"/>
        </w:rPr>
        <w:t xml:space="preserve"> 15–25 min. </w:t>
      </w:r>
      <w:r>
        <w:rPr>
          <w:b w:val="0"/>
          <w:i w:val="0"/>
        </w:rPr>
        <w:t>[</w:t>
      </w:r>
      <w:r>
        <w:rPr>
          <w:b w:val="0"/>
          <w:i w:val="0"/>
        </w:rPr>
        <w:t>V12]</w:t>
      </w:r>
    </w:p>
    <w:p>
      <w:r>
        <w:rPr>
          <w:b/>
          <w:i w:val="0"/>
        </w:rPr>
        <w:t>Checkpoint:</w:t>
      </w:r>
      <w:r>
        <w:rPr>
          <w:b w:val="0"/>
          <w:i w:val="0"/>
        </w:rPr>
        <w:t xml:space="preserve"> redraw all three ATMOS layouts. Viewing a service procedure is not authorization to change a live server.</w:t>
      </w:r>
    </w:p>
    <w:p>
      <w:r>
        <w:br w:type="page"/>
      </w:r>
    </w:p>
    <w:p>
      <w:pPr>
        <w:pStyle w:val="Kicker"/>
        <w:spacing w:after="140"/>
      </w:pPr>
      <w:r>
        <w:t>LEARN  •  EXPLAIN  •  APPLY  •  REVIEW</w:t>
      </w:r>
    </w:p>
    <w:p>
      <w:bookmarkStart w:id="24" w:name="page_16"/>
      <w:pPr>
        <w:pStyle w:val="Heading1"/>
      </w:pPr>
      <w:r>
        <w:t>8. Video sequence: locality and operation</w:t>
      </w:r>
      <w:bookmarkEnd w:id="24"/>
    </w:p>
    <w:p>
      <w:r>
        <w:rPr>
          <w:b w:val="0"/>
          <w:i w:val="0"/>
        </w:rPr>
        <w:t>These exercises are the plan’s assignments; the linked material supplies the lesson. Study allowances include pauses and notes, not only playback.</w:t>
      </w:r>
    </w:p>
    <w:p>
      <w:pPr>
        <w:pStyle w:val="Heading3"/>
      </w:pPr>
      <w:r>
        <w:rPr>
          <w:b w:val="0"/>
          <w:i w:val="0"/>
        </w:rPr>
        <w:t>13. NUMA Deep Dive — Johan van Amersfoort and Frank Denneman</w:t>
      </w:r>
    </w:p>
    <w:p>
      <w:hyperlink r:id="rId27">
        <w:r>
          <w:rPr>
            <w:color w:val="0D7477"/>
            <w:u w:val="single"/>
          </w:rPr>
          <w:t xml:space="preserve">YouTube</w:t>
        </w:r>
      </w:hyperlink>
    </w:p>
    <w:p>
      <w:r>
        <w:rPr>
          <w:b/>
          <w:i w:val="0"/>
        </w:rPr>
        <w:t>Focus:</w:t>
      </w:r>
      <w:r>
        <w:rPr>
          <w:b w:val="0"/>
          <w:i w:val="0"/>
        </w:rPr>
        <w:t xml:space="preserve"> CPU sockets and local versus remote host memory. </w:t>
      </w:r>
      <w:r>
        <w:rPr>
          <w:b/>
          <w:i w:val="0"/>
        </w:rPr>
        <w:t>Apply:</w:t>
      </w:r>
      <w:r>
        <w:rPr>
          <w:b w:val="0"/>
          <w:i w:val="0"/>
        </w:rPr>
        <w:t xml:space="preserve"> Draw two CPU/memory domains and place a device connection. </w:t>
      </w:r>
      <w:r>
        <w:rPr>
          <w:b/>
          <w:i w:val="0"/>
        </w:rPr>
        <w:t>Self-check:</w:t>
      </w:r>
      <w:r>
        <w:rPr>
          <w:b w:val="0"/>
          <w:i w:val="0"/>
        </w:rPr>
        <w:t xml:space="preserve"> Distinguish host-memory locality from PCIe peer routing. </w:t>
      </w:r>
      <w:r>
        <w:rPr>
          <w:b/>
          <w:i w:val="0"/>
        </w:rPr>
        <w:t>Study allowance:</w:t>
      </w:r>
      <w:r>
        <w:rPr>
          <w:b w:val="0"/>
          <w:i w:val="0"/>
        </w:rPr>
        <w:t xml:space="preserve"> 40–60 min in two passes. </w:t>
      </w:r>
      <w:r>
        <w:rPr>
          <w:b w:val="0"/>
          <w:i w:val="0"/>
        </w:rPr>
        <w:t>[</w:t>
      </w:r>
      <w:r>
        <w:rPr>
          <w:b w:val="0"/>
          <w:i w:val="0"/>
        </w:rPr>
        <w:t>V13]</w:t>
      </w:r>
    </w:p>
    <w:p>
      <w:pPr>
        <w:pStyle w:val="Heading3"/>
      </w:pPr>
      <w:r>
        <w:rPr>
          <w:b w:val="0"/>
          <w:i w:val="0"/>
        </w:rPr>
        <w:t>14. How Do Graphics Cards Work? Exploring GPU Architecture — Branch Education</w:t>
      </w:r>
    </w:p>
    <w:p>
      <w:hyperlink r:id="rId28">
        <w:r>
          <w:rPr>
            <w:color w:val="0D7477"/>
            <w:u w:val="single"/>
          </w:rPr>
          <w:t xml:space="preserve">YouTube</w:t>
        </w:r>
      </w:hyperlink>
    </w:p>
    <w:p>
      <w:r>
        <w:rPr>
          <w:b/>
          <w:i w:val="0"/>
        </w:rPr>
        <w:t>Focus:</w:t>
      </w:r>
      <w:r>
        <w:rPr>
          <w:b w:val="0"/>
          <w:i w:val="0"/>
        </w:rPr>
        <w:t xml:space="preserve"> Complete card, processor, device memory, and on-chip working storage. </w:t>
      </w:r>
      <w:r>
        <w:rPr>
          <w:b/>
          <w:i w:val="0"/>
        </w:rPr>
        <w:t>Apply:</w:t>
      </w:r>
      <w:r>
        <w:rPr>
          <w:b w:val="0"/>
          <w:i w:val="0"/>
        </w:rPr>
        <w:t xml:space="preserve"> Compare host RAM with GPU memory, then the roles in NPU/HBF/LPDDR. </w:t>
      </w:r>
      <w:r>
        <w:rPr>
          <w:b/>
          <w:i w:val="0"/>
        </w:rPr>
        <w:t>Self-check:</w:t>
      </w:r>
      <w:r>
        <w:rPr>
          <w:b w:val="0"/>
          <w:i w:val="0"/>
        </w:rPr>
        <w:t xml:space="preserve"> Where do resident weights live, and where are current tiles used? </w:t>
      </w:r>
      <w:r>
        <w:rPr>
          <w:b/>
          <w:i w:val="0"/>
        </w:rPr>
        <w:t>Study allowance:</w:t>
      </w:r>
      <w:r>
        <w:rPr>
          <w:b w:val="0"/>
          <w:i w:val="0"/>
        </w:rPr>
        <w:t xml:space="preserve"> 40–60 min. </w:t>
      </w:r>
      <w:r>
        <w:rPr>
          <w:b w:val="0"/>
          <w:i w:val="0"/>
        </w:rPr>
        <w:t>[</w:t>
      </w:r>
      <w:r>
        <w:rPr>
          <w:b w:val="0"/>
          <w:i w:val="0"/>
        </w:rPr>
        <w:t>V14]</w:t>
      </w:r>
    </w:p>
    <w:p>
      <w:pPr>
        <w:pStyle w:val="Heading3"/>
      </w:pPr>
      <w:r>
        <w:rPr>
          <w:b w:val="0"/>
          <w:i w:val="0"/>
        </w:rPr>
        <w:t>15. The BIOS — Professor Messer</w:t>
      </w:r>
    </w:p>
    <w:p>
      <w:hyperlink r:id="rId29">
        <w:r>
          <w:rPr>
            <w:color w:val="0D7477"/>
            <w:u w:val="single"/>
          </w:rPr>
          <w:t xml:space="preserve">YouTube</w:t>
        </w:r>
      </w:hyperlink>
      <w:r>
        <w:rPr>
          <w:b w:val="0"/>
          <w:i w:val="0"/>
        </w:rPr>
        <w:t xml:space="preserve"> · </w:t>
      </w:r>
      <w:hyperlink r:id="rId30">
        <w:r>
          <w:rPr>
            <w:color w:val="0D7477"/>
            <w:u w:val="single"/>
          </w:rPr>
          <w:t xml:space="preserve">Publisher / creator reference</w:t>
        </w:r>
      </w:hyperlink>
    </w:p>
    <w:p>
      <w:r>
        <w:rPr>
          <w:b/>
          <w:i w:val="0"/>
        </w:rPr>
        <w:t>Focus:</w:t>
      </w:r>
      <w:r>
        <w:rPr>
          <w:b w:val="0"/>
          <w:i w:val="0"/>
        </w:rPr>
        <w:t xml:space="preserve"> Startup, initialization, and handoff to the operating system. </w:t>
      </w:r>
      <w:r>
        <w:rPr>
          <w:b/>
          <w:i w:val="0"/>
        </w:rPr>
        <w:t>Apply:</w:t>
      </w:r>
      <w:r>
        <w:rPr>
          <w:b w:val="0"/>
          <w:i w:val="0"/>
        </w:rPr>
        <w:t xml:space="preserve"> Ask which BIOS, BMC, driver, and runtime versions the lab needs. </w:t>
      </w:r>
      <w:r>
        <w:rPr>
          <w:b/>
          <w:i w:val="0"/>
        </w:rPr>
        <w:t>Self-check:</w:t>
      </w:r>
      <w:r>
        <w:rPr>
          <w:b w:val="0"/>
          <w:i w:val="0"/>
        </w:rPr>
        <w:t xml:space="preserve"> Why is physically inserting a device not enough to run a service? </w:t>
      </w:r>
      <w:r>
        <w:rPr>
          <w:b/>
          <w:i w:val="0"/>
        </w:rPr>
        <w:t>Study allowance:</w:t>
      </w:r>
      <w:r>
        <w:rPr>
          <w:b w:val="0"/>
          <w:i w:val="0"/>
        </w:rPr>
        <w:t xml:space="preserve"> 20–30 min. </w:t>
      </w:r>
      <w:r>
        <w:rPr>
          <w:b w:val="0"/>
          <w:i w:val="0"/>
        </w:rPr>
        <w:t>[</w:t>
      </w:r>
      <w:r>
        <w:rPr>
          <w:b w:val="0"/>
          <w:i w:val="0"/>
        </w:rPr>
        <w:t>V15]</w:t>
      </w:r>
    </w:p>
    <w:p>
      <w:pPr>
        <w:pStyle w:val="Heading3"/>
      </w:pPr>
      <w:r>
        <w:rPr>
          <w:b w:val="0"/>
          <w:i w:val="0"/>
        </w:rPr>
        <w:t>16. Cooling — Professor Messer</w:t>
      </w:r>
    </w:p>
    <w:p>
      <w:hyperlink r:id="rId31">
        <w:r>
          <w:rPr>
            <w:color w:val="0D7477"/>
            <w:u w:val="single"/>
          </w:rPr>
          <w:t xml:space="preserve">YouTube</w:t>
        </w:r>
      </w:hyperlink>
      <w:r>
        <w:rPr>
          <w:b w:val="0"/>
          <w:i w:val="0"/>
        </w:rPr>
        <w:t xml:space="preserve"> · </w:t>
      </w:r>
      <w:hyperlink r:id="rId32">
        <w:r>
          <w:rPr>
            <w:color w:val="0D7477"/>
            <w:u w:val="single"/>
          </w:rPr>
          <w:t xml:space="preserve">Publisher / creator reference</w:t>
        </w:r>
      </w:hyperlink>
    </w:p>
    <w:p>
      <w:r>
        <w:rPr>
          <w:b/>
          <w:i w:val="0"/>
        </w:rPr>
        <w:t>Focus:</w:t>
      </w:r>
      <w:r>
        <w:rPr>
          <w:b w:val="0"/>
          <w:i w:val="0"/>
        </w:rPr>
        <w:t xml:space="preserve"> Airflow, heat sinks, fans, and component layout. </w:t>
      </w:r>
      <w:r>
        <w:rPr>
          <w:b/>
          <w:i w:val="0"/>
        </w:rPr>
        <w:t>Apply:</w:t>
      </w:r>
      <w:r>
        <w:rPr>
          <w:b w:val="0"/>
          <w:i w:val="0"/>
        </w:rPr>
        <w:t xml:space="preserve"> Write thermal questions for fully populated E3.S bays. </w:t>
      </w:r>
      <w:r>
        <w:rPr>
          <w:b/>
          <w:i w:val="0"/>
        </w:rPr>
        <w:t>Self-check:</w:t>
      </w:r>
      <w:r>
        <w:rPr>
          <w:b w:val="0"/>
          <w:i w:val="0"/>
        </w:rPr>
        <w:t xml:space="preserve"> Separate a power specification, measured draw, and cooling qualification. </w:t>
      </w:r>
      <w:r>
        <w:rPr>
          <w:b/>
          <w:i w:val="0"/>
        </w:rPr>
        <w:t>Study allowance:</w:t>
      </w:r>
      <w:r>
        <w:rPr>
          <w:b w:val="0"/>
          <w:i w:val="0"/>
        </w:rPr>
        <w:t xml:space="preserve"> 20–30 min. </w:t>
      </w:r>
      <w:r>
        <w:rPr>
          <w:b w:val="0"/>
          <w:i w:val="0"/>
        </w:rPr>
        <w:t>[</w:t>
      </w:r>
      <w:r>
        <w:rPr>
          <w:b w:val="0"/>
          <w:i w:val="0"/>
        </w:rPr>
        <w:t>V16]</w:t>
      </w:r>
    </w:p>
    <w:p>
      <w:r>
        <w:rPr>
          <w:b/>
          <w:i w:val="0"/>
        </w:rPr>
        <w:t>Checkpoint:</w:t>
      </w:r>
      <w:r>
        <w:rPr>
          <w:b w:val="0"/>
          <w:i w:val="0"/>
        </w:rPr>
        <w:t xml:space="preserve"> explain how data delivery can limit available compute. Older platforms and GPU examples do not establish current ATMOS specifications.</w:t>
      </w:r>
    </w:p>
    <w:p>
      <w:r>
        <w:br w:type="page"/>
      </w:r>
    </w:p>
    <w:p>
      <w:pPr>
        <w:pStyle w:val="Kicker"/>
        <w:spacing w:after="140"/>
      </w:pPr>
      <w:r>
        <w:t>LEARN  •  EXPLAIN  •  APPLY  •  REVIEW</w:t>
      </w:r>
    </w:p>
    <w:p>
      <w:bookmarkStart w:id="25" w:name="page_17"/>
      <w:pPr>
        <w:pStyle w:val="Heading1"/>
      </w:pPr>
      <w:r>
        <w:t>8. Next layer: networking and serving</w:t>
      </w:r>
      <w:bookmarkEnd w:id="25"/>
    </w:p>
    <w:p>
      <w:r>
        <w:rPr>
          <w:b w:val="0"/>
          <w:i w:val="0"/>
        </w:rPr>
        <w:t>Complete physical recognition first. These resources extend the networking and LLM tracks; the exercises are proposed assignments, not product claims.</w:t>
      </w:r>
    </w:p>
    <w:p>
      <w:pPr>
        <w:pStyle w:val="Heading3"/>
      </w:pPr>
      <w:r>
        <w:rPr>
          <w:b w:val="0"/>
          <w:i w:val="0"/>
        </w:rPr>
        <w:t>17. Networking Devices — Professor Messer</w:t>
      </w:r>
    </w:p>
    <w:p>
      <w:hyperlink r:id="rId33">
        <w:r>
          <w:rPr>
            <w:color w:val="0D7477"/>
            <w:u w:val="single"/>
          </w:rPr>
          <w:t xml:space="preserve">Video and transcript</w:t>
        </w:r>
      </w:hyperlink>
    </w:p>
    <w:p>
      <w:r>
        <w:rPr>
          <w:b/>
          <w:i w:val="0"/>
        </w:rPr>
        <w:t>When:</w:t>
      </w:r>
      <w:r>
        <w:rPr>
          <w:b w:val="0"/>
          <w:i w:val="0"/>
        </w:rPr>
        <w:t xml:space="preserve"> Month 2. </w:t>
      </w:r>
      <w:r>
        <w:rPr>
          <w:b/>
          <w:i w:val="0"/>
        </w:rPr>
        <w:t>Apply:</w:t>
      </w:r>
      <w:r>
        <w:rPr>
          <w:b w:val="0"/>
          <w:i w:val="0"/>
        </w:rPr>
        <w:t xml:space="preserve"> draw host → NIC → network switch → second host. </w:t>
      </w:r>
      <w:r>
        <w:rPr>
          <w:b/>
          <w:i w:val="0"/>
        </w:rPr>
        <w:t>Check:</w:t>
      </w:r>
      <w:r>
        <w:rPr>
          <w:b w:val="0"/>
          <w:i w:val="0"/>
        </w:rPr>
        <w:t xml:space="preserve"> distinguish an Ethernet switch between servers from a PCIe switch within a server. </w:t>
      </w:r>
      <w:r>
        <w:rPr>
          <w:b/>
          <w:i w:val="0"/>
        </w:rPr>
        <w:t>Study:</w:t>
      </w:r>
      <w:r>
        <w:rPr>
          <w:b w:val="0"/>
          <w:i w:val="0"/>
        </w:rPr>
        <w:t xml:space="preserve"> 30–45 minutes. </w:t>
      </w:r>
      <w:r>
        <w:rPr>
          <w:b w:val="0"/>
          <w:i w:val="0"/>
        </w:rPr>
        <w:t>[</w:t>
      </w:r>
      <w:r>
        <w:rPr>
          <w:b w:val="0"/>
          <w:i w:val="0"/>
        </w:rPr>
        <w:t>R5]</w:t>
      </w:r>
    </w:p>
    <w:p>
      <w:pPr>
        <w:pStyle w:val="Heading3"/>
      </w:pPr>
      <w:r>
        <w:rPr>
          <w:b w:val="0"/>
          <w:i w:val="0"/>
        </w:rPr>
        <w:t>18. Mixture of Experts — NVIDIA</w:t>
      </w:r>
    </w:p>
    <w:p>
      <w:hyperlink r:id="rId34">
        <w:r>
          <w:rPr>
            <w:color w:val="0D7477"/>
            <w:u w:val="single"/>
          </w:rPr>
          <w:t xml:space="preserve">Introduction and embedded video</w:t>
        </w:r>
      </w:hyperlink>
    </w:p>
    <w:p>
      <w:r>
        <w:rPr>
          <w:b/>
          <w:i w:val="0"/>
        </w:rPr>
        <w:t>When:</w:t>
      </w:r>
      <w:r>
        <w:rPr>
          <w:b w:val="0"/>
          <w:i w:val="0"/>
        </w:rPr>
        <w:t xml:space="preserve"> late Month 1 or early Month 2. </w:t>
      </w:r>
      <w:r>
        <w:rPr>
          <w:b/>
          <w:i w:val="0"/>
        </w:rPr>
        <w:t>Apply:</w:t>
      </w:r>
      <w:r>
        <w:rPr>
          <w:b w:val="0"/>
          <w:i w:val="0"/>
        </w:rPr>
        <w:t xml:space="preserve"> show a token moving to a resident expert, then a separate weight-loading event. </w:t>
      </w:r>
      <w:r>
        <w:rPr>
          <w:b/>
          <w:i w:val="0"/>
        </w:rPr>
        <w:t>Check:</w:t>
      </w:r>
      <w:r>
        <w:rPr>
          <w:b w:val="0"/>
          <w:i w:val="0"/>
        </w:rPr>
        <w:t xml:space="preserve"> total parameters, activated parameters, and fetched bytes are different. </w:t>
      </w:r>
      <w:r>
        <w:rPr>
          <w:b/>
          <w:i w:val="0"/>
        </w:rPr>
        <w:t>Study:</w:t>
      </w:r>
      <w:r>
        <w:rPr>
          <w:b w:val="0"/>
          <w:i w:val="0"/>
        </w:rPr>
        <w:t xml:space="preserve"> 25–35 minutes. Vendor comparisons are not ATMOS evidence. </w:t>
      </w:r>
      <w:r>
        <w:rPr>
          <w:b w:val="0"/>
          <w:i w:val="0"/>
        </w:rPr>
        <w:t>[</w:t>
      </w:r>
      <w:r>
        <w:rPr>
          <w:b w:val="0"/>
          <w:i w:val="0"/>
        </w:rPr>
        <w:t>R6]</w:t>
      </w:r>
    </w:p>
    <w:p>
      <w:pPr>
        <w:pStyle w:val="Heading3"/>
      </w:pPr>
      <w:r>
        <w:rPr>
          <w:b w:val="0"/>
          <w:i w:val="0"/>
        </w:rPr>
        <w:t>19. NCCL: The Inter-GPU Communication Library Powering Multi-GPU AI</w:t>
      </w:r>
    </w:p>
    <w:p>
      <w:hyperlink r:id="rId35">
        <w:r>
          <w:rPr>
            <w:color w:val="0D7477"/>
            <w:u w:val="single"/>
          </w:rPr>
          <w:t xml:space="preserve">NVIDIA GTC session</w:t>
        </w:r>
      </w:hyperlink>
    </w:p>
    <w:p>
      <w:r>
        <w:rPr>
          <w:b/>
          <w:i w:val="0"/>
        </w:rPr>
        <w:t>When:</w:t>
      </w:r>
      <w:r>
        <w:rPr>
          <w:b w:val="0"/>
          <w:i w:val="0"/>
        </w:rPr>
        <w:t xml:space="preserve"> Month 3 after basic parallelism. </w:t>
      </w:r>
      <w:r>
        <w:rPr>
          <w:b/>
          <w:i w:val="0"/>
        </w:rPr>
        <w:t>Apply:</w:t>
      </w:r>
      <w:r>
        <w:rPr>
          <w:b w:val="0"/>
          <w:i w:val="0"/>
        </w:rPr>
        <w:t xml:space="preserve"> identify reduction, gathering, expert dispatch, and point-to-point needs. </w:t>
      </w:r>
      <w:r>
        <w:rPr>
          <w:b/>
          <w:i w:val="0"/>
        </w:rPr>
        <w:t>Check:</w:t>
      </w:r>
      <w:r>
        <w:rPr>
          <w:b w:val="0"/>
          <w:i w:val="0"/>
        </w:rPr>
        <w:t xml:space="preserve"> a communication API does not guarantee an ATMOS transport. </w:t>
      </w:r>
      <w:r>
        <w:rPr>
          <w:b/>
          <w:i w:val="0"/>
        </w:rPr>
        <w:t>Study:</w:t>
      </w:r>
      <w:r>
        <w:rPr>
          <w:b w:val="0"/>
          <w:i w:val="0"/>
        </w:rPr>
        <w:t xml:space="preserve"> 45–60 minutes; player access may require sign-in/JavaScript. </w:t>
      </w:r>
      <w:r>
        <w:rPr>
          <w:b w:val="0"/>
          <w:i w:val="0"/>
        </w:rPr>
        <w:t>[</w:t>
      </w:r>
      <w:r>
        <w:rPr>
          <w:b w:val="0"/>
          <w:i w:val="0"/>
        </w:rPr>
        <w:t>R7]</w:t>
      </w:r>
    </w:p>
    <w:p>
      <w:pPr>
        <w:pStyle w:val="Heading2"/>
      </w:pPr>
      <w:r>
        <w:rPr>
          <w:b w:val="0"/>
          <w:i w:val="0"/>
        </w:rPr>
        <w:t>Read alongside the videos</w:t>
      </w:r>
    </w:p>
    <w:p>
      <w:hyperlink r:id="rId36">
        <w:r>
          <w:rPr>
            <w:color w:val="0D7477"/>
            <w:u w:val="single"/>
          </w:rPr>
          <w:t xml:space="preserve">LLM benchmarking fundamentals</w:t>
        </w:r>
      </w:hyperlink>
      <w:r>
        <w:rPr>
          <w:b w:val="0"/>
          <w:i w:val="0"/>
        </w:rPr>
        <w:t xml:space="preserve"> for TTFT, TPOT, request rate, and concurrency; </w:t>
      </w:r>
      <w:hyperlink r:id="rId37">
        <w:r>
          <w:rPr>
            <w:color w:val="0D7477"/>
            <w:u w:val="single"/>
          </w:rPr>
          <w:t xml:space="preserve">vLLM parallelism</w:t>
        </w:r>
      </w:hyperlink>
      <w:r>
        <w:rPr>
          <w:b w:val="0"/>
          <w:i w:val="0"/>
        </w:rPr>
        <w:t xml:space="preserve"> and </w:t>
      </w:r>
      <w:hyperlink r:id="rId38">
        <w:r>
          <w:rPr>
            <w:color w:val="0D7477"/>
            <w:u w:val="single"/>
          </w:rPr>
          <w:t xml:space="preserve">expert deployment</w:t>
        </w:r>
      </w:hyperlink>
      <w:r>
        <w:rPr>
          <w:b w:val="0"/>
          <w:i w:val="0"/>
        </w:rPr>
        <w:t xml:space="preserve"> for group semantics; </w:t>
      </w:r>
      <w:hyperlink r:id="rId39">
        <w:r>
          <w:rPr>
            <w:color w:val="0D7477"/>
            <w:u w:val="single"/>
          </w:rPr>
          <w:t xml:space="preserve">Kubernetes architecture</w:t>
        </w:r>
      </w:hyperlink>
      <w:r>
        <w:rPr>
          <w:b w:val="0"/>
          <w:i w:val="0"/>
        </w:rPr>
        <w:t xml:space="preserve"> for service versus device responsibilities. </w:t>
      </w:r>
      <w:r>
        <w:rPr>
          <w:b w:val="0"/>
          <w:i w:val="0"/>
        </w:rPr>
        <w:t>[</w:t>
      </w:r>
      <w:r>
        <w:rPr>
          <w:b w:val="0"/>
          <w:i w:val="0"/>
        </w:rPr>
        <w:t>R8–R10]</w:t>
      </w:r>
    </w:p>
    <w:p>
      <w:r>
        <w:rPr>
          <w:b/>
          <w:i w:val="0"/>
        </w:rPr>
        <w:t>Deliverable:</w:t>
      </w:r>
      <w:r>
        <w:rPr>
          <w:b w:val="0"/>
          <w:i w:val="0"/>
        </w:rPr>
        <w:t xml:space="preserve"> one LLM flow and one vector-service flow identifying CPU, device memory, compute, network, queues, and output. For RDMA and the selected NIC, obtain a walkthrough using the real topology. Advanced NoC, CXL, and compiler courses follow only when an experiment requires them.</w:t>
      </w:r>
    </w:p>
    <w:p>
      <w:r>
        <w:br w:type="page"/>
      </w:r>
    </w:p>
    <w:p>
      <w:pPr>
        <w:pStyle w:val="Kicker"/>
        <w:spacing w:after="140"/>
      </w:pPr>
      <w:r>
        <w:t>LEARN  •  EXPLAIN  •  APPLY  •  REVIEW</w:t>
      </w:r>
    </w:p>
    <w:p>
      <w:bookmarkStart w:id="26" w:name="page_18"/>
      <w:pPr>
        <w:pStyle w:val="Heading1"/>
      </w:pPr>
      <w:r>
        <w:t>8. Internal curriculum and proficiency checks</w:t>
      </w:r>
      <w:bookmarkEnd w:id="26"/>
    </w:p>
    <w:p>
      <w:r>
        <w:rPr>
          <w:b w:val="0"/>
          <w:i w:val="0"/>
        </w:rPr>
        <w:t xml:space="preserve">Public lessons establish vocabulary; controlled architecture material establishes the actual device. Do not infer module acronym expansions or memory destinations without the owner’s confirmation. </w:t>
      </w:r>
      <w:r>
        <w:rPr>
          <w:b w:val="0"/>
          <w:i w:val="0"/>
        </w:rPr>
        <w:t>[</w:t>
      </w:r>
      <w:r>
        <w:rPr>
          <w:b w:val="0"/>
          <w:i w:val="0"/>
        </w:rPr>
        <w:t>S1 §8; S2 §§5, 7; S4 §5]</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Area</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Learn enough to explain</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Applied proof / reviewer</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HIM / host interface</w:t>
            </w:r>
          </w:p>
        </w:tc>
        <w:tc>
          <w:tcPr>
            <w:tcW w:type="dxa" w:w="3960"/>
            <w:vAlign w:val="center"/>
            <w:shd w:fill="F0F4F6"/>
            <w:tcMar>
              <w:top w:w="65" w:type="dxa"/>
              <w:bottom w:w="65" w:type="dxa"/>
              <w:left w:w="100" w:type="dxa"/>
              <w:right w:w="100" w:type="dxa"/>
            </w:tcMar>
          </w:tcPr>
          <w:p>
            <w:pPr>
              <w:pStyle w:val="TableBody"/>
              <w:keepNext w:val="0"/>
            </w:pPr>
            <w:r>
              <w:rPr>
                <w:b w:val="0"/>
                <w:i w:val="0"/>
              </w:rPr>
              <w:t>Commands, mappings, DMA, interrupts, completion, reset</w:t>
            </w:r>
          </w:p>
        </w:tc>
        <w:tc>
          <w:tcPr>
            <w:tcW w:type="dxa" w:w="4090"/>
            <w:vAlign w:val="center"/>
            <w:shd w:fill="F0F4F6"/>
            <w:tcMar>
              <w:top w:w="65" w:type="dxa"/>
              <w:bottom w:w="65" w:type="dxa"/>
              <w:left w:w="100" w:type="dxa"/>
              <w:right w:w="100" w:type="dxa"/>
            </w:tcMar>
          </w:tcPr>
          <w:p>
            <w:pPr>
              <w:pStyle w:val="TableBody"/>
              <w:keepNext w:val="0"/>
            </w:pPr>
            <w:r>
              <w:rPr>
                <w:b w:val="0"/>
                <w:i w:val="0"/>
              </w:rPr>
              <w:t>Command-to-completion trace; firmware</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HSC/HFCM and HBF</w:t>
            </w:r>
          </w:p>
        </w:tc>
        <w:tc>
          <w:tcPr>
            <w:tcW w:type="dxa" w:w="3960"/>
            <w:vAlign w:val="center"/>
            <w:shd w:fill="FFFFFF"/>
            <w:tcMar>
              <w:top w:w="65" w:type="dxa"/>
              <w:bottom w:w="65" w:type="dxa"/>
              <w:left w:w="100" w:type="dxa"/>
              <w:right w:w="100" w:type="dxa"/>
            </w:tcMar>
          </w:tcPr>
          <w:p>
            <w:pPr>
              <w:pStyle w:val="TableBody"/>
              <w:keepNext w:val="0"/>
            </w:pPr>
            <w:r>
              <w:rPr>
                <w:b w:val="0"/>
                <w:i w:val="0"/>
              </w:rPr>
              <w:t>Access size, channels, outstanding limits, reads/writes, retry</w:t>
            </w:r>
          </w:p>
        </w:tc>
        <w:tc>
          <w:tcPr>
            <w:tcW w:type="dxa" w:w="4090"/>
            <w:vAlign w:val="center"/>
            <w:shd w:fill="FFFFFF"/>
            <w:tcMar>
              <w:top w:w="65" w:type="dxa"/>
              <w:bottom w:w="65" w:type="dxa"/>
              <w:left w:w="100" w:type="dxa"/>
              <w:right w:w="100" w:type="dxa"/>
            </w:tcMar>
          </w:tcPr>
          <w:p>
            <w:pPr>
              <w:pStyle w:val="TableBody"/>
              <w:keepNext w:val="0"/>
            </w:pPr>
            <w:r>
              <w:rPr>
                <w:b w:val="0"/>
                <w:i w:val="0"/>
              </w:rPr>
              <w:t>Per-size and queue-depth profile; backend</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NoC / AXI boundary</w:t>
            </w:r>
          </w:p>
        </w:tc>
        <w:tc>
          <w:tcPr>
            <w:tcW w:type="dxa" w:w="3960"/>
            <w:vAlign w:val="center"/>
            <w:shd w:fill="F0F4F6"/>
            <w:tcMar>
              <w:top w:w="65" w:type="dxa"/>
              <w:bottom w:w="65" w:type="dxa"/>
              <w:left w:w="100" w:type="dxa"/>
              <w:right w:w="100" w:type="dxa"/>
            </w:tcMar>
          </w:tcPr>
          <w:p>
            <w:pPr>
              <w:pStyle w:val="TableBody"/>
              <w:keepNext w:val="0"/>
            </w:pPr>
            <w:r>
              <w:rPr>
                <w:b w:val="0"/>
                <w:i w:val="0"/>
              </w:rPr>
              <w:t>Routes, arbitration, shared links, backpressure</w:t>
            </w:r>
          </w:p>
        </w:tc>
        <w:tc>
          <w:tcPr>
            <w:tcW w:type="dxa" w:w="4090"/>
            <w:vAlign w:val="center"/>
            <w:shd w:fill="F0F4F6"/>
            <w:tcMar>
              <w:top w:w="65" w:type="dxa"/>
              <w:bottom w:w="65" w:type="dxa"/>
              <w:left w:w="100" w:type="dxa"/>
              <w:right w:w="100" w:type="dxa"/>
            </w:tcMar>
          </w:tcPr>
          <w:p>
            <w:pPr>
              <w:pStyle w:val="TableBody"/>
              <w:keepNext w:val="0"/>
            </w:pPr>
            <w:r>
              <w:rPr>
                <w:b w:val="0"/>
                <w:i w:val="0"/>
              </w:rPr>
              <w:t>Competing-transfer microtrace; architecture</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SRAM / CSC / buffers</w:t>
            </w:r>
          </w:p>
        </w:tc>
        <w:tc>
          <w:tcPr>
            <w:tcW w:type="dxa" w:w="3960"/>
            <w:vAlign w:val="center"/>
            <w:shd w:fill="FFFFFF"/>
            <w:tcMar>
              <w:top w:w="65" w:type="dxa"/>
              <w:bottom w:w="65" w:type="dxa"/>
              <w:left w:w="100" w:type="dxa"/>
              <w:right w:w="100" w:type="dxa"/>
            </w:tcMar>
          </w:tcPr>
          <w:p>
            <w:pPr>
              <w:pStyle w:val="TableBody"/>
              <w:keepNext w:val="0"/>
            </w:pPr>
            <w:r>
              <w:rPr>
                <w:b w:val="0"/>
                <w:i w:val="0"/>
              </w:rPr>
              <w:t>Ownership, readiness, ring wrap, safe reuse</w:t>
            </w:r>
          </w:p>
        </w:tc>
        <w:tc>
          <w:tcPr>
            <w:tcW w:type="dxa" w:w="4090"/>
            <w:vAlign w:val="center"/>
            <w:shd w:fill="FFFFFF"/>
            <w:tcMar>
              <w:top w:w="65" w:type="dxa"/>
              <w:bottom w:w="65" w:type="dxa"/>
              <w:left w:w="100" w:type="dxa"/>
              <w:right w:w="100" w:type="dxa"/>
            </w:tcMar>
          </w:tcPr>
          <w:p>
            <w:pPr>
              <w:pStyle w:val="TableBody"/>
              <w:keepNext w:val="0"/>
            </w:pPr>
            <w:r>
              <w:rPr>
                <w:b w:val="0"/>
                <w:i w:val="0"/>
              </w:rPr>
              <w:t>Full/empty/starvation/order tests; firmware</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NPU/compiler</w:t>
            </w:r>
          </w:p>
        </w:tc>
        <w:tc>
          <w:tcPr>
            <w:tcW w:type="dxa" w:w="3960"/>
            <w:vAlign w:val="center"/>
            <w:shd w:fill="F0F4F6"/>
            <w:tcMar>
              <w:top w:w="65" w:type="dxa"/>
              <w:bottom w:w="65" w:type="dxa"/>
              <w:left w:w="100" w:type="dxa"/>
              <w:right w:w="100" w:type="dxa"/>
            </w:tcMar>
          </w:tcPr>
          <w:p>
            <w:pPr>
              <w:pStyle w:val="TableBody"/>
              <w:keepNext w:val="0"/>
            </w:pPr>
            <w:r>
              <w:rPr>
                <w:b w:val="0"/>
                <w:i w:val="0"/>
              </w:rPr>
              <w:t>Operators, precision, tiles, launch, fallback</w:t>
            </w:r>
          </w:p>
        </w:tc>
        <w:tc>
          <w:tcPr>
            <w:tcW w:type="dxa" w:w="4090"/>
            <w:vAlign w:val="center"/>
            <w:shd w:fill="F0F4F6"/>
            <w:tcMar>
              <w:top w:w="65" w:type="dxa"/>
              <w:bottom w:w="65" w:type="dxa"/>
              <w:left w:w="100" w:type="dxa"/>
              <w:right w:w="100" w:type="dxa"/>
            </w:tcMar>
          </w:tcPr>
          <w:p>
            <w:pPr>
              <w:pStyle w:val="TableBody"/>
              <w:keepNext w:val="0"/>
            </w:pPr>
            <w:r>
              <w:rPr>
                <w:b w:val="0"/>
                <w:i w:val="0"/>
              </w:rPr>
              <w:t>Capability and timing table; compiler</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LPDDR</w:t>
            </w:r>
          </w:p>
        </w:tc>
        <w:tc>
          <w:tcPr>
            <w:tcW w:type="dxa" w:w="3960"/>
            <w:vAlign w:val="center"/>
            <w:shd w:fill="FFFFFF"/>
            <w:tcMar>
              <w:top w:w="65" w:type="dxa"/>
              <w:bottom w:w="65" w:type="dxa"/>
              <w:left w:w="100" w:type="dxa"/>
              <w:right w:w="100" w:type="dxa"/>
            </w:tcMar>
          </w:tcPr>
          <w:p>
            <w:pPr>
              <w:pStyle w:val="TableBody"/>
              <w:keepNext w:val="0"/>
            </w:pPr>
            <w:r>
              <w:rPr>
                <w:b w:val="0"/>
                <w:i w:val="0"/>
              </w:rPr>
              <w:t>Capacity, channels, staging and KV traffic</w:t>
            </w:r>
          </w:p>
        </w:tc>
        <w:tc>
          <w:tcPr>
            <w:tcW w:type="dxa" w:w="4090"/>
            <w:vAlign w:val="center"/>
            <w:shd w:fill="FFFFFF"/>
            <w:tcMar>
              <w:top w:w="65" w:type="dxa"/>
              <w:bottom w:w="65" w:type="dxa"/>
              <w:left w:w="100" w:type="dxa"/>
              <w:right w:w="100" w:type="dxa"/>
            </w:tcMar>
          </w:tcPr>
          <w:p>
            <w:pPr>
              <w:pStyle w:val="TableBody"/>
              <w:keepNext w:val="0"/>
            </w:pPr>
            <w:r>
              <w:rPr>
                <w:b w:val="0"/>
                <w:i w:val="0"/>
              </w:rPr>
              <w:t>Simultaneous fill/consume study; memory</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Boot/security/RAS</w:t>
            </w:r>
          </w:p>
        </w:tc>
        <w:tc>
          <w:tcPr>
            <w:tcW w:type="dxa" w:w="3960"/>
            <w:vAlign w:val="center"/>
            <w:shd w:fill="F0F4F6"/>
            <w:tcMar>
              <w:top w:w="65" w:type="dxa"/>
              <w:bottom w:w="65" w:type="dxa"/>
              <w:left w:w="100" w:type="dxa"/>
              <w:right w:w="100" w:type="dxa"/>
            </w:tcMar>
          </w:tcPr>
          <w:p>
            <w:pPr>
              <w:pStyle w:val="TableBody"/>
              <w:keepNext w:val="0"/>
            </w:pPr>
            <w:r>
              <w:rPr>
                <w:b w:val="0"/>
                <w:i w:val="0"/>
              </w:rPr>
              <w:t>Initialization, signed artifacts, isolation, recovery</w:t>
            </w:r>
          </w:p>
        </w:tc>
        <w:tc>
          <w:tcPr>
            <w:tcW w:type="dxa" w:w="4090"/>
            <w:vAlign w:val="center"/>
            <w:shd w:fill="F0F4F6"/>
            <w:tcMar>
              <w:top w:w="65" w:type="dxa"/>
              <w:bottom w:w="65" w:type="dxa"/>
              <w:left w:w="100" w:type="dxa"/>
              <w:right w:w="100" w:type="dxa"/>
            </w:tcMar>
          </w:tcPr>
          <w:p>
            <w:pPr>
              <w:pStyle w:val="TableBody"/>
              <w:keepNext w:val="0"/>
            </w:pPr>
            <w:r>
              <w:rPr>
                <w:b w:val="0"/>
                <w:i w:val="0"/>
              </w:rPr>
              <w:t>Readiness/failure checklist; qualified owners</w:t>
            </w:r>
          </w:p>
        </w:tc>
      </w:tr>
    </w:tbl>
    <w:p>
      <w:pPr>
        <w:spacing w:after="60" w:before="0" w:line="40" w:lineRule="exact"/>
      </w:pPr>
      <w:r>
        <w:rPr>
          <w:sz w:val="4"/>
        </w:rPr>
      </w:r>
    </w:p>
    <w:p>
      <w:pPr>
        <w:pStyle w:val="Heading2"/>
      </w:pPr>
      <w:r>
        <w:rPr>
          <w:b w:val="0"/>
          <w:i w:val="0"/>
        </w:rPr>
        <w:t>Rate skill through demonstration</w:t>
      </w:r>
    </w:p>
    <w:p>
      <w:r>
        <w:rPr>
          <w:b/>
          <w:i w:val="0"/>
        </w:rPr>
        <w:t>0:</w:t>
      </w:r>
      <w:r>
        <w:rPr>
          <w:b w:val="0"/>
          <w:i w:val="0"/>
        </w:rPr>
        <w:t xml:space="preserve"> unfamiliar. </w:t>
      </w:r>
      <w:r>
        <w:rPr>
          <w:b/>
          <w:i w:val="0"/>
        </w:rPr>
        <w:t>1:</w:t>
      </w:r>
      <w:r>
        <w:rPr>
          <w:b w:val="0"/>
          <w:i w:val="0"/>
        </w:rPr>
        <w:t xml:space="preserve"> recognize and name. </w:t>
      </w:r>
      <w:r>
        <w:rPr>
          <w:b/>
          <w:i w:val="0"/>
        </w:rPr>
        <w:t>2:</w:t>
      </w:r>
      <w:r>
        <w:rPr>
          <w:b w:val="0"/>
          <w:i w:val="0"/>
        </w:rPr>
        <w:t xml:space="preserve"> explain without notes. </w:t>
      </w:r>
      <w:r>
        <w:rPr>
          <w:b/>
          <w:i w:val="0"/>
        </w:rPr>
        <w:t>3:</w:t>
      </w:r>
      <w:r>
        <w:rPr>
          <w:b w:val="0"/>
          <w:i w:val="0"/>
        </w:rPr>
        <w:t xml:space="preserve"> define a test and interpret a result. </w:t>
      </w:r>
      <w:r>
        <w:rPr>
          <w:b/>
          <w:i w:val="0"/>
        </w:rPr>
        <w:t>4:</w:t>
      </w:r>
      <w:r>
        <w:rPr>
          <w:b w:val="0"/>
          <w:i w:val="0"/>
        </w:rPr>
        <w:t xml:space="preserve"> challenge assumptions and enable another engineer to reproduce the method.</w:t>
      </w:r>
    </w:p>
    <w:p>
      <w:r>
        <w:rPr>
          <w:b w:val="0"/>
          <w:i w:val="0"/>
        </w:rPr>
        <w:t>By Month 1, target level 2 for ordinary server parts and the three layouts; level 1–2 for ATMOS internals. By Month 3, target level 3 for a selected memory path, workload, and topology. By Month 6, target level 4 for the evaluation method—not every silicon specialty. These are proposed goals, not a current assessment.</w:t>
      </w:r>
    </w:p>
    <w:p>
      <w:pPr>
        <w:pStyle w:val="Heading2"/>
      </w:pPr>
      <w:r>
        <w:rPr>
          <w:b w:val="0"/>
          <w:i w:val="0"/>
        </w:rPr>
        <w:t>Ten-question check</w:t>
      </w:r>
    </w:p>
    <w:p>
      <w:r>
        <w:rPr>
          <w:b w:val="0"/>
          <w:i w:val="0"/>
        </w:rPr>
        <w:t>Explain a DIMM; root port; switch versus retimer; bay versus backplane; E3.S versus NVMe; host versus device memory; local versus peer traffic; capacity versus bandwidth; request rate versus concurrency; timing simulation versus numerical inference.</w:t>
      </w:r>
    </w:p>
    <w:p>
      <w:r>
        <w:rPr>
          <w:b w:val="0"/>
          <w:i w:val="0"/>
        </w:rPr>
        <w:t xml:space="preserve">Defer RTL coding, electrical eye-diagram analysis, full coherence protocols, and custom kernels until a decision needs them and an appropriate mentor is available. Update the original personal system map as a living reference; do not force it to 20 pages merely to hit a document-size target. </w:t>
      </w:r>
      <w:r>
        <w:rPr>
          <w:b w:val="0"/>
          <w:i w:val="0"/>
        </w:rPr>
        <w:t>[</w:t>
      </w:r>
      <w:r>
        <w:rPr>
          <w:b w:val="0"/>
          <w:i w:val="0"/>
        </w:rPr>
        <w:t>S1 §8]</w:t>
      </w:r>
    </w:p>
    <w:p>
      <w:r>
        <w:br w:type="page"/>
      </w:r>
    </w:p>
    <w:p>
      <w:pPr>
        <w:pStyle w:val="Kicker"/>
        <w:spacing w:after="140"/>
      </w:pPr>
      <w:r>
        <w:t>PLAN  •  EVIDENCE  •  DECISIONS</w:t>
      </w:r>
    </w:p>
    <w:p>
      <w:bookmarkStart w:id="28" w:name="page_19"/>
      <w:bookmarkStart w:id="27" w:name="sec_9"/>
      <w:pPr>
        <w:pStyle w:val="Heading1"/>
      </w:pPr>
      <w:r>
        <w:t>9. Code roadmap: build an evidence capability</w:t>
      </w:r>
      <w:bookmarkEnd w:id="27"/>
      <w:bookmarkEnd w:id="28"/>
    </w:p>
    <w:p>
      <w:r>
        <w:rPr>
          <w:b w:val="0"/>
          <w:i w:val="0"/>
        </w:rPr>
        <w:t xml:space="preserve">Retain the original three streams—harness, placement policy, runtime integration—but use one approved architecture and repository strategy. The reviewed Bridge draft proposes Python/SimPy initially, with optional TokenSim and partner backends; the previously discussed Rust/C++ design is a separate implementation alternative. </w:t>
      </w:r>
      <w:r>
        <w:rPr>
          <w:b w:val="0"/>
          <w:i w:val="0"/>
        </w:rPr>
        <w:t>[</w:t>
      </w:r>
      <w:r>
        <w:rPr>
          <w:b w:val="0"/>
          <w:i w:val="0"/>
        </w:rPr>
        <w:t>S1 §9; S2 §6; S8]</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Stream</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Initial build</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Later, after evidence</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A. Bridge / Virtual ATMOS</w:t>
            </w:r>
          </w:p>
        </w:tc>
        <w:tc>
          <w:tcPr>
            <w:tcW w:type="dxa" w:w="3960"/>
            <w:vAlign w:val="center"/>
            <w:shd w:fill="F0F4F6"/>
            <w:tcMar>
              <w:top w:w="65" w:type="dxa"/>
              <w:bottom w:w="65" w:type="dxa"/>
              <w:left w:w="100" w:type="dxa"/>
              <w:right w:w="100" w:type="dxa"/>
            </w:tcMar>
          </w:tcPr>
          <w:p>
            <w:pPr>
              <w:pStyle w:val="TableBody"/>
              <w:keepNext w:val="0"/>
            </w:pPr>
            <w:r>
              <w:rPr>
                <w:b w:val="0"/>
                <w:i w:val="0"/>
              </w:rPr>
              <w:t>Typed profiles, units, capacity, deterministic resources, queues, dependencies, and result bundles</w:t>
            </w:r>
          </w:p>
        </w:tc>
        <w:tc>
          <w:tcPr>
            <w:tcW w:type="dxa" w:w="4090"/>
            <w:vAlign w:val="center"/>
            <w:shd w:fill="F0F4F6"/>
            <w:tcMar>
              <w:top w:w="65" w:type="dxa"/>
              <w:bottom w:w="65" w:type="dxa"/>
              <w:left w:w="100" w:type="dxa"/>
              <w:right w:w="100" w:type="dxa"/>
            </w:tcMar>
          </w:tcPr>
          <w:p>
            <w:pPr>
              <w:pStyle w:val="TableBody"/>
              <w:keepNext w:val="0"/>
            </w:pPr>
            <w:r>
              <w:rPr>
                <w:b w:val="0"/>
                <w:i w:val="0"/>
              </w:rPr>
              <w:t>Calibrated backends, selected multi-device/rack studies, reusable reports</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B. Placement policy</w:t>
            </w:r>
          </w:p>
        </w:tc>
        <w:tc>
          <w:tcPr>
            <w:tcW w:type="dxa" w:w="3960"/>
            <w:vAlign w:val="center"/>
            <w:shd w:fill="FFFFFF"/>
            <w:tcMar>
              <w:top w:w="65" w:type="dxa"/>
              <w:bottom w:w="65" w:type="dxa"/>
              <w:left w:w="100" w:type="dxa"/>
              <w:right w:w="100" w:type="dxa"/>
            </w:tcMar>
          </w:tcPr>
          <w:p>
            <w:pPr>
              <w:pStyle w:val="TableBody"/>
              <w:keepNext w:val="0"/>
            </w:pPr>
            <w:r>
              <w:rPr>
                <w:b w:val="0"/>
                <w:i w:val="0"/>
              </w:rPr>
              <w:t>Explicit admission, resident/tiered object placement, reason codes, supported fallback</w:t>
            </w:r>
          </w:p>
        </w:tc>
        <w:tc>
          <w:tcPr>
            <w:tcW w:type="dxa" w:w="4090"/>
            <w:vAlign w:val="center"/>
            <w:shd w:fill="FFFFFF"/>
            <w:tcMar>
              <w:top w:w="65" w:type="dxa"/>
              <w:bottom w:w="65" w:type="dxa"/>
              <w:left w:w="100" w:type="dxa"/>
              <w:right w:w="100" w:type="dxa"/>
            </w:tcMar>
          </w:tcPr>
          <w:p>
            <w:pPr>
              <w:pStyle w:val="TableBody"/>
              <w:keepNext w:val="0"/>
            </w:pPr>
            <w:r>
              <w:rPr>
                <w:b w:val="0"/>
                <w:i w:val="0"/>
              </w:rPr>
              <w:t>Trace-driven prefetch/cache policy, topology-aware TP/EP, restore-versus-recompute</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C. Runtime integration</w:t>
            </w:r>
          </w:p>
        </w:tc>
        <w:tc>
          <w:tcPr>
            <w:tcW w:type="dxa" w:w="3960"/>
            <w:vAlign w:val="center"/>
            <w:shd w:fill="F0F4F6"/>
            <w:tcMar>
              <w:top w:w="65" w:type="dxa"/>
              <w:bottom w:w="65" w:type="dxa"/>
              <w:left w:w="100" w:type="dxa"/>
              <w:right w:w="100" w:type="dxa"/>
            </w:tcMar>
          </w:tcPr>
          <w:p>
            <w:pPr>
              <w:pStyle w:val="TableBody"/>
              <w:keepNext w:val="0"/>
            </w:pPr>
            <w:r>
              <w:rPr>
                <w:b w:val="0"/>
                <w:i w:val="0"/>
              </w:rPr>
              <w:t>Backend-neutral command/result contract and one adapter spike</w:t>
            </w:r>
          </w:p>
        </w:tc>
        <w:tc>
          <w:tcPr>
            <w:tcW w:type="dxa" w:w="4090"/>
            <w:vAlign w:val="center"/>
            <w:shd w:fill="F0F4F6"/>
            <w:tcMar>
              <w:top w:w="65" w:type="dxa"/>
              <w:bottom w:w="65" w:type="dxa"/>
              <w:left w:w="100" w:type="dxa"/>
              <w:right w:w="100" w:type="dxa"/>
            </w:tcMar>
          </w:tcPr>
          <w:p>
            <w:pPr>
              <w:pStyle w:val="TableBody"/>
              <w:keepNext w:val="0"/>
            </w:pPr>
            <w:r>
              <w:rPr>
                <w:b w:val="0"/>
                <w:i w:val="0"/>
              </w:rPr>
              <w:t>A maintained framework/device path with tests and an accountable engineering handoff</w:t>
            </w:r>
          </w:p>
        </w:tc>
      </w:tr>
    </w:tbl>
    <w:p>
      <w:pPr>
        <w:spacing w:after="60" w:before="0" w:line="40" w:lineRule="exact"/>
      </w:pPr>
      <w:r>
        <w:rPr>
          <w:sz w:val="4"/>
        </w:rPr>
      </w:r>
    </w:p>
    <w:p>
      <w:pPr>
        <w:pStyle w:val="Heading2"/>
      </w:pPr>
      <w:r>
        <w:rPr>
          <w:b w:val="0"/>
          <w:i w:val="0"/>
        </w:rPr>
        <w:t>The essential data flow</w:t>
      </w:r>
    </w:p>
    <w:p>
      <w:r>
        <w:rPr>
          <w:b w:val="0"/>
          <w:i w:val="0"/>
        </w:rPr>
        <w:t>Scenario + model/data + topology + policy → serving/query adapter → normalized work and dependencies → finite hardware resources → completion events → metrics, traces, and calibration ledger.</w:t>
      </w:r>
    </w:p>
    <w:p>
      <w:r>
        <w:rPr>
          <w:b/>
          <w:i w:val="0"/>
        </w:rPr>
        <w:t>The scheduler asks for work; the hardware model determines completion.</w:t>
      </w:r>
      <w:r>
        <w:rPr>
          <w:b w:val="0"/>
          <w:i w:val="0"/>
        </w:rPr>
        <w:t xml:space="preserve"> Decide whether a run is fixed-trace replay or completion-fed scheduling. Do not let two layers independently assign the same token time. Search query records must not be forced into a fake token/KV model.</w:t>
      </w:r>
    </w:p>
    <w:p>
      <w:pPr>
        <w:pStyle w:val="Heading2"/>
      </w:pPr>
      <w:r>
        <w:rPr>
          <w:b w:val="0"/>
          <w:i w:val="0"/>
        </w:rPr>
        <w:t>Evidence ladder</w:t>
      </w:r>
    </w:p>
    <w:p>
      <w:r>
        <w:rPr>
          <w:b w:val="0"/>
          <w:i w:val="0"/>
        </w:rPr>
        <w:t xml:space="preserve">Capacity arithmetic; analytical service model; discrete-event simulation; component-calibrated model; partner/RTL/FPGA observations; physical ATMOS. Each level supports a different claim. Numerical correctness requires an executing reference or actual implementation; timing simulation alone does not generate valid answers. </w:t>
      </w:r>
      <w:r>
        <w:rPr>
          <w:b w:val="0"/>
          <w:i w:val="0"/>
        </w:rPr>
        <w:t>[</w:t>
      </w:r>
      <w:r>
        <w:rPr>
          <w:b w:val="0"/>
          <w:i w:val="0"/>
        </w:rPr>
        <w:t>S2 §§3, 8, 11]</w:t>
      </w:r>
    </w:p>
    <w:p>
      <w:pPr>
        <w:pStyle w:val="Heading2"/>
      </w:pPr>
      <w:r>
        <w:rPr>
          <w:b w:val="0"/>
          <w:i w:val="0"/>
        </w:rPr>
        <w:t>Minimum useful release for this reset</w:t>
      </w:r>
    </w:p>
    <w:p>
      <w:r>
        <w:rPr>
          <w:b w:val="0"/>
          <w:i w:val="0"/>
        </w:rPr>
        <w:t>One reviewed memory path; a bounded LLM/MoE demonstration; a vector-refinement demonstration; all three topology profiles; at least one measured conventional control when available; one common evidence format; and another engineer able to reproduce a reference run. This is a proposed scope substitution—not the full five-adapter MVR already delivered.</w:t>
      </w:r>
    </w:p>
    <w:p>
      <w:r>
        <w:br w:type="page"/>
      </w:r>
    </w:p>
    <w:p>
      <w:pPr>
        <w:pStyle w:val="Kicker"/>
        <w:spacing w:after="140"/>
      </w:pPr>
      <w:r>
        <w:t>PLAN  •  EVIDENCE  •  DECISIONS</w:t>
      </w:r>
    </w:p>
    <w:p>
      <w:bookmarkStart w:id="29" w:name="page_20"/>
      <w:pPr>
        <w:pStyle w:val="Heading1"/>
      </w:pPr>
      <w:r>
        <w:t>9. Hardware and OEM test track</w:t>
      </w:r>
      <w:bookmarkEnd w:id="29"/>
    </w:p>
    <w:p>
      <w:r>
        <w:rPr>
          <w:b w:val="0"/>
          <w:i w:val="0"/>
        </w:rPr>
        <w:t xml:space="preserve">Model and label these configurations separately. None is assumed qualified by the drawing. </w:t>
      </w:r>
      <w:r>
        <w:rPr>
          <w:b w:val="0"/>
          <w:i w:val="0"/>
        </w:rPr>
        <w:t>[</w:t>
      </w:r>
      <w:r>
        <w:rPr>
          <w:b w:val="0"/>
          <w:i w:val="0"/>
        </w:rPr>
        <w:t>S3 §§2–5; S4 §2; S7]</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Profile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Compute location / connection</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First useful comparison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A: full-length card</w:t>
            </w:r>
          </w:p>
        </w:tc>
        <w:tc>
          <w:tcPr>
            <w:tcW w:type="dxa" w:w="3960"/>
            <w:vAlign w:val="center"/>
            <w:shd w:fill="F0F4F6"/>
            <w:tcMar>
              <w:top w:w="65" w:type="dxa"/>
              <w:bottom w:w="65" w:type="dxa"/>
              <w:left w:w="100" w:type="dxa"/>
              <w:right w:w="100" w:type="dxa"/>
            </w:tcMar>
          </w:tcPr>
          <w:p>
            <w:pPr>
              <w:pStyle w:val="TableBody"/>
              <w:keepNext w:val="0"/>
            </w:pPr>
            <w:r>
              <w:rPr>
                <w:b w:val="0"/>
                <w:i w:val="0"/>
              </w:rPr>
              <w:t>Eight local modules and switch on an internal AIC</w:t>
            </w:r>
          </w:p>
        </w:tc>
        <w:tc>
          <w:tcPr>
            <w:tcW w:type="dxa" w:w="4090"/>
            <w:vAlign w:val="center"/>
            <w:shd w:fill="F0F4F6"/>
            <w:tcMar>
              <w:top w:w="65" w:type="dxa"/>
              <w:bottom w:w="65" w:type="dxa"/>
              <w:left w:w="100" w:type="dxa"/>
              <w:right w:w="100" w:type="dxa"/>
            </w:tcMar>
          </w:tcPr>
          <w:p>
            <w:pPr>
              <w:pStyle w:val="TableBody"/>
              <w:keepNext w:val="0"/>
            </w:pPr>
            <w:r>
              <w:rPr>
                <w:b w:val="0"/>
                <w:i w:val="0"/>
              </w:rPr>
              <w:t>Module-local versus card-local communication</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B: direct E3.S pool</w:t>
            </w:r>
          </w:p>
        </w:tc>
        <w:tc>
          <w:tcPr>
            <w:tcW w:type="dxa" w:w="3960"/>
            <w:vAlign w:val="center"/>
            <w:shd w:fill="FFFFFF"/>
            <w:tcMar>
              <w:top w:w="65" w:type="dxa"/>
              <w:bottom w:w="65" w:type="dxa"/>
              <w:left w:w="100" w:type="dxa"/>
              <w:right w:w="100" w:type="dxa"/>
            </w:tcMar>
          </w:tcPr>
          <w:p>
            <w:pPr>
              <w:pStyle w:val="TableBody"/>
              <w:keepNext w:val="0"/>
            </w:pPr>
            <w:r>
              <w:rPr>
                <w:b w:val="0"/>
                <w:i w:val="0"/>
              </w:rPr>
              <w:t>Individual bay devices through backplane/cables to host ports</w:t>
            </w:r>
          </w:p>
        </w:tc>
        <w:tc>
          <w:tcPr>
            <w:tcW w:type="dxa" w:w="4090"/>
            <w:vAlign w:val="center"/>
            <w:shd w:fill="FFFFFF"/>
            <w:tcMar>
              <w:top w:w="65" w:type="dxa"/>
              <w:bottom w:w="65" w:type="dxa"/>
              <w:left w:w="100" w:type="dxa"/>
              <w:right w:w="100" w:type="dxa"/>
            </w:tcMar>
          </w:tcPr>
          <w:p>
            <w:pPr>
              <w:pStyle w:val="TableBody"/>
              <w:keepNext w:val="0"/>
            </w:pPr>
            <w:r>
              <w:rPr>
                <w:b w:val="0"/>
                <w:i w:val="0"/>
              </w:rPr>
              <w:t>Independent jobs and host-path limits</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C: switched E3.S pool</w:t>
            </w:r>
          </w:p>
        </w:tc>
        <w:tc>
          <w:tcPr>
            <w:tcW w:type="dxa" w:w="3960"/>
            <w:vAlign w:val="center"/>
            <w:shd w:fill="F0F4F6"/>
            <w:tcMar>
              <w:top w:w="65" w:type="dxa"/>
              <w:bottom w:w="65" w:type="dxa"/>
              <w:left w:w="100" w:type="dxa"/>
              <w:right w:w="100" w:type="dxa"/>
            </w:tcMar>
          </w:tcPr>
          <w:p>
            <w:pPr>
              <w:pStyle w:val="TableBody"/>
              <w:keepNext w:val="0"/>
            </w:pPr>
            <w:r>
              <w:rPr>
                <w:b w:val="0"/>
                <w:i w:val="0"/>
              </w:rPr>
              <w:t>Bay devices through MCIO to a separate switch AIC</w:t>
            </w:r>
          </w:p>
        </w:tc>
        <w:tc>
          <w:tcPr>
            <w:tcW w:type="dxa" w:w="4090"/>
            <w:vAlign w:val="center"/>
            <w:shd w:fill="F0F4F6"/>
            <w:tcMar>
              <w:top w:w="65" w:type="dxa"/>
              <w:bottom w:w="65" w:type="dxa"/>
              <w:left w:w="100" w:type="dxa"/>
              <w:right w:w="100" w:type="dxa"/>
            </w:tcMar>
          </w:tcPr>
          <w:p>
            <w:pPr>
              <w:pStyle w:val="TableBody"/>
              <w:keepNext w:val="0"/>
            </w:pPr>
            <w:r>
              <w:rPr>
                <w:b w:val="0"/>
                <w:i w:val="0"/>
              </w:rPr>
              <w:t>Peer paths and shared-uplink contention</w:t>
            </w:r>
          </w:p>
        </w:tc>
      </w:tr>
    </w:tbl>
    <w:p>
      <w:pPr>
        <w:spacing w:after="60" w:before="0" w:line="40" w:lineRule="exact"/>
      </w:pPr>
      <w:r>
        <w:rPr>
          <w:sz w:val="4"/>
        </w:rPr>
      </w:r>
    </w:p>
    <w:p>
      <w:r>
        <w:rPr>
          <w:b w:val="0"/>
          <w:i w:val="0"/>
        </w:rPr>
        <w:t xml:space="preserve">Capture exact CPU/socket/DIMM population, bay/slot wiring, switch and retimer, negotiated generation/width, host affinity, BIOS/BMC, drivers, power/cooling limits, and device exposure. A server-family name is not a topology. Dell R770 is a useful anatomy reference, not a declaration of ATMOS compatibility. </w:t>
      </w:r>
      <w:r>
        <w:rPr>
          <w:b w:val="0"/>
          <w:i w:val="0"/>
        </w:rPr>
        <w:t>[</w:t>
      </w:r>
      <w:r>
        <w:rPr>
          <w:b w:val="0"/>
          <w:i w:val="0"/>
        </w:rPr>
        <w:t>S3; R1]</w:t>
      </w:r>
    </w:p>
    <w:p>
      <w:pPr>
        <w:pStyle w:val="Heading2"/>
      </w:pPr>
      <w:r>
        <w:rPr>
          <w:b w:val="0"/>
          <w:i w:val="0"/>
        </w:rPr>
        <w:t>First measurement sequence</w:t>
      </w:r>
    </w:p>
    <w:p>
      <w:r>
        <w:rPr>
          <w:b w:val="0"/>
          <w:i w:val="0"/>
        </w:rPr>
        <w:t>Inventory and path discovery; workload-relevant local-memory test; host/device transfer; supported peer transfer; concurrent transfers; then actual workload. Keep default and explicitly aligned placement as separate controls.</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NUMA experiment</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What remains fixed</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Report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Remote CPU only</w:t>
            </w:r>
          </w:p>
        </w:tc>
        <w:tc>
          <w:tcPr>
            <w:tcW w:type="dxa" w:w="3960"/>
            <w:vAlign w:val="center"/>
            <w:shd w:fill="F0F4F6"/>
            <w:tcMar>
              <w:top w:w="65" w:type="dxa"/>
              <w:bottom w:w="65" w:type="dxa"/>
              <w:left w:w="100" w:type="dxa"/>
              <w:right w:w="100" w:type="dxa"/>
            </w:tcMar>
          </w:tcPr>
          <w:p>
            <w:pPr>
              <w:pStyle w:val="TableBody"/>
              <w:keepNext w:val="0"/>
            </w:pPr>
            <w:r>
              <w:rPr>
                <w:b w:val="0"/>
                <w:i w:val="0"/>
              </w:rPr>
              <w:t>Buffers and device</w:t>
            </w:r>
          </w:p>
        </w:tc>
        <w:tc>
          <w:tcPr>
            <w:tcW w:type="dxa" w:w="4090"/>
            <w:vAlign w:val="center"/>
            <w:shd w:fill="F0F4F6"/>
            <w:tcMar>
              <w:top w:w="65" w:type="dxa"/>
              <w:bottom w:w="65" w:type="dxa"/>
              <w:left w:w="100" w:type="dxa"/>
              <w:right w:w="100" w:type="dxa"/>
            </w:tcMar>
          </w:tcPr>
          <w:p>
            <w:pPr>
              <w:pStyle w:val="TableBody"/>
              <w:keepNext w:val="0"/>
            </w:pPr>
            <w:r>
              <w:rPr>
                <w:b w:val="0"/>
                <w:i w:val="0"/>
              </w:rPr>
              <w:t>Submission/completion overhead</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Remote host buffers only</w:t>
            </w:r>
          </w:p>
        </w:tc>
        <w:tc>
          <w:tcPr>
            <w:tcW w:type="dxa" w:w="3960"/>
            <w:vAlign w:val="center"/>
            <w:shd w:fill="FFFFFF"/>
            <w:tcMar>
              <w:top w:w="65" w:type="dxa"/>
              <w:bottom w:w="65" w:type="dxa"/>
              <w:left w:w="100" w:type="dxa"/>
              <w:right w:w="100" w:type="dxa"/>
            </w:tcMar>
          </w:tcPr>
          <w:p>
            <w:pPr>
              <w:pStyle w:val="TableBody"/>
              <w:keepNext w:val="0"/>
            </w:pPr>
            <w:r>
              <w:rPr>
                <w:b w:val="0"/>
                <w:i w:val="0"/>
              </w:rPr>
              <w:t>CPU workers and device</w:t>
            </w:r>
          </w:p>
        </w:tc>
        <w:tc>
          <w:tcPr>
            <w:tcW w:type="dxa" w:w="4090"/>
            <w:vAlign w:val="center"/>
            <w:shd w:fill="FFFFFF"/>
            <w:tcMar>
              <w:top w:w="65" w:type="dxa"/>
              <w:bottom w:w="65" w:type="dxa"/>
              <w:left w:w="100" w:type="dxa"/>
              <w:right w:w="100" w:type="dxa"/>
            </w:tcMar>
          </w:tcPr>
          <w:p>
            <w:pPr>
              <w:pStyle w:val="TableBody"/>
              <w:keepNext w:val="0"/>
            </w:pPr>
            <w:r>
              <w:rPr>
                <w:b w:val="0"/>
                <w:i w:val="0"/>
              </w:rPr>
              <w:t>DMA/host-memory path bandwidth and latency</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CPU and buffers remote</w:t>
            </w:r>
          </w:p>
        </w:tc>
        <w:tc>
          <w:tcPr>
            <w:tcW w:type="dxa" w:w="3960"/>
            <w:vAlign w:val="center"/>
            <w:shd w:fill="F0F4F6"/>
            <w:tcMar>
              <w:top w:w="65" w:type="dxa"/>
              <w:bottom w:w="65" w:type="dxa"/>
              <w:left w:w="100" w:type="dxa"/>
              <w:right w:w="100" w:type="dxa"/>
            </w:tcMar>
          </w:tcPr>
          <w:p>
            <w:pPr>
              <w:pStyle w:val="TableBody"/>
              <w:keepNext w:val="0"/>
            </w:pPr>
            <w:r>
              <w:rPr>
                <w:b w:val="0"/>
                <w:i w:val="0"/>
              </w:rPr>
              <w:t>Logical workload</w:t>
            </w:r>
          </w:p>
        </w:tc>
        <w:tc>
          <w:tcPr>
            <w:tcW w:type="dxa" w:w="4090"/>
            <w:vAlign w:val="center"/>
            <w:shd w:fill="F0F4F6"/>
            <w:tcMar>
              <w:top w:w="65" w:type="dxa"/>
              <w:bottom w:w="65" w:type="dxa"/>
              <w:left w:w="100" w:type="dxa"/>
              <w:right w:w="100" w:type="dxa"/>
            </w:tcMar>
          </w:tcPr>
          <w:p>
            <w:pPr>
              <w:pStyle w:val="TableBody"/>
              <w:keepNext w:val="0"/>
            </w:pPr>
            <w:r>
              <w:rPr>
                <w:b w:val="0"/>
                <w:i w:val="0"/>
              </w:rPr>
              <w:t>End-to-end effect versus aligned control</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Same NUMA, different PCIe branches</w:t>
            </w:r>
          </w:p>
        </w:tc>
        <w:tc>
          <w:tcPr>
            <w:tcW w:type="dxa" w:w="3960"/>
            <w:vAlign w:val="center"/>
            <w:shd w:fill="FFFFFF"/>
            <w:tcMar>
              <w:top w:w="65" w:type="dxa"/>
              <w:bottom w:w="65" w:type="dxa"/>
              <w:left w:w="100" w:type="dxa"/>
              <w:right w:w="100" w:type="dxa"/>
            </w:tcMar>
          </w:tcPr>
          <w:p>
            <w:pPr>
              <w:pStyle w:val="TableBody"/>
              <w:keepNext w:val="0"/>
            </w:pPr>
            <w:r>
              <w:rPr>
                <w:b w:val="0"/>
                <w:i w:val="0"/>
              </w:rPr>
              <w:t>Model and rank count</w:t>
            </w:r>
          </w:p>
        </w:tc>
        <w:tc>
          <w:tcPr>
            <w:tcW w:type="dxa" w:w="4090"/>
            <w:vAlign w:val="center"/>
            <w:shd w:fill="FFFFFF"/>
            <w:tcMar>
              <w:top w:w="65" w:type="dxa"/>
              <w:bottom w:w="65" w:type="dxa"/>
              <w:left w:w="100" w:type="dxa"/>
              <w:right w:w="100" w:type="dxa"/>
            </w:tcMar>
          </w:tcPr>
          <w:p>
            <w:pPr>
              <w:pStyle w:val="TableBody"/>
              <w:keepNext w:val="0"/>
            </w:pPr>
            <w:r>
              <w:rPr>
                <w:b w:val="0"/>
                <w:i w:val="0"/>
              </w:rPr>
              <w:t>Peer eligibility and path behavior</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Cross-socket / interleaving</w:t>
            </w:r>
          </w:p>
        </w:tc>
        <w:tc>
          <w:tcPr>
            <w:tcW w:type="dxa" w:w="3960"/>
            <w:vAlign w:val="center"/>
            <w:shd w:fill="F0F4F6"/>
            <w:tcMar>
              <w:top w:w="65" w:type="dxa"/>
              <w:bottom w:w="65" w:type="dxa"/>
              <w:left w:w="100" w:type="dxa"/>
              <w:right w:w="100" w:type="dxa"/>
            </w:tcMar>
          </w:tcPr>
          <w:p>
            <w:pPr>
              <w:pStyle w:val="TableBody"/>
              <w:keepNext w:val="0"/>
            </w:pPr>
            <w:r>
              <w:rPr>
                <w:b w:val="0"/>
                <w:i w:val="0"/>
              </w:rPr>
              <w:t>Only approved settings changed</w:t>
            </w:r>
          </w:p>
        </w:tc>
        <w:tc>
          <w:tcPr>
            <w:tcW w:type="dxa" w:w="4090"/>
            <w:vAlign w:val="center"/>
            <w:shd w:fill="F0F4F6"/>
            <w:tcMar>
              <w:top w:w="65" w:type="dxa"/>
              <w:bottom w:w="65" w:type="dxa"/>
              <w:left w:w="100" w:type="dxa"/>
              <w:right w:w="100" w:type="dxa"/>
            </w:tcMar>
          </w:tcPr>
          <w:p>
            <w:pPr>
              <w:pStyle w:val="TableBody"/>
              <w:keepNext w:val="0"/>
            </w:pPr>
            <w:r>
              <w:rPr>
                <w:b w:val="0"/>
                <w:i w:val="0"/>
              </w:rPr>
              <w:t>Capacity, bandwidth, latency, interference</w:t>
            </w:r>
          </w:p>
        </w:tc>
      </w:tr>
    </w:tbl>
    <w:p>
      <w:pPr>
        <w:spacing w:after="60" w:before="0" w:line="40" w:lineRule="exact"/>
      </w:pPr>
      <w:r>
        <w:rPr>
          <w:sz w:val="4"/>
        </w:rPr>
      </w:r>
    </w:p>
    <w:p>
      <w:r>
        <w:rPr>
          <w:b w:val="0"/>
          <w:i w:val="0"/>
        </w:rPr>
        <w:t>No generic “remote NUMA penalty.” Record the actual source/destination, payload size, queue depth, copy count, and result. Unsupported routes are findings, not missing data to conceal.</w:t>
      </w:r>
    </w:p>
    <w:p>
      <w:r>
        <w:rPr>
          <w:b/>
          <w:i w:val="0"/>
        </w:rPr>
        <w:t>Replacement rule:</w:t>
      </w:r>
      <w:r>
        <w:rPr>
          <w:b w:val="0"/>
          <w:i w:val="0"/>
        </w:rPr>
        <w:t xml:space="preserve"> host DIMMs, cards, SSDs, and NICs change only within qualified combinations. On-card LPDDR/HBF and NoC/HIM logic are board/silicon/profile changes, not universal field swaps. Begin with read-only inspection; physical changes and fault tests need lab-owner approval. </w:t>
      </w:r>
      <w:r>
        <w:rPr>
          <w:b w:val="0"/>
          <w:i w:val="0"/>
        </w:rPr>
        <w:t>[</w:t>
      </w:r>
      <w:r>
        <w:rPr>
          <w:b w:val="0"/>
          <w:i w:val="0"/>
        </w:rPr>
        <w:t>S3 §§4–5]</w:t>
      </w:r>
    </w:p>
    <w:p>
      <w:r>
        <w:br w:type="page"/>
      </w:r>
    </w:p>
    <w:p>
      <w:pPr>
        <w:pStyle w:val="Kicker"/>
        <w:spacing w:after="140"/>
      </w:pPr>
      <w:r>
        <w:t>PLAN  •  EVIDENCE  •  DECISIONS</w:t>
      </w:r>
    </w:p>
    <w:p>
      <w:bookmarkStart w:id="30" w:name="page_21"/>
      <w:pPr>
        <w:pStyle w:val="Heading1"/>
      </w:pPr>
      <w:r>
        <w:t>9. LLM and MoE serving test track</w:t>
      </w:r>
      <w:bookmarkEnd w:id="30"/>
    </w:p>
    <w:p>
      <w:r>
        <w:rPr>
          <w:b w:val="0"/>
          <w:i w:val="0"/>
        </w:rPr>
        <w:t xml:space="preserve">Begin with prepared prompts and a small resident model. Keep retrieval, OCR, external tools, and live vector databases outside this track. A model family is not an ATMOS-support promise. Pin the actual revision, tokenizer, precision, quantization, and licensed artifacts before execution. </w:t>
      </w:r>
      <w:r>
        <w:rPr>
          <w:b w:val="0"/>
          <w:i w:val="0"/>
        </w:rPr>
        <w:t>[</w:t>
      </w:r>
      <w:r>
        <w:rPr>
          <w:b w:val="0"/>
          <w:i w:val="0"/>
        </w:rPr>
        <w:t>S3 §6]</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Experiment</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Purpose</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Vary after the control works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Small resident dense model</w:t>
            </w:r>
          </w:p>
        </w:tc>
        <w:tc>
          <w:tcPr>
            <w:tcW w:type="dxa" w:w="3960"/>
            <w:vAlign w:val="center"/>
            <w:shd w:fill="F0F4F6"/>
            <w:tcMar>
              <w:top w:w="65" w:type="dxa"/>
              <w:bottom w:w="65" w:type="dxa"/>
              <w:left w:w="100" w:type="dxa"/>
              <w:right w:w="100" w:type="dxa"/>
            </w:tcMar>
          </w:tcPr>
          <w:p>
            <w:pPr>
              <w:pStyle w:val="TableBody"/>
              <w:keepNext w:val="0"/>
            </w:pPr>
            <w:r>
              <w:rPr>
                <w:b w:val="0"/>
                <w:i w:val="0"/>
              </w:rPr>
              <w:t>Numerical/serving control</w:t>
            </w:r>
          </w:p>
        </w:tc>
        <w:tc>
          <w:tcPr>
            <w:tcW w:type="dxa" w:w="4090"/>
            <w:vAlign w:val="center"/>
            <w:shd w:fill="F0F4F6"/>
            <w:tcMar>
              <w:top w:w="65" w:type="dxa"/>
              <w:bottom w:w="65" w:type="dxa"/>
              <w:left w:w="100" w:type="dxa"/>
              <w:right w:w="100" w:type="dxa"/>
            </w:tcMar>
          </w:tcPr>
          <w:p>
            <w:pPr>
              <w:pStyle w:val="TableBody"/>
              <w:keepNext w:val="0"/>
            </w:pPr>
            <w:r>
              <w:rPr>
                <w:b w:val="0"/>
                <w:i w:val="0"/>
              </w:rPr>
              <w:t>Input/output lengths, load, batching</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Resident MoE</w:t>
            </w:r>
          </w:p>
        </w:tc>
        <w:tc>
          <w:tcPr>
            <w:tcW w:type="dxa" w:w="3960"/>
            <w:vAlign w:val="center"/>
            <w:shd w:fill="FFFFFF"/>
            <w:tcMar>
              <w:top w:w="65" w:type="dxa"/>
              <w:bottom w:w="65" w:type="dxa"/>
              <w:left w:w="100" w:type="dxa"/>
              <w:right w:w="100" w:type="dxa"/>
            </w:tcMar>
          </w:tcPr>
          <w:p>
            <w:pPr>
              <w:pStyle w:val="TableBody"/>
              <w:keepNext w:val="0"/>
            </w:pPr>
            <w:r>
              <w:rPr>
                <w:b w:val="0"/>
                <w:i w:val="0"/>
              </w:rPr>
              <w:t>Isolate communication without forced storage misses</w:t>
            </w:r>
          </w:p>
        </w:tc>
        <w:tc>
          <w:tcPr>
            <w:tcW w:type="dxa" w:w="4090"/>
            <w:vAlign w:val="center"/>
            <w:shd w:fill="FFFFFF"/>
            <w:tcMar>
              <w:top w:w="65" w:type="dxa"/>
              <w:bottom w:w="65" w:type="dxa"/>
              <w:left w:w="100" w:type="dxa"/>
              <w:right w:w="100" w:type="dxa"/>
            </w:tcMar>
          </w:tcPr>
          <w:p>
            <w:pPr>
              <w:pStyle w:val="TableBody"/>
              <w:keepNext w:val="0"/>
            </w:pPr>
            <w:r>
              <w:rPr>
                <w:b w:val="0"/>
                <w:i w:val="0"/>
              </w:rPr>
              <w:t>Valid TP/EP/replica layouts and placement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Tiered MoE</w:t>
            </w:r>
          </w:p>
        </w:tc>
        <w:tc>
          <w:tcPr>
            <w:tcW w:type="dxa" w:w="3960"/>
            <w:vAlign w:val="center"/>
            <w:shd w:fill="F0F4F6"/>
            <w:tcMar>
              <w:top w:w="65" w:type="dxa"/>
              <w:bottom w:w="65" w:type="dxa"/>
              <w:left w:w="100" w:type="dxa"/>
              <w:right w:w="100" w:type="dxa"/>
            </w:tcMar>
          </w:tcPr>
          <w:p>
            <w:pPr>
              <w:pStyle w:val="TableBody"/>
              <w:keepNext w:val="0"/>
            </w:pPr>
            <w:r>
              <w:rPr>
                <w:b w:val="0"/>
                <w:i w:val="0"/>
              </w:rPr>
              <w:t>Test selected expert movement</w:t>
            </w:r>
          </w:p>
        </w:tc>
        <w:tc>
          <w:tcPr>
            <w:tcW w:type="dxa" w:w="4090"/>
            <w:vAlign w:val="center"/>
            <w:shd w:fill="F0F4F6"/>
            <w:tcMar>
              <w:top w:w="65" w:type="dxa"/>
              <w:bottom w:w="65" w:type="dxa"/>
              <w:left w:w="100" w:type="dxa"/>
              <w:right w:w="100" w:type="dxa"/>
            </w:tcMar>
          </w:tcPr>
          <w:p>
            <w:pPr>
              <w:pStyle w:val="TableBody"/>
              <w:keepNext w:val="0"/>
            </w:pPr>
            <w:r>
              <w:rPr>
                <w:b w:val="0"/>
                <w:i w:val="0"/>
              </w:rPr>
              <w:t>Cache budget, routing trace, prefetch, path</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Long context / paused session</w:t>
            </w:r>
          </w:p>
        </w:tc>
        <w:tc>
          <w:tcPr>
            <w:tcW w:type="dxa" w:w="3960"/>
            <w:vAlign w:val="center"/>
            <w:shd w:fill="FFFFFF"/>
            <w:tcMar>
              <w:top w:w="65" w:type="dxa"/>
              <w:bottom w:w="65" w:type="dxa"/>
              <w:left w:w="100" w:type="dxa"/>
              <w:right w:w="100" w:type="dxa"/>
            </w:tcMar>
          </w:tcPr>
          <w:p>
            <w:pPr>
              <w:pStyle w:val="TableBody"/>
              <w:keepNext w:val="0"/>
            </w:pPr>
            <w:r>
              <w:rPr>
                <w:b w:val="0"/>
                <w:i w:val="0"/>
              </w:rPr>
              <w:t>Separate KV capacity and restore cost</w:t>
            </w:r>
          </w:p>
        </w:tc>
        <w:tc>
          <w:tcPr>
            <w:tcW w:type="dxa" w:w="4090"/>
            <w:vAlign w:val="center"/>
            <w:shd w:fill="FFFFFF"/>
            <w:tcMar>
              <w:top w:w="65" w:type="dxa"/>
              <w:bottom w:w="65" w:type="dxa"/>
              <w:left w:w="100" w:type="dxa"/>
              <w:right w:w="100" w:type="dxa"/>
            </w:tcMar>
          </w:tcPr>
          <w:p>
            <w:pPr>
              <w:pStyle w:val="TableBody"/>
              <w:keepNext w:val="0"/>
            </w:pPr>
            <w:r>
              <w:rPr>
                <w:b w:val="0"/>
                <w:i w:val="0"/>
              </w:rPr>
              <w:t>Context, active sequences, KV layout, reuse</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Mixed traffic and faults</w:t>
            </w:r>
          </w:p>
        </w:tc>
        <w:tc>
          <w:tcPr>
            <w:tcW w:type="dxa" w:w="3960"/>
            <w:vAlign w:val="center"/>
            <w:shd w:fill="F0F4F6"/>
            <w:tcMar>
              <w:top w:w="65" w:type="dxa"/>
              <w:bottom w:w="65" w:type="dxa"/>
              <w:left w:w="100" w:type="dxa"/>
              <w:right w:w="100" w:type="dxa"/>
            </w:tcMar>
          </w:tcPr>
          <w:p>
            <w:pPr>
              <w:pStyle w:val="TableBody"/>
              <w:keepNext w:val="0"/>
            </w:pPr>
            <w:r>
              <w:rPr>
                <w:b w:val="0"/>
                <w:i w:val="0"/>
              </w:rPr>
              <w:t>Test service behavior</w:t>
            </w:r>
          </w:p>
        </w:tc>
        <w:tc>
          <w:tcPr>
            <w:tcW w:type="dxa" w:w="4090"/>
            <w:vAlign w:val="center"/>
            <w:shd w:fill="F0F4F6"/>
            <w:tcMar>
              <w:top w:w="65" w:type="dxa"/>
              <w:bottom w:w="65" w:type="dxa"/>
              <w:left w:w="100" w:type="dxa"/>
              <w:right w:w="100" w:type="dxa"/>
            </w:tcMar>
          </w:tcPr>
          <w:p>
            <w:pPr>
              <w:pStyle w:val="TableBody"/>
              <w:keepNext w:val="0"/>
            </w:pPr>
            <w:r>
              <w:rPr>
                <w:b w:val="0"/>
                <w:i w:val="0"/>
              </w:rPr>
              <w:t>Bursts, cancellation, slow resource, recovery</w:t>
            </w:r>
          </w:p>
        </w:tc>
      </w:tr>
    </w:tbl>
    <w:p>
      <w:pPr>
        <w:spacing w:after="60" w:before="0" w:line="40" w:lineRule="exact"/>
      </w:pPr>
      <w:r>
        <w:rPr>
          <w:sz w:val="4"/>
        </w:rPr>
      </w:r>
    </w:p>
    <w:p>
      <w:pPr>
        <w:pStyle w:val="Heading2"/>
      </w:pPr>
      <w:r>
        <w:rPr>
          <w:b w:val="0"/>
          <w:i w:val="0"/>
        </w:rPr>
        <w:t>Parallelism sequence</w:t>
      </w:r>
    </w:p>
    <w:p>
      <w:r>
        <w:rPr>
          <w:b w:val="0"/>
          <w:i w:val="0"/>
        </w:rPr>
        <w:t xml:space="preserve">Start with one execution group. Compare valid TP, whole-expert EP, and smaller complete replicas only where the model fits. Then hold the logical group constant and change module/card/server placement. True expert tensor splitting is a separate capability check from attention TP plus EP. Do not multiply TP×DP×EP blindly; record the actual runtime’s rank groups. </w:t>
      </w:r>
      <w:r>
        <w:rPr>
          <w:b w:val="0"/>
          <w:i w:val="0"/>
        </w:rPr>
        <w:t>[</w:t>
      </w:r>
      <w:r>
        <w:rPr>
          <w:b w:val="0"/>
          <w:i w:val="0"/>
        </w:rPr>
        <w:t>S3 §§7–8; R9]</w:t>
      </w:r>
    </w:p>
    <w:p>
      <w:r>
        <w:rPr>
          <w:b/>
          <w:i w:val="0"/>
        </w:rPr>
        <w:t>Advanced placement comes later:</w:t>
      </w:r>
      <w:r>
        <w:rPr>
          <w:b w:val="0"/>
          <w:i w:val="0"/>
        </w:rPr>
        <w:t xml:space="preserve"> identical hot-expert replication, locality-aware owner placement, migration, predictive prefetch, and ring depth. Count extra copies, unused fetches, displaced KV, synchronization, and skew. Never alter the model’s selected experts simply to improve locality.</w:t>
      </w:r>
    </w:p>
    <w:p>
      <w:pPr>
        <w:pStyle w:val="Heading2"/>
      </w:pPr>
      <w:r>
        <w:rPr>
          <w:b w:val="0"/>
          <w:i w:val="0"/>
        </w:rPr>
        <w:t>Measurements</w:t>
      </w:r>
    </w:p>
    <w:p>
      <w:r>
        <w:rPr>
          <w:b w:val="0"/>
          <w:i w:val="0"/>
        </w:rPr>
        <w:t xml:space="preserve">TTFT </w:t>
      </w:r>
      <w:r>
        <w:rPr>
          <w:b w:val="0"/>
          <w:i w:val="0"/>
        </w:rPr>
        <w:t>[</w:t>
      </w:r>
      <w:r>
        <w:rPr>
          <w:b w:val="0"/>
          <w:i w:val="0"/>
        </w:rPr>
        <w:t xml:space="preserve">s], TPOT </w:t>
      </w:r>
      <w:r>
        <w:rPr>
          <w:b w:val="0"/>
          <w:i w:val="0"/>
        </w:rPr>
        <w:t>[</w:t>
      </w:r>
      <w:r>
        <w:rPr>
          <w:b w:val="0"/>
          <w:i w:val="0"/>
        </w:rPr>
        <w:t xml:space="preserve">ms/token], end-to-end latency </w:t>
      </w:r>
      <w:r>
        <w:rPr>
          <w:b w:val="0"/>
          <w:i w:val="0"/>
        </w:rPr>
        <w:t>[</w:t>
      </w:r>
      <w:r>
        <w:rPr>
          <w:b w:val="0"/>
          <w:i w:val="0"/>
        </w:rPr>
        <w:t xml:space="preserve">s], offered and completed requests/s, output tokens/s, timing/quality pass rate, queue growth, unique weight bytes, KV allocation, exposed waits, and complete-system energy. Request rate is not concurrency; total parameters are not fetched bytes. </w:t>
      </w:r>
      <w:r>
        <w:rPr>
          <w:b w:val="0"/>
          <w:i w:val="0"/>
        </w:rPr>
        <w:t>[</w:t>
      </w:r>
      <w:r>
        <w:rPr>
          <w:b w:val="0"/>
          <w:i w:val="0"/>
        </w:rPr>
        <w:t>R8]</w:t>
      </w:r>
    </w:p>
    <w:p>
      <w:r>
        <w:rPr>
          <w:b/>
          <w:i w:val="0"/>
        </w:rPr>
        <w:t>Gate:</w:t>
      </w:r>
      <w:r>
        <w:rPr>
          <w:b w:val="0"/>
          <w:i w:val="0"/>
        </w:rPr>
        <w:t xml:space="preserve"> another engineer reproduces the control and can explain one bottleneck and one no-benefit region. A synthetic eight-request example does not establish a production p99 or actual model correctness. The supplied teaching scenarios are learning assets, not baseline measurements. </w:t>
      </w:r>
      <w:r>
        <w:rPr>
          <w:b w:val="0"/>
          <w:i w:val="0"/>
        </w:rPr>
        <w:t>[</w:t>
      </w:r>
      <w:r>
        <w:rPr>
          <w:b w:val="0"/>
          <w:i w:val="0"/>
        </w:rPr>
        <w:t>S10]</w:t>
      </w:r>
    </w:p>
    <w:p>
      <w:r>
        <w:br w:type="page"/>
      </w:r>
    </w:p>
    <w:p>
      <w:pPr>
        <w:pStyle w:val="Kicker"/>
        <w:spacing w:after="140"/>
      </w:pPr>
      <w:r>
        <w:t>PLAN  •  EVIDENCE  •  DECISIONS</w:t>
      </w:r>
    </w:p>
    <w:p>
      <w:bookmarkStart w:id="31" w:name="page_22"/>
      <w:pPr>
        <w:pStyle w:val="Heading1"/>
      </w:pPr>
      <w:r>
        <w:t>9. Vector and near-data processing track</w:t>
      </w:r>
      <w:bookmarkEnd w:id="31"/>
    </w:p>
    <w:p>
      <w:r>
        <w:rPr>
          <w:b w:val="0"/>
          <w:i w:val="0"/>
        </w:rPr>
        <w:t xml:space="preserve">For the E3.S product decision, first test a specific stage: candidate IDs and a query arrive; local vectors are gathered and scored; compact top-k results return. The database retains authoritative data, permissions, indexing, and lifecycle. </w:t>
      </w:r>
      <w:r>
        <w:rPr>
          <w:b w:val="0"/>
          <w:i w:val="0"/>
        </w:rPr>
        <w:t>[</w:t>
      </w:r>
      <w:r>
        <w:rPr>
          <w:b w:val="0"/>
          <w:i w:val="0"/>
        </w:rPr>
        <w:t>S2 §11.5; S5; S6]</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Stage</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Owner / model responsibility</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Query embedding and coarse retrieval</w:t>
            </w:r>
          </w:p>
        </w:tc>
        <w:tc>
          <w:tcPr>
            <w:tcW w:type="dxa" w:w="7229"/>
            <w:vAlign w:val="center"/>
            <w:shd w:fill="F0F4F6"/>
            <w:tcMar>
              <w:top w:w="65" w:type="dxa"/>
              <w:bottom w:w="65" w:type="dxa"/>
              <w:left w:w="100" w:type="dxa"/>
              <w:right w:w="100" w:type="dxa"/>
            </w:tcMar>
          </w:tcPr>
          <w:p>
            <w:pPr>
              <w:pStyle w:val="TableBody"/>
              <w:keepNext w:val="0"/>
            </w:pPr>
            <w:r>
              <w:rPr>
                <w:b w:val="0"/>
                <w:i w:val="0"/>
              </w:rPr>
              <w:t>Existing service or frozen inputs; initially outside the timed device stage</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Candidate selection and shard map</w:t>
            </w:r>
          </w:p>
        </w:tc>
        <w:tc>
          <w:tcPr>
            <w:tcW w:type="dxa" w:w="7229"/>
            <w:vAlign w:val="center"/>
            <w:shd w:fill="FFFFFF"/>
            <w:tcMar>
              <w:top w:w="65" w:type="dxa"/>
              <w:bottom w:w="65" w:type="dxa"/>
              <w:left w:w="100" w:type="dxa"/>
              <w:right w:w="100" w:type="dxa"/>
            </w:tcMar>
          </w:tcPr>
          <w:p>
            <w:pPr>
              <w:pStyle w:val="TableBody"/>
              <w:keepNext w:val="0"/>
            </w:pPr>
            <w:r>
              <w:rPr>
                <w:b w:val="0"/>
                <w:i w:val="0"/>
              </w:rPr>
              <w:t>Host/engine supplies candidate IDs, filters, and snapshot version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Gather and scoring</w:t>
            </w:r>
          </w:p>
        </w:tc>
        <w:tc>
          <w:tcPr>
            <w:tcW w:type="dxa" w:w="7229"/>
            <w:vAlign w:val="center"/>
            <w:shd w:fill="F0F4F6"/>
            <w:tcMar>
              <w:top w:w="65" w:type="dxa"/>
              <w:bottom w:w="65" w:type="dxa"/>
              <w:left w:w="100" w:type="dxa"/>
              <w:right w:w="100" w:type="dxa"/>
            </w:tcMar>
          </w:tcPr>
          <w:p>
            <w:pPr>
              <w:pStyle w:val="TableBody"/>
              <w:keepNext w:val="0"/>
            </w:pPr>
            <w:r>
              <w:rPr>
                <w:b w:val="0"/>
                <w:i w:val="0"/>
              </w:rPr>
              <w:t>Bridge models access sizes, outstanding slots, staging, and supported compute</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Top-k and result merge</w:t>
            </w:r>
          </w:p>
        </w:tc>
        <w:tc>
          <w:tcPr>
            <w:tcW w:type="dxa" w:w="7229"/>
            <w:vAlign w:val="center"/>
            <w:shd w:fill="FFFFFF"/>
            <w:tcMar>
              <w:top w:w="65" w:type="dxa"/>
              <w:bottom w:w="65" w:type="dxa"/>
              <w:left w:w="100" w:type="dxa"/>
              <w:right w:w="100" w:type="dxa"/>
            </w:tcMar>
          </w:tcPr>
          <w:p>
            <w:pPr>
              <w:pStyle w:val="TableBody"/>
              <w:keepNext w:val="0"/>
            </w:pPr>
            <w:r>
              <w:rPr>
                <w:b w:val="0"/>
                <w:i w:val="0"/>
              </w:rPr>
              <w:t>Device-local result plus explicit host/fan-out cost</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Quality and freshness</w:t>
            </w:r>
          </w:p>
        </w:tc>
        <w:tc>
          <w:tcPr>
            <w:tcW w:type="dxa" w:w="7229"/>
            <w:vAlign w:val="center"/>
            <w:shd w:fill="F0F4F6"/>
            <w:tcMar>
              <w:top w:w="65" w:type="dxa"/>
              <w:bottom w:w="65" w:type="dxa"/>
              <w:left w:w="100" w:type="dxa"/>
              <w:right w:w="100" w:type="dxa"/>
            </w:tcMar>
          </w:tcPr>
          <w:p>
            <w:pPr>
              <w:pStyle w:val="TableBody"/>
              <w:keepNext w:val="0"/>
            </w:pPr>
            <w:r>
              <w:rPr>
                <w:b w:val="0"/>
                <w:i w:val="0"/>
              </w:rPr>
              <w:t>Functional reference checks scores, allowed IDs, versions, deletion behavior</w:t>
            </w:r>
          </w:p>
        </w:tc>
      </w:tr>
    </w:tbl>
    <w:p>
      <w:pPr>
        <w:spacing w:after="60" w:before="0" w:line="40" w:lineRule="exact"/>
      </w:pPr>
      <w:r>
        <w:rPr>
          <w:sz w:val="4"/>
        </w:rPr>
      </w:r>
    </w:p>
    <w:p>
      <w:r>
        <w:rPr>
          <w:b/>
          <w:i w:val="0"/>
        </w:rPr>
        <w:t>Keep three workloads separate:</w:t>
      </w:r>
      <w:r>
        <w:rPr>
          <w:b w:val="0"/>
          <w:i w:val="0"/>
        </w:rPr>
        <w:t xml:space="preserve"> exact vector rescoring; late-interaction/multi-vector matching; neural cross-encoder reranking. They need different inputs, operators, quality checks, and service budgets. TokenSim is not assumed to implement them all.</w:t>
      </w:r>
    </w:p>
    <w:p>
      <w:pPr>
        <w:pStyle w:val="Heading2"/>
      </w:pPr>
      <w:r>
        <w:rPr>
          <w:b w:val="0"/>
          <w:i w:val="0"/>
        </w:rPr>
        <w:t>Initial test variables</w:t>
      </w:r>
    </w:p>
    <w:p>
      <w:r>
        <w:rPr>
          <w:b w:val="0"/>
          <w:i w:val="0"/>
        </w:rPr>
        <w:t xml:space="preserve">Candidate counts 1K/5K/10K as proposed ranges; actual dimension and precision; sequential versus scattered gathers; query rate and concurrency; read amplification; outstanding requests; cache budget; one versus multiple shards. Freeze values before comparisons. Use the strongest relevant DRAM, optimized NVMe, and GPU controls, including a resident control when the data fits. </w:t>
      </w:r>
      <w:r>
        <w:rPr>
          <w:b w:val="0"/>
          <w:i w:val="0"/>
        </w:rPr>
        <w:t>[</w:t>
      </w:r>
      <w:r>
        <w:rPr>
          <w:b w:val="0"/>
          <w:i w:val="0"/>
        </w:rPr>
        <w:t>S5 §7; S6]</w:t>
      </w:r>
    </w:p>
    <w:p>
      <w:pPr>
        <w:pStyle w:val="Heading2"/>
      </w:pPr>
      <w:r>
        <w:rPr>
          <w:b w:val="0"/>
          <w:i w:val="0"/>
        </w:rPr>
        <w:t>Two teachable calculations—not device predictions</w:t>
      </w:r>
    </w:p>
    <w:p>
      <w:r>
        <w:rPr>
          <w:b w:val="0"/>
          <w:i w:val="0"/>
        </w:rPr>
        <w:t>If each useful byte is written into LPDDR and read back, a hypothetical combined 50 GB/s working-memory budget implies at most 25 GB/s for that staging pattern before other traffic.</w:t>
      </w:r>
    </w:p>
    <w:p>
      <w:r>
        <w:rPr>
          <w:b w:val="0"/>
          <w:i w:val="0"/>
        </w:rPr>
        <w:t>For 32 outstanding 4 KiB reads with an assumed 20 µs service latency, the concurrency bound is 32×4,096 / 0.000020 ≈ 6.55 GB/s. More headline bandwidth need not fix insufficient outstanding reads. These are conditional bounds; the implementation and queue-credit rule require validation.</w:t>
      </w:r>
    </w:p>
    <w:p>
      <w:r>
        <w:rPr>
          <w:b/>
          <w:i w:val="0"/>
        </w:rPr>
        <w:t>Gate:</w:t>
      </w:r>
      <w:r>
        <w:rPr>
          <w:b w:val="0"/>
          <w:i w:val="0"/>
        </w:rPr>
        <w:t xml:space="preserve"> preserve numerical scores/top-k within the agreed rules, report latency including dispatch/merge, and show a material result or no-fit finding. Exact rescoring cannot retrieve a relevant item absent from the candidate set. Do not count simulated timing passes as accepted search goodput without correctness evidence.</w:t>
      </w:r>
    </w:p>
    <w:p>
      <w:r>
        <w:br w:type="page"/>
      </w:r>
    </w:p>
    <w:p>
      <w:pPr>
        <w:pStyle w:val="Kicker"/>
        <w:spacing w:after="140"/>
      </w:pPr>
      <w:r>
        <w:t>PLAN  •  EVIDENCE  •  DECISIONS</w:t>
      </w:r>
    </w:p>
    <w:p>
      <w:bookmarkStart w:id="32" w:name="page_23"/>
      <w:pPr>
        <w:pStyle w:val="Heading1"/>
      </w:pPr>
      <w:r>
        <w:t>9. Integration, calibration, and scope protection</w:t>
      </w:r>
      <w:bookmarkEnd w:id="32"/>
    </w:p>
    <w:p>
      <w:pPr>
        <w:pStyle w:val="Heading2"/>
      </w:pPr>
      <w:r>
        <w:rPr>
          <w:b w:val="0"/>
          <w:i w:val="0"/>
        </w:rPr>
        <w:t>The partner route</w:t>
      </w:r>
    </w:p>
    <w:p>
      <w:r>
        <w:rPr>
          <w:b w:val="0"/>
          <w:i w:val="0"/>
        </w:rPr>
        <w:t xml:space="preserve">The reviewed Bridge proposal reports block-level partner/RTL assets, not a complete ATMOS simulator. The stated </w:t>
      </w:r>
      <w:r>
        <w:rPr>
          <w:b/>
          <w:i w:val="0"/>
        </w:rPr>
        <w:t>February 2027 delivery</w:t>
      </w:r>
      <w:r>
        <w:rPr>
          <w:b w:val="0"/>
          <w:i w:val="0"/>
        </w:rPr>
        <w:t xml:space="preserve"> is an internal planning assumption requiring confirmation. Do not copy partner-specific constants into a generic ATMOS profile without architecture approval. </w:t>
      </w:r>
      <w:r>
        <w:rPr>
          <w:b w:val="0"/>
          <w:i w:val="0"/>
        </w:rPr>
        <w:t>[</w:t>
      </w:r>
      <w:r>
        <w:rPr>
          <w:b w:val="0"/>
          <w:i w:val="0"/>
        </w:rPr>
        <w:t>S2 §§11.1–11.5]</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Work package</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Acceptance evidence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Confirm artifact and rights</w:t>
            </w:r>
          </w:p>
        </w:tc>
        <w:tc>
          <w:tcPr>
            <w:tcW w:type="dxa" w:w="7229"/>
            <w:vAlign w:val="center"/>
            <w:shd w:fill="F0F4F6"/>
            <w:tcMar>
              <w:top w:w="65" w:type="dxa"/>
              <w:bottom w:w="65" w:type="dxa"/>
              <w:left w:w="100" w:type="dxa"/>
              <w:right w:w="100" w:type="dxa"/>
            </w:tcMar>
          </w:tcPr>
          <w:p>
            <w:pPr>
              <w:pStyle w:val="TableBody"/>
              <w:keepNext w:val="0"/>
            </w:pPr>
            <w:r>
              <w:rPr>
                <w:b w:val="0"/>
                <w:i w:val="0"/>
              </w:rPr>
              <w:t>Current versus future scope, API, license, confidentiality, machine/CI requirements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Discover capabilities</w:t>
            </w:r>
          </w:p>
        </w:tc>
        <w:tc>
          <w:tcPr>
            <w:tcW w:type="dxa" w:w="7229"/>
            <w:vAlign w:val="center"/>
            <w:shd w:fill="FFFFFF"/>
            <w:tcMar>
              <w:top w:w="65" w:type="dxa"/>
              <w:bottom w:w="65" w:type="dxa"/>
              <w:left w:w="100" w:type="dxa"/>
              <w:right w:w="100" w:type="dxa"/>
            </w:tcMar>
          </w:tcPr>
          <w:p>
            <w:pPr>
              <w:pStyle w:val="TableBody"/>
              <w:keepNext w:val="0"/>
            </w:pPr>
            <w:r>
              <w:rPr>
                <w:b w:val="0"/>
                <w:i w:val="0"/>
              </w:rPr>
              <w:t>Supported operators, address/queue semantics, timing units, unavailable features</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Translate microtraces</w:t>
            </w:r>
          </w:p>
        </w:tc>
        <w:tc>
          <w:tcPr>
            <w:tcW w:type="dxa" w:w="7229"/>
            <w:vAlign w:val="center"/>
            <w:shd w:fill="F0F4F6"/>
            <w:tcMar>
              <w:top w:w="65" w:type="dxa"/>
              <w:bottom w:w="65" w:type="dxa"/>
              <w:left w:w="100" w:type="dxa"/>
              <w:right w:w="100" w:type="dxa"/>
            </w:tcMar>
          </w:tcPr>
          <w:p>
            <w:pPr>
              <w:pStyle w:val="TableBody"/>
              <w:keepNext w:val="0"/>
            </w:pPr>
            <w:r>
              <w:rPr>
                <w:b w:val="0"/>
                <w:i w:val="0"/>
              </w:rPr>
              <w:t>Tiny deterministic commands with expected order, data, and failure behavior</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Compare backends</w:t>
            </w:r>
          </w:p>
        </w:tc>
        <w:tc>
          <w:tcPr>
            <w:tcW w:type="dxa" w:w="7229"/>
            <w:vAlign w:val="center"/>
            <w:shd w:fill="FFFFFF"/>
            <w:tcMar>
              <w:top w:w="65" w:type="dxa"/>
              <w:bottom w:w="65" w:type="dxa"/>
              <w:left w:w="100" w:type="dxa"/>
              <w:right w:w="100" w:type="dxa"/>
            </w:tcMar>
          </w:tcPr>
          <w:p>
            <w:pPr>
              <w:pStyle w:val="TableBody"/>
              <w:keepNext w:val="0"/>
            </w:pPr>
            <w:r>
              <w:rPr>
                <w:b w:val="0"/>
                <w:i w:val="0"/>
              </w:rPr>
              <w:t>Classify differences as bridge error, backend behavior, unsupported scenario, or unresolved input</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Integrate safely</w:t>
            </w:r>
          </w:p>
        </w:tc>
        <w:tc>
          <w:tcPr>
            <w:tcW w:type="dxa" w:w="7229"/>
            <w:vAlign w:val="center"/>
            <w:shd w:fill="F0F4F6"/>
            <w:tcMar>
              <w:top w:w="65" w:type="dxa"/>
              <w:bottom w:w="65" w:type="dxa"/>
              <w:left w:w="100" w:type="dxa"/>
              <w:right w:w="100" w:type="dxa"/>
            </w:tcMar>
          </w:tcPr>
          <w:p>
            <w:pPr>
              <w:pStyle w:val="TableBody"/>
              <w:keepNext w:val="0"/>
            </w:pPr>
            <w:r>
              <w:rPr>
                <w:b w:val="0"/>
                <w:i w:val="0"/>
              </w:rPr>
              <w:t>Process isolation, timeout, reproducible logs, version identity, named support owner</w:t>
            </w:r>
          </w:p>
        </w:tc>
      </w:tr>
    </w:tbl>
    <w:p>
      <w:pPr>
        <w:spacing w:after="60" w:before="0" w:line="40" w:lineRule="exact"/>
      </w:pPr>
      <w:r>
        <w:rPr>
          <w:sz w:val="4"/>
        </w:rPr>
      </w:r>
    </w:p>
    <w:p>
      <w:r>
        <w:rPr>
          <w:b w:val="0"/>
          <w:i w:val="0"/>
        </w:rPr>
        <w:t xml:space="preserve">Use supplied tests first. Do not build a full chip testbench or compiler as a prerequisite to every workload study. Reuse approved Sentinel/FlashKV concepts where they reduce effort, but do not rewrite the bridge in Rust/C++ before profiling demonstrates a need. </w:t>
      </w:r>
      <w:r>
        <w:rPr>
          <w:b w:val="0"/>
          <w:i w:val="0"/>
        </w:rPr>
        <w:t>[</w:t>
      </w:r>
      <w:r>
        <w:rPr>
          <w:b w:val="0"/>
          <w:i w:val="0"/>
        </w:rPr>
        <w:t>S1 §9; S2 §6]</w:t>
      </w:r>
    </w:p>
    <w:p>
      <w:pPr>
        <w:pStyle w:val="Heading2"/>
      </w:pPr>
      <w:r>
        <w:rPr>
          <w:b w:val="0"/>
          <w:i w:val="0"/>
        </w:rPr>
        <w:t>Calibration discipline</w:t>
      </w:r>
    </w:p>
    <w:p>
      <w:r>
        <w:rPr>
          <w:b w:val="0"/>
          <w:i w:val="0"/>
        </w:rPr>
        <w:t>A measured RTX or OEM path calibrates that tested component, not unknown HBF/NPU behavior. Use held-out shapes/loads for error checks. Record mean and worst error over that tested range; set acceptable tolerances with the reviewer before evaluation. Paper-reported accuracy does not transfer automatically.</w:t>
      </w:r>
    </w:p>
    <w:p>
      <w:r>
        <w:rPr>
          <w:b w:val="0"/>
          <w:i w:val="0"/>
        </w:rPr>
        <w:t>If a measured histogram includes queueing, do not add the same queue delay again. Preserve request arrival times, cancellations, failures, and unsupported cells. Do not sum overlapping busy times or per-stage p99s into request latency.</w:t>
      </w:r>
    </w:p>
    <w:p>
      <w:pPr>
        <w:pStyle w:val="Heading2"/>
      </w:pPr>
      <w:r>
        <w:rPr>
          <w:b w:val="0"/>
          <w:i w:val="0"/>
        </w:rPr>
        <w:t>Result package</w:t>
      </w:r>
    </w:p>
    <w:p>
      <w:r>
        <w:rPr>
          <w:b w:val="0"/>
          <w:i w:val="0"/>
        </w:rPr>
        <w:t xml:space="preserve">Manifest; metrics; summary; sampled event timeline; assumptions with owner/source/date; configurations; plots; report; test reproduction instructions; decision or POC charter. Report </w:t>
      </w:r>
      <w:r>
        <w:rPr>
          <w:b/>
          <w:i w:val="0"/>
        </w:rPr>
        <w:t>NOT RUN / UNSUPPORTED / BLOCKED</w:t>
      </w:r>
      <w:r>
        <w:rPr>
          <w:b w:val="0"/>
          <w:i w:val="0"/>
        </w:rPr>
        <w:t xml:space="preserve"> explicitly. </w:t>
      </w:r>
      <w:r>
        <w:rPr>
          <w:b w:val="0"/>
          <w:i w:val="0"/>
        </w:rPr>
        <w:t>[</w:t>
      </w:r>
      <w:r>
        <w:rPr>
          <w:b w:val="0"/>
          <w:i w:val="0"/>
        </w:rPr>
        <w:t>S2 §§8–9]</w:t>
      </w:r>
    </w:p>
    <w:p>
      <w:r>
        <w:rPr>
          <w:b/>
          <w:i w:val="0"/>
        </w:rPr>
        <w:t>Release gate:</w:t>
      </w:r>
      <w:r>
        <w:rPr>
          <w:b w:val="0"/>
          <w:i w:val="0"/>
        </w:rPr>
        <w:t xml:space="preserve"> a second engineer reproduces a reference case without your intervention; all critical inputs have provenance; a negative control exists; and there is a maintainer and clear allowed-claim boundary. A stopped workload can still produce useful requirements and prevent wasted investment.</w:t>
      </w:r>
    </w:p>
    <w:p>
      <w:r>
        <w:br w:type="page"/>
      </w:r>
    </w:p>
    <w:p>
      <w:pPr>
        <w:pStyle w:val="Kicker"/>
        <w:spacing w:after="140"/>
      </w:pPr>
      <w:r>
        <w:t>EXECUTION ROADMAP  /  TARGETS SUBJECT TO GATES</w:t>
      </w:r>
    </w:p>
    <w:p>
      <w:bookmarkStart w:id="34" w:name="page_24"/>
      <w:bookmarkStart w:id="33" w:name="sec_10"/>
      <w:pPr>
        <w:pStyle w:val="Heading1"/>
      </w:pPr>
      <w:r>
        <w:t>10. Month 1: establish the hardware baseline</w:t>
      </w:r>
      <w:bookmarkEnd w:id="33"/>
      <w:bookmarkEnd w:id="34"/>
    </w:p>
    <w:p>
      <w:r>
        <w:rPr>
          <w:b/>
          <w:i w:val="0"/>
        </w:rPr>
        <w:t>Illustrative period: 28 September–27 October 2026.</w:t>
      </w:r>
      <w:r>
        <w:rPr>
          <w:b w:val="0"/>
          <w:i w:val="0"/>
        </w:rPr>
        <w:t xml:space="preserve"> Main outcome: explain the physical system correctly, agree scope, and produce one reproducible causal test. The original September tasks are carried forward after an audit—not assumed done. </w:t>
      </w:r>
      <w:r>
        <w:rPr>
          <w:b w:val="0"/>
          <w:i w:val="0"/>
        </w:rPr>
        <w:t>[</w:t>
      </w:r>
      <w:r>
        <w:rPr>
          <w:b w:val="0"/>
          <w:i w:val="0"/>
        </w:rPr>
        <w:t>S1 §10; proposed reset]</w:t>
      </w:r>
    </w:p>
    <w:p>
      <w:pPr>
        <w:pStyle w:val="Heading2"/>
      </w:pPr>
      <w:r>
        <w:rPr>
          <w:b w:val="0"/>
          <w:i w:val="0"/>
        </w:rPr>
        <w:t>First ten working days</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706"/>
        <w:gridCol w:w="4795"/>
        <w:gridCol w:w="4781"/>
      </w:tblGrid>
      <w:tr>
        <w:trPr>
          <w:cantSplit/>
          <w:tblHeader w:val="true"/>
        </w:trPr>
        <w:tc>
          <w:tcPr>
            <w:tcW w:type="dxa" w:w="706"/>
            <w:vAlign w:val="center"/>
            <w:shd w:fill="173047"/>
            <w:tcMar>
              <w:top w:w="65" w:type="dxa"/>
              <w:bottom w:w="65" w:type="dxa"/>
              <w:left w:w="100" w:type="dxa"/>
              <w:right w:w="100" w:type="dxa"/>
            </w:tcMar>
          </w:tcPr>
          <w:p>
            <w:pPr>
              <w:pStyle w:val="TableHead"/>
              <w:keepNext w:val="0"/>
            </w:pPr>
            <w:r>
              <w:rPr>
                <w:b/>
                <w:i w:val="0"/>
                <w:color w:val="FFFFFF"/>
              </w:rPr>
              <w:t>Day</w:t>
            </w:r>
          </w:p>
        </w:tc>
        <w:tc>
          <w:tcPr>
            <w:tcW w:type="dxa" w:w="4795"/>
            <w:vAlign w:val="center"/>
            <w:shd w:fill="173047"/>
            <w:tcMar>
              <w:top w:w="65" w:type="dxa"/>
              <w:bottom w:w="65" w:type="dxa"/>
              <w:left w:w="100" w:type="dxa"/>
              <w:right w:w="100" w:type="dxa"/>
            </w:tcMar>
          </w:tcPr>
          <w:p>
            <w:pPr>
              <w:pStyle w:val="TableHead"/>
              <w:keepNext w:val="0"/>
            </w:pPr>
            <w:r>
              <w:rPr>
                <w:b/>
                <w:i w:val="0"/>
                <w:color w:val="FFFFFF"/>
              </w:rPr>
              <w:t>Work</w:t>
            </w:r>
          </w:p>
        </w:tc>
        <w:tc>
          <w:tcPr>
            <w:tcW w:type="dxa" w:w="4781"/>
            <w:vAlign w:val="center"/>
            <w:shd w:fill="173047"/>
            <w:tcMar>
              <w:top w:w="65" w:type="dxa"/>
              <w:bottom w:w="65" w:type="dxa"/>
              <w:left w:w="100" w:type="dxa"/>
              <w:right w:w="100" w:type="dxa"/>
            </w:tcMar>
          </w:tcPr>
          <w:p>
            <w:pPr>
              <w:pStyle w:val="TableHead"/>
              <w:keepNext w:val="0"/>
            </w:pPr>
            <w:r>
              <w:rPr>
                <w:b/>
                <w:i w:val="0"/>
                <w:color w:val="FFFFFF"/>
              </w:rPr>
              <w:t>Artifact / owner interaction</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1</w:t>
            </w:r>
          </w:p>
        </w:tc>
        <w:tc>
          <w:tcPr>
            <w:tcW w:type="dxa" w:w="4795"/>
            <w:vAlign w:val="center"/>
            <w:shd w:fill="F0F4F6"/>
            <w:tcMar>
              <w:top w:w="65" w:type="dxa"/>
              <w:bottom w:w="65" w:type="dxa"/>
              <w:left w:w="100" w:type="dxa"/>
              <w:right w:w="100" w:type="dxa"/>
            </w:tcMar>
          </w:tcPr>
          <w:p>
            <w:pPr>
              <w:pStyle w:val="TableBody"/>
              <w:keepNext w:val="0"/>
            </w:pPr>
            <w:r>
              <w:rPr>
                <w:b w:val="0"/>
                <w:i w:val="0"/>
              </w:rPr>
              <w:t>Meet Raj; confirm mission, three outcomes, authority, and working documents</w:t>
            </w:r>
          </w:p>
        </w:tc>
        <w:tc>
          <w:tcPr>
            <w:tcW w:type="dxa" w:w="4781"/>
            <w:vAlign w:val="center"/>
            <w:shd w:fill="F0F4F6"/>
            <w:tcMar>
              <w:top w:w="65" w:type="dxa"/>
              <w:bottom w:w="65" w:type="dxa"/>
              <w:left w:w="100" w:type="dxa"/>
              <w:right w:w="100" w:type="dxa"/>
            </w:tcMar>
          </w:tcPr>
          <w:p>
            <w:pPr>
              <w:pStyle w:val="TableBody"/>
              <w:keepNext w:val="0"/>
            </w:pPr>
            <w:r>
              <w:rPr>
                <w:b w:val="0"/>
                <w:i w:val="0"/>
              </w:rPr>
              <w:t>One-page reset; source hierarchy; stakeholder introductions</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2</w:t>
            </w:r>
          </w:p>
        </w:tc>
        <w:tc>
          <w:tcPr>
            <w:tcW w:type="dxa" w:w="4795"/>
            <w:vAlign w:val="center"/>
            <w:shd w:fill="FFFFFF"/>
            <w:tcMar>
              <w:top w:w="65" w:type="dxa"/>
              <w:bottom w:w="65" w:type="dxa"/>
              <w:left w:w="100" w:type="dxa"/>
              <w:right w:w="100" w:type="dxa"/>
            </w:tcMar>
          </w:tcPr>
          <w:p>
            <w:pPr>
              <w:pStyle w:val="TableBody"/>
              <w:keepNext w:val="0"/>
            </w:pPr>
            <w:r>
              <w:rPr>
                <w:b w:val="0"/>
                <w:i w:val="0"/>
              </w:rPr>
              <w:t>Audit existing code/reports; identify reusable versus obsolete work</w:t>
            </w:r>
          </w:p>
        </w:tc>
        <w:tc>
          <w:tcPr>
            <w:tcW w:type="dxa" w:w="4781"/>
            <w:vAlign w:val="center"/>
            <w:shd w:fill="FFFFFF"/>
            <w:tcMar>
              <w:top w:w="65" w:type="dxa"/>
              <w:bottom w:w="65" w:type="dxa"/>
              <w:left w:w="100" w:type="dxa"/>
              <w:right w:w="100" w:type="dxa"/>
            </w:tcMar>
          </w:tcPr>
          <w:p>
            <w:pPr>
              <w:pStyle w:val="TableBody"/>
              <w:keepNext w:val="0"/>
            </w:pPr>
            <w:r>
              <w:rPr>
                <w:b w:val="0"/>
                <w:i w:val="0"/>
              </w:rPr>
              <w:t>Status list: done with evidence / partial / not run; scoped backlog</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3</w:t>
            </w:r>
          </w:p>
        </w:tc>
        <w:tc>
          <w:tcPr>
            <w:tcW w:type="dxa" w:w="4795"/>
            <w:vAlign w:val="center"/>
            <w:shd w:fill="F0F4F6"/>
            <w:tcMar>
              <w:top w:w="65" w:type="dxa"/>
              <w:bottom w:w="65" w:type="dxa"/>
              <w:left w:w="100" w:type="dxa"/>
              <w:right w:w="100" w:type="dxa"/>
            </w:tcMar>
          </w:tcPr>
          <w:p>
            <w:pPr>
              <w:pStyle w:val="TableBody"/>
              <w:keepNext w:val="0"/>
            </w:pPr>
            <w:r>
              <w:rPr>
                <w:b w:val="0"/>
                <w:i w:val="0"/>
              </w:rPr>
              <w:t>Videos 1–3; ordinary server anatomy</w:t>
            </w:r>
          </w:p>
        </w:tc>
        <w:tc>
          <w:tcPr>
            <w:tcW w:type="dxa" w:w="4781"/>
            <w:vAlign w:val="center"/>
            <w:shd w:fill="F0F4F6"/>
            <w:tcMar>
              <w:top w:w="65" w:type="dxa"/>
              <w:bottom w:w="65" w:type="dxa"/>
              <w:left w:w="100" w:type="dxa"/>
              <w:right w:w="100" w:type="dxa"/>
            </w:tcMar>
          </w:tcPr>
          <w:p>
            <w:pPr>
              <w:pStyle w:val="TableBody"/>
              <w:keepNext w:val="0"/>
            </w:pPr>
            <w:r>
              <w:rPr>
                <w:b w:val="0"/>
                <w:i w:val="0"/>
              </w:rPr>
              <w:t>Labeled board/CPU/RAM/storage map; mentor corrections</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4</w:t>
            </w:r>
          </w:p>
        </w:tc>
        <w:tc>
          <w:tcPr>
            <w:tcW w:type="dxa" w:w="4795"/>
            <w:vAlign w:val="center"/>
            <w:shd w:fill="FFFFFF"/>
            <w:tcMar>
              <w:top w:w="65" w:type="dxa"/>
              <w:bottom w:w="65" w:type="dxa"/>
              <w:left w:w="100" w:type="dxa"/>
              <w:right w:w="100" w:type="dxa"/>
            </w:tcMar>
          </w:tcPr>
          <w:p>
            <w:pPr>
              <w:pStyle w:val="TableBody"/>
              <w:keepNext w:val="0"/>
            </w:pPr>
            <w:r>
              <w:rPr>
                <w:b w:val="0"/>
                <w:i w:val="0"/>
              </w:rPr>
              <w:t>Videos 4–7; memory and PCIe</w:t>
            </w:r>
          </w:p>
        </w:tc>
        <w:tc>
          <w:tcPr>
            <w:tcW w:type="dxa" w:w="4781"/>
            <w:vAlign w:val="center"/>
            <w:shd w:fill="FFFFFF"/>
            <w:tcMar>
              <w:top w:w="65" w:type="dxa"/>
              <w:bottom w:w="65" w:type="dxa"/>
              <w:left w:w="100" w:type="dxa"/>
              <w:right w:w="100" w:type="dxa"/>
            </w:tcMar>
          </w:tcPr>
          <w:p>
            <w:pPr>
              <w:pStyle w:val="TableBody"/>
              <w:keepNext w:val="0"/>
            </w:pPr>
            <w:r>
              <w:rPr>
                <w:b w:val="0"/>
                <w:i w:val="0"/>
              </w:rPr>
              <w:t>Socket/core/DIMM/link glossary; basic host topology</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5</w:t>
            </w:r>
          </w:p>
        </w:tc>
        <w:tc>
          <w:tcPr>
            <w:tcW w:type="dxa" w:w="4795"/>
            <w:vAlign w:val="center"/>
            <w:shd w:fill="F0F4F6"/>
            <w:tcMar>
              <w:top w:w="65" w:type="dxa"/>
              <w:bottom w:w="65" w:type="dxa"/>
              <w:left w:w="100" w:type="dxa"/>
              <w:right w:w="100" w:type="dxa"/>
            </w:tcMar>
          </w:tcPr>
          <w:p>
            <w:pPr>
              <w:pStyle w:val="TableBody"/>
              <w:keepNext w:val="0"/>
            </w:pPr>
            <w:r>
              <w:rPr>
                <w:b w:val="0"/>
                <w:i w:val="0"/>
              </w:rPr>
              <w:t>Videos 8–12; E3.S and switch picture</w:t>
            </w:r>
          </w:p>
        </w:tc>
        <w:tc>
          <w:tcPr>
            <w:tcW w:type="dxa" w:w="4781"/>
            <w:vAlign w:val="center"/>
            <w:shd w:fill="F0F4F6"/>
            <w:tcMar>
              <w:top w:w="65" w:type="dxa"/>
              <w:bottom w:w="65" w:type="dxa"/>
              <w:left w:w="100" w:type="dxa"/>
              <w:right w:w="100" w:type="dxa"/>
            </w:tcMar>
          </w:tcPr>
          <w:p>
            <w:pPr>
              <w:pStyle w:val="TableBody"/>
              <w:keepNext w:val="0"/>
            </w:pPr>
            <w:r>
              <w:rPr>
                <w:b w:val="0"/>
                <w:i w:val="0"/>
              </w:rPr>
              <w:t>Three-layout map v0.1; five hardware questions; Friday note</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6</w:t>
            </w:r>
          </w:p>
        </w:tc>
        <w:tc>
          <w:tcPr>
            <w:tcW w:type="dxa" w:w="4795"/>
            <w:vAlign w:val="center"/>
            <w:shd w:fill="FFFFFF"/>
            <w:tcMar>
              <w:top w:w="65" w:type="dxa"/>
              <w:bottom w:w="65" w:type="dxa"/>
              <w:left w:w="100" w:type="dxa"/>
              <w:right w:w="100" w:type="dxa"/>
            </w:tcMar>
          </w:tcPr>
          <w:p>
            <w:pPr>
              <w:pStyle w:val="TableBody"/>
              <w:keepNext w:val="0"/>
            </w:pPr>
            <w:r>
              <w:rPr>
                <w:b w:val="0"/>
                <w:i w:val="0"/>
              </w:rPr>
              <w:t>Hardware walkthrough with mentor</w:t>
            </w:r>
          </w:p>
        </w:tc>
        <w:tc>
          <w:tcPr>
            <w:tcW w:type="dxa" w:w="4781"/>
            <w:vAlign w:val="center"/>
            <w:shd w:fill="FFFFFF"/>
            <w:tcMar>
              <w:top w:w="65" w:type="dxa"/>
              <w:bottom w:w="65" w:type="dxa"/>
              <w:left w:w="100" w:type="dxa"/>
              <w:right w:w="100" w:type="dxa"/>
            </w:tcMar>
          </w:tcPr>
          <w:p>
            <w:pPr>
              <w:pStyle w:val="TableBody"/>
              <w:keepNext w:val="0"/>
            </w:pPr>
            <w:r>
              <w:rPr>
                <w:b w:val="0"/>
                <w:i w:val="0"/>
              </w:rPr>
              <w:t>Corrected lane/path map; unresolved values assigned to owners</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7</w:t>
            </w:r>
          </w:p>
        </w:tc>
        <w:tc>
          <w:tcPr>
            <w:tcW w:type="dxa" w:w="4795"/>
            <w:vAlign w:val="center"/>
            <w:shd w:fill="F0F4F6"/>
            <w:tcMar>
              <w:top w:w="65" w:type="dxa"/>
              <w:bottom w:w="65" w:type="dxa"/>
              <w:left w:w="100" w:type="dxa"/>
              <w:right w:w="100" w:type="dxa"/>
            </w:tcMar>
          </w:tcPr>
          <w:p>
            <w:pPr>
              <w:pStyle w:val="TableBody"/>
              <w:keepNext w:val="0"/>
            </w:pPr>
            <w:r>
              <w:rPr>
                <w:b w:val="0"/>
                <w:i w:val="0"/>
              </w:rPr>
              <w:t>Review current HBF/NPU/LPDDR inputs with Eric and relevant engineers</w:t>
            </w:r>
          </w:p>
        </w:tc>
        <w:tc>
          <w:tcPr>
            <w:tcW w:type="dxa" w:w="4781"/>
            <w:vAlign w:val="center"/>
            <w:shd w:fill="F0F4F6"/>
            <w:tcMar>
              <w:top w:w="65" w:type="dxa"/>
              <w:bottom w:w="65" w:type="dxa"/>
              <w:left w:w="100" w:type="dxa"/>
              <w:right w:w="100" w:type="dxa"/>
            </w:tcMar>
          </w:tcPr>
          <w:p>
            <w:pPr>
              <w:pStyle w:val="TableBody"/>
              <w:keepNext w:val="0"/>
            </w:pPr>
            <w:r>
              <w:rPr>
                <w:b w:val="0"/>
                <w:i w:val="0"/>
              </w:rPr>
              <w:t>Versioned assumptions and capability ledger</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8</w:t>
            </w:r>
          </w:p>
        </w:tc>
        <w:tc>
          <w:tcPr>
            <w:tcW w:type="dxa" w:w="4795"/>
            <w:vAlign w:val="center"/>
            <w:shd w:fill="FFFFFF"/>
            <w:tcMar>
              <w:top w:w="65" w:type="dxa"/>
              <w:bottom w:w="65" w:type="dxa"/>
              <w:left w:w="100" w:type="dxa"/>
              <w:right w:w="100" w:type="dxa"/>
            </w:tcMar>
          </w:tcPr>
          <w:p>
            <w:pPr>
              <w:pStyle w:val="TableBody"/>
              <w:keepNext w:val="0"/>
            </w:pPr>
            <w:r>
              <w:rPr>
                <w:b w:val="0"/>
                <w:i w:val="0"/>
              </w:rPr>
              <w:t>Agree Bridge versus Rust/C++ baseline and minimum release</w:t>
            </w:r>
          </w:p>
        </w:tc>
        <w:tc>
          <w:tcPr>
            <w:tcW w:type="dxa" w:w="4781"/>
            <w:vAlign w:val="center"/>
            <w:shd w:fill="FFFFFF"/>
            <w:tcMar>
              <w:top w:w="65" w:type="dxa"/>
              <w:bottom w:w="65" w:type="dxa"/>
              <w:left w:w="100" w:type="dxa"/>
              <w:right w:w="100" w:type="dxa"/>
            </w:tcMar>
          </w:tcPr>
          <w:p>
            <w:pPr>
              <w:pStyle w:val="TableBody"/>
              <w:keepNext w:val="0"/>
            </w:pPr>
            <w:r>
              <w:rPr>
                <w:b w:val="0"/>
                <w:i w:val="0"/>
              </w:rPr>
              <w:t>Architecture/scope decision; no duplicate implementation</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9</w:t>
            </w:r>
          </w:p>
        </w:tc>
        <w:tc>
          <w:tcPr>
            <w:tcW w:type="dxa" w:w="4795"/>
            <w:vAlign w:val="center"/>
            <w:shd w:fill="F0F4F6"/>
            <w:tcMar>
              <w:top w:w="65" w:type="dxa"/>
              <w:bottom w:w="65" w:type="dxa"/>
              <w:left w:w="100" w:type="dxa"/>
              <w:right w:w="100" w:type="dxa"/>
            </w:tcMar>
          </w:tcPr>
          <w:p>
            <w:pPr>
              <w:pStyle w:val="TableBody"/>
              <w:keepNext w:val="0"/>
            </w:pPr>
            <w:r>
              <w:rPr>
                <w:b w:val="0"/>
                <w:i w:val="0"/>
              </w:rPr>
              <w:t>Define profile, workload, result, evidence schemas</w:t>
            </w:r>
          </w:p>
        </w:tc>
        <w:tc>
          <w:tcPr>
            <w:tcW w:type="dxa" w:w="4781"/>
            <w:vAlign w:val="center"/>
            <w:shd w:fill="F0F4F6"/>
            <w:tcMar>
              <w:top w:w="65" w:type="dxa"/>
              <w:bottom w:w="65" w:type="dxa"/>
              <w:left w:w="100" w:type="dxa"/>
              <w:right w:w="100" w:type="dxa"/>
            </w:tcMar>
          </w:tcPr>
          <w:p>
            <w:pPr>
              <w:pStyle w:val="TableBody"/>
              <w:keepNext w:val="0"/>
            </w:pPr>
            <w:r>
              <w:rPr>
                <w:b w:val="0"/>
                <w:i w:val="0"/>
              </w:rPr>
              <w:t>Device/topology/workload examples; unit conventions</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10</w:t>
            </w:r>
          </w:p>
        </w:tc>
        <w:tc>
          <w:tcPr>
            <w:tcW w:type="dxa" w:w="4795"/>
            <w:vAlign w:val="center"/>
            <w:shd w:fill="FFFFFF"/>
            <w:tcMar>
              <w:top w:w="65" w:type="dxa"/>
              <w:bottom w:w="65" w:type="dxa"/>
              <w:left w:w="100" w:type="dxa"/>
              <w:right w:w="100" w:type="dxa"/>
            </w:tcMar>
          </w:tcPr>
          <w:p>
            <w:pPr>
              <w:pStyle w:val="TableBody"/>
              <w:keepNext w:val="0"/>
            </w:pPr>
            <w:r>
              <w:rPr>
                <w:b w:val="0"/>
                <w:i w:val="0"/>
              </w:rPr>
              <w:t>Review with modeling/validation owners</w:t>
            </w:r>
          </w:p>
        </w:tc>
        <w:tc>
          <w:tcPr>
            <w:tcW w:type="dxa" w:w="4781"/>
            <w:vAlign w:val="center"/>
            <w:shd w:fill="FFFFFF"/>
            <w:tcMar>
              <w:top w:w="65" w:type="dxa"/>
              <w:bottom w:w="65" w:type="dxa"/>
              <w:left w:w="100" w:type="dxa"/>
              <w:right w:w="100" w:type="dxa"/>
            </w:tcMar>
          </w:tcPr>
          <w:p>
            <w:pPr>
              <w:pStyle w:val="TableBody"/>
              <w:keepNext w:val="0"/>
            </w:pPr>
            <w:r>
              <w:rPr>
                <w:b w:val="0"/>
                <w:i w:val="0"/>
              </w:rPr>
              <w:t>Scope gate: staffing route, first microtrace, lab and partner actions</w:t>
            </w:r>
          </w:p>
        </w:tc>
      </w:tr>
    </w:tbl>
    <w:p>
      <w:pPr>
        <w:spacing w:after="60" w:before="0" w:line="40" w:lineRule="exact"/>
      </w:pPr>
      <w:r>
        <w:rPr>
          <w:sz w:val="4"/>
        </w:rPr>
      </w:r>
    </w:p>
    <w:p>
      <w:pPr>
        <w:pStyle w:val="Heading2"/>
      </w:pPr>
      <w:r>
        <w:rPr>
          <w:b w:val="0"/>
          <w:i w:val="0"/>
        </w:rPr>
        <w:t>Week 2 decisions that must not remain implicit</w:t>
      </w:r>
    </w:p>
    <w:p>
      <w:r>
        <w:rPr>
          <w:b w:val="0"/>
          <w:i w:val="0"/>
        </w:rPr>
        <w:t>Choose the lead E3.S workload, the measured-control access path, the current partner artifact, and the critical source revision. Determine whether the dedicated modeling support exists. If it does not, reduce scope now rather than miss an overloaded plan later.</w:t>
      </w:r>
    </w:p>
    <w:p>
      <w:pPr>
        <w:pStyle w:val="Heading2"/>
      </w:pPr>
      <w:r>
        <w:rPr>
          <w:b w:val="0"/>
          <w:i w:val="0"/>
        </w:rPr>
        <w:t>Immediate requests</w:t>
      </w:r>
    </w:p>
    <w:p>
      <w:r>
        <w:rPr>
          <w:b w:val="0"/>
          <w:i w:val="0"/>
        </w:rPr>
        <w:t xml:space="preserve">Hardware map and supported link/port configuration; memory capacities and service ranges; NPU operator/precision coverage; command/buffer semantics; available lab measurements; partner scope/license/API; approved data and sharing rules. </w:t>
      </w:r>
      <w:r>
        <w:rPr>
          <w:b w:val="0"/>
          <w:i w:val="0"/>
        </w:rPr>
        <w:t>[</w:t>
      </w:r>
      <w:r>
        <w:rPr>
          <w:b w:val="0"/>
          <w:i w:val="0"/>
        </w:rPr>
        <w:t>S2 §13]</w:t>
      </w:r>
    </w:p>
    <w:p>
      <w:r>
        <w:rPr>
          <w:b/>
          <w:i w:val="0"/>
        </w:rPr>
        <w:t>Do not promise a complete simulator at the first review.</w:t>
      </w:r>
      <w:r>
        <w:rPr>
          <w:b w:val="0"/>
          <w:i w:val="0"/>
        </w:rPr>
        <w:t xml:space="preserve"> A correct hand-checkable resource test and reviewed architecture are the intended early proof.</w:t>
      </w:r>
    </w:p>
    <w:p>
      <w:r>
        <w:br w:type="page"/>
      </w:r>
    </w:p>
    <w:p>
      <w:pPr>
        <w:pStyle w:val="Kicker"/>
        <w:spacing w:after="140"/>
      </w:pPr>
      <w:r>
        <w:t>EXECUTION ROADMAP  /  TARGETS SUBJECT TO GATES</w:t>
      </w:r>
    </w:p>
    <w:p>
      <w:bookmarkStart w:id="35" w:name="page_25"/>
      <w:pPr>
        <w:pStyle w:val="Heading1"/>
      </w:pPr>
      <w:r>
        <w:t>10. Month 1: apply, test, and demonstrate</w:t>
      </w:r>
      <w:bookmarkEnd w:id="35"/>
    </w:p>
    <w:p>
      <w:pPr>
        <w:pStyle w:val="Heading2"/>
      </w:pPr>
      <w:r>
        <w:rPr>
          <w:b w:val="0"/>
          <w:i w:val="0"/>
        </w:rPr>
        <w:t>Working days 11–20 and month close</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706"/>
        <w:gridCol w:w="4795"/>
        <w:gridCol w:w="4781"/>
      </w:tblGrid>
      <w:tr>
        <w:trPr>
          <w:cantSplit/>
          <w:tblHeader w:val="true"/>
        </w:trPr>
        <w:tc>
          <w:tcPr>
            <w:tcW w:type="dxa" w:w="706"/>
            <w:vAlign w:val="center"/>
            <w:shd w:fill="173047"/>
            <w:tcMar>
              <w:top w:w="65" w:type="dxa"/>
              <w:bottom w:w="65" w:type="dxa"/>
              <w:left w:w="100" w:type="dxa"/>
              <w:right w:w="100" w:type="dxa"/>
            </w:tcMar>
          </w:tcPr>
          <w:p>
            <w:pPr>
              <w:pStyle w:val="TableHead"/>
              <w:keepNext w:val="0"/>
            </w:pPr>
            <w:r>
              <w:rPr>
                <w:b/>
                <w:i w:val="0"/>
                <w:color w:val="FFFFFF"/>
              </w:rPr>
              <w:t>Day</w:t>
            </w:r>
          </w:p>
        </w:tc>
        <w:tc>
          <w:tcPr>
            <w:tcW w:type="dxa" w:w="4795"/>
            <w:vAlign w:val="center"/>
            <w:shd w:fill="173047"/>
            <w:tcMar>
              <w:top w:w="65" w:type="dxa"/>
              <w:bottom w:w="65" w:type="dxa"/>
              <w:left w:w="100" w:type="dxa"/>
              <w:right w:w="100" w:type="dxa"/>
            </w:tcMar>
          </w:tcPr>
          <w:p>
            <w:pPr>
              <w:pStyle w:val="TableHead"/>
              <w:keepNext w:val="0"/>
            </w:pPr>
            <w:r>
              <w:rPr>
                <w:b/>
                <w:i w:val="0"/>
                <w:color w:val="FFFFFF"/>
              </w:rPr>
              <w:t>Work</w:t>
            </w:r>
          </w:p>
        </w:tc>
        <w:tc>
          <w:tcPr>
            <w:tcW w:type="dxa" w:w="4781"/>
            <w:vAlign w:val="center"/>
            <w:shd w:fill="173047"/>
            <w:tcMar>
              <w:top w:w="65" w:type="dxa"/>
              <w:bottom w:w="65" w:type="dxa"/>
              <w:left w:w="100" w:type="dxa"/>
              <w:right w:w="100" w:type="dxa"/>
            </w:tcMar>
          </w:tcPr>
          <w:p>
            <w:pPr>
              <w:pStyle w:val="TableHead"/>
              <w:keepNext w:val="0"/>
            </w:pPr>
            <w:r>
              <w:rPr>
                <w:b/>
                <w:i w:val="0"/>
                <w:color w:val="FFFFFF"/>
              </w:rPr>
              <w:t>Artifact / review</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11</w:t>
            </w:r>
          </w:p>
        </w:tc>
        <w:tc>
          <w:tcPr>
            <w:tcW w:type="dxa" w:w="4795"/>
            <w:vAlign w:val="center"/>
            <w:shd w:fill="F0F4F6"/>
            <w:tcMar>
              <w:top w:w="65" w:type="dxa"/>
              <w:bottom w:w="65" w:type="dxa"/>
              <w:left w:w="100" w:type="dxa"/>
              <w:right w:w="100" w:type="dxa"/>
            </w:tcMar>
          </w:tcPr>
          <w:p>
            <w:pPr>
              <w:pStyle w:val="TableBody"/>
              <w:keepNext w:val="0"/>
            </w:pPr>
            <w:r>
              <w:rPr>
                <w:b w:val="0"/>
                <w:i w:val="0"/>
              </w:rPr>
              <w:t>Repository, environment, CLI, and CI scaffold</w:t>
            </w:r>
          </w:p>
        </w:tc>
        <w:tc>
          <w:tcPr>
            <w:tcW w:type="dxa" w:w="4781"/>
            <w:vAlign w:val="center"/>
            <w:shd w:fill="F0F4F6"/>
            <w:tcMar>
              <w:top w:w="65" w:type="dxa"/>
              <w:bottom w:w="65" w:type="dxa"/>
              <w:left w:w="100" w:type="dxa"/>
              <w:right w:w="100" w:type="dxa"/>
            </w:tcMar>
          </w:tcPr>
          <w:p>
            <w:pPr>
              <w:pStyle w:val="TableBody"/>
              <w:keepNext w:val="0"/>
            </w:pPr>
            <w:r>
              <w:rPr>
                <w:b w:val="0"/>
                <w:i w:val="0"/>
              </w:rPr>
              <w:t>Reproducible dry run and manifest</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12</w:t>
            </w:r>
          </w:p>
        </w:tc>
        <w:tc>
          <w:tcPr>
            <w:tcW w:type="dxa" w:w="4795"/>
            <w:vAlign w:val="center"/>
            <w:shd w:fill="FFFFFF"/>
            <w:tcMar>
              <w:top w:w="65" w:type="dxa"/>
              <w:bottom w:w="65" w:type="dxa"/>
              <w:left w:w="100" w:type="dxa"/>
              <w:right w:w="100" w:type="dxa"/>
            </w:tcMar>
          </w:tcPr>
          <w:p>
            <w:pPr>
              <w:pStyle w:val="TableBody"/>
              <w:keepNext w:val="0"/>
            </w:pPr>
            <w:r>
              <w:rPr>
                <w:b w:val="0"/>
                <w:i w:val="0"/>
              </w:rPr>
              <w:t>Capacity and unit calculations</w:t>
            </w:r>
          </w:p>
        </w:tc>
        <w:tc>
          <w:tcPr>
            <w:tcW w:type="dxa" w:w="4781"/>
            <w:vAlign w:val="center"/>
            <w:shd w:fill="FFFFFF"/>
            <w:tcMar>
              <w:top w:w="65" w:type="dxa"/>
              <w:bottom w:w="65" w:type="dxa"/>
              <w:left w:w="100" w:type="dxa"/>
              <w:right w:w="100" w:type="dxa"/>
            </w:tcMar>
          </w:tcPr>
          <w:p>
            <w:pPr>
              <w:pStyle w:val="TableBody"/>
              <w:keepNext w:val="0"/>
            </w:pPr>
            <w:r>
              <w:rPr>
                <w:b w:val="0"/>
                <w:i w:val="0"/>
              </w:rPr>
              <w:t>Tests for bytes/bits, GB/GiB, weights, working-state reserve</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13</w:t>
            </w:r>
          </w:p>
        </w:tc>
        <w:tc>
          <w:tcPr>
            <w:tcW w:type="dxa" w:w="4795"/>
            <w:vAlign w:val="center"/>
            <w:shd w:fill="F0F4F6"/>
            <w:tcMar>
              <w:top w:w="65" w:type="dxa"/>
              <w:bottom w:w="65" w:type="dxa"/>
              <w:left w:w="100" w:type="dxa"/>
              <w:right w:w="100" w:type="dxa"/>
            </w:tcMar>
          </w:tcPr>
          <w:p>
            <w:pPr>
              <w:pStyle w:val="TableBody"/>
              <w:keepNext w:val="0"/>
            </w:pPr>
            <w:r>
              <w:rPr>
                <w:b w:val="0"/>
                <w:i w:val="0"/>
              </w:rPr>
              <w:t>One finite resource and deterministic event trace</w:t>
            </w:r>
          </w:p>
        </w:tc>
        <w:tc>
          <w:tcPr>
            <w:tcW w:type="dxa" w:w="4781"/>
            <w:vAlign w:val="center"/>
            <w:shd w:fill="F0F4F6"/>
            <w:tcMar>
              <w:top w:w="65" w:type="dxa"/>
              <w:bottom w:w="65" w:type="dxa"/>
              <w:left w:w="100" w:type="dxa"/>
              <w:right w:w="100" w:type="dxa"/>
            </w:tcMar>
          </w:tcPr>
          <w:p>
            <w:pPr>
              <w:pStyle w:val="TableBody"/>
              <w:keepNext w:val="0"/>
            </w:pPr>
            <w:r>
              <w:rPr>
                <w:b w:val="0"/>
                <w:i w:val="0"/>
              </w:rPr>
              <w:t>Golden expected event order and queue wait</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14</w:t>
            </w:r>
          </w:p>
        </w:tc>
        <w:tc>
          <w:tcPr>
            <w:tcW w:type="dxa" w:w="4795"/>
            <w:vAlign w:val="center"/>
            <w:shd w:fill="FFFFFF"/>
            <w:tcMar>
              <w:top w:w="65" w:type="dxa"/>
              <w:bottom w:w="65" w:type="dxa"/>
              <w:left w:w="100" w:type="dxa"/>
              <w:right w:w="100" w:type="dxa"/>
            </w:tcMar>
          </w:tcPr>
          <w:p>
            <w:pPr>
              <w:pStyle w:val="TableBody"/>
              <w:keepNext w:val="0"/>
            </w:pPr>
            <w:r>
              <w:rPr>
                <w:b w:val="0"/>
                <w:i w:val="0"/>
              </w:rPr>
              <w:t>Add one shared path and buffer dependency</w:t>
            </w:r>
          </w:p>
        </w:tc>
        <w:tc>
          <w:tcPr>
            <w:tcW w:type="dxa" w:w="4781"/>
            <w:vAlign w:val="center"/>
            <w:shd w:fill="FFFFFF"/>
            <w:tcMar>
              <w:top w:w="65" w:type="dxa"/>
              <w:bottom w:w="65" w:type="dxa"/>
              <w:left w:w="100" w:type="dxa"/>
              <w:right w:w="100" w:type="dxa"/>
            </w:tcMar>
          </w:tcPr>
          <w:p>
            <w:pPr>
              <w:pStyle w:val="TableBody"/>
              <w:keepNext w:val="0"/>
            </w:pPr>
            <w:r>
              <w:rPr>
                <w:b w:val="0"/>
                <w:i w:val="0"/>
              </w:rPr>
              <w:t>Demonstrate contention rather than fixed request latency</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15</w:t>
            </w:r>
          </w:p>
        </w:tc>
        <w:tc>
          <w:tcPr>
            <w:tcW w:type="dxa" w:w="4795"/>
            <w:vAlign w:val="center"/>
            <w:shd w:fill="F0F4F6"/>
            <w:tcMar>
              <w:top w:w="65" w:type="dxa"/>
              <w:bottom w:w="65" w:type="dxa"/>
              <w:left w:w="100" w:type="dxa"/>
              <w:right w:w="100" w:type="dxa"/>
            </w:tcMar>
          </w:tcPr>
          <w:p>
            <w:pPr>
              <w:pStyle w:val="TableBody"/>
              <w:keepNext w:val="0"/>
            </w:pPr>
            <w:r>
              <w:rPr>
                <w:b w:val="0"/>
                <w:i w:val="0"/>
              </w:rPr>
              <w:t>Peer review the causal example; complete videos 13–16 over available blocks</w:t>
            </w:r>
          </w:p>
        </w:tc>
        <w:tc>
          <w:tcPr>
            <w:tcW w:type="dxa" w:w="4781"/>
            <w:vAlign w:val="center"/>
            <w:shd w:fill="F0F4F6"/>
            <w:tcMar>
              <w:top w:w="65" w:type="dxa"/>
              <w:bottom w:w="65" w:type="dxa"/>
              <w:left w:w="100" w:type="dxa"/>
              <w:right w:w="100" w:type="dxa"/>
            </w:tcMar>
          </w:tcPr>
          <w:p>
            <w:pPr>
              <w:pStyle w:val="TableBody"/>
              <w:keepNext w:val="0"/>
            </w:pPr>
            <w:r>
              <w:rPr>
                <w:b w:val="0"/>
                <w:i w:val="0"/>
              </w:rPr>
              <w:t>Friday demo; updated learning rubric</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16</w:t>
            </w:r>
          </w:p>
        </w:tc>
        <w:tc>
          <w:tcPr>
            <w:tcW w:type="dxa" w:w="4795"/>
            <w:vAlign w:val="center"/>
            <w:shd w:fill="FFFFFF"/>
            <w:tcMar>
              <w:top w:w="65" w:type="dxa"/>
              <w:bottom w:w="65" w:type="dxa"/>
              <w:left w:w="100" w:type="dxa"/>
              <w:right w:w="100" w:type="dxa"/>
            </w:tcMar>
          </w:tcPr>
          <w:p>
            <w:pPr>
              <w:pStyle w:val="TableBody"/>
              <w:keepNext w:val="0"/>
            </w:pPr>
            <w:r>
              <w:rPr>
                <w:b w:val="0"/>
                <w:i w:val="0"/>
              </w:rPr>
              <w:t>Obtain/read lab inventory, PCIe/NUMA map, versions</w:t>
            </w:r>
          </w:p>
        </w:tc>
        <w:tc>
          <w:tcPr>
            <w:tcW w:type="dxa" w:w="4781"/>
            <w:vAlign w:val="center"/>
            <w:shd w:fill="FFFFFF"/>
            <w:tcMar>
              <w:top w:w="65" w:type="dxa"/>
              <w:bottom w:w="65" w:type="dxa"/>
              <w:left w:w="100" w:type="dxa"/>
              <w:right w:w="100" w:type="dxa"/>
            </w:tcMar>
          </w:tcPr>
          <w:p>
            <w:pPr>
              <w:pStyle w:val="TableBody"/>
              <w:keepNext w:val="0"/>
            </w:pPr>
            <w:r>
              <w:rPr>
                <w:b w:val="0"/>
                <w:i w:val="0"/>
              </w:rPr>
              <w:t>Baseline preflight or explicit access blocker</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17</w:t>
            </w:r>
          </w:p>
        </w:tc>
        <w:tc>
          <w:tcPr>
            <w:tcW w:type="dxa" w:w="4795"/>
            <w:vAlign w:val="center"/>
            <w:shd w:fill="F0F4F6"/>
            <w:tcMar>
              <w:top w:w="65" w:type="dxa"/>
              <w:bottom w:w="65" w:type="dxa"/>
              <w:left w:w="100" w:type="dxa"/>
              <w:right w:w="100" w:type="dxa"/>
            </w:tcMar>
          </w:tcPr>
          <w:p>
            <w:pPr>
              <w:pStyle w:val="TableBody"/>
              <w:keepNext w:val="0"/>
            </w:pPr>
            <w:r>
              <w:rPr>
                <w:b w:val="0"/>
                <w:i w:val="0"/>
              </w:rPr>
              <w:t>Freeze small dense/MoE and vector workload cards</w:t>
            </w:r>
          </w:p>
        </w:tc>
        <w:tc>
          <w:tcPr>
            <w:tcW w:type="dxa" w:w="4781"/>
            <w:vAlign w:val="center"/>
            <w:shd w:fill="F0F4F6"/>
            <w:tcMar>
              <w:top w:w="65" w:type="dxa"/>
              <w:bottom w:w="65" w:type="dxa"/>
              <w:left w:w="100" w:type="dxa"/>
              <w:right w:w="100" w:type="dxa"/>
            </w:tcMar>
          </w:tcPr>
          <w:p>
            <w:pPr>
              <w:pStyle w:val="TableBody"/>
              <w:keepNext w:val="0"/>
            </w:pPr>
            <w:r>
              <w:rPr>
                <w:b w:val="0"/>
                <w:i w:val="0"/>
              </w:rPr>
              <w:t>Workload boundaries, inputs, operator needs, quality references</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18</w:t>
            </w:r>
          </w:p>
        </w:tc>
        <w:tc>
          <w:tcPr>
            <w:tcW w:type="dxa" w:w="4795"/>
            <w:vAlign w:val="center"/>
            <w:shd w:fill="FFFFFF"/>
            <w:tcMar>
              <w:top w:w="65" w:type="dxa"/>
              <w:bottom w:w="65" w:type="dxa"/>
              <w:left w:w="100" w:type="dxa"/>
              <w:right w:w="100" w:type="dxa"/>
            </w:tcMar>
          </w:tcPr>
          <w:p>
            <w:pPr>
              <w:pStyle w:val="TableBody"/>
              <w:keepNext w:val="0"/>
            </w:pPr>
            <w:r>
              <w:rPr>
                <w:b w:val="0"/>
                <w:i w:val="0"/>
              </w:rPr>
              <w:t>Observe a field/discovery discussion where available</w:t>
            </w:r>
          </w:p>
        </w:tc>
        <w:tc>
          <w:tcPr>
            <w:tcW w:type="dxa" w:w="4781"/>
            <w:vAlign w:val="center"/>
            <w:shd w:fill="FFFFFF"/>
            <w:tcMar>
              <w:top w:w="65" w:type="dxa"/>
              <w:bottom w:w="65" w:type="dxa"/>
              <w:left w:w="100" w:type="dxa"/>
              <w:right w:w="100" w:type="dxa"/>
            </w:tcMar>
          </w:tcPr>
          <w:p>
            <w:pPr>
              <w:pStyle w:val="TableBody"/>
              <w:keepNext w:val="0"/>
            </w:pPr>
            <w:r>
              <w:rPr>
                <w:b w:val="0"/>
                <w:i w:val="0"/>
              </w:rPr>
              <w:t>One qualification card; no unsourced product promises</w:t>
            </w:r>
          </w:p>
        </w:tc>
      </w:tr>
      <w:tr>
        <w:trPr>
          <w:cantSplit/>
        </w:trPr>
        <w:tc>
          <w:tcPr>
            <w:tcW w:type="dxa" w:w="706"/>
            <w:vAlign w:val="center"/>
            <w:shd w:fill="F0F4F6"/>
            <w:tcMar>
              <w:top w:w="65" w:type="dxa"/>
              <w:bottom w:w="65" w:type="dxa"/>
              <w:left w:w="100" w:type="dxa"/>
              <w:right w:w="100" w:type="dxa"/>
            </w:tcMar>
          </w:tcPr>
          <w:p>
            <w:pPr>
              <w:pStyle w:val="TableBody"/>
              <w:keepNext w:val="0"/>
            </w:pPr>
            <w:r>
              <w:rPr>
                <w:b w:val="0"/>
                <w:i w:val="0"/>
              </w:rPr>
              <w:t>19</w:t>
            </w:r>
          </w:p>
        </w:tc>
        <w:tc>
          <w:tcPr>
            <w:tcW w:type="dxa" w:w="4795"/>
            <w:vAlign w:val="center"/>
            <w:shd w:fill="F0F4F6"/>
            <w:tcMar>
              <w:top w:w="65" w:type="dxa"/>
              <w:bottom w:w="65" w:type="dxa"/>
              <w:left w:w="100" w:type="dxa"/>
              <w:right w:w="100" w:type="dxa"/>
            </w:tcMar>
          </w:tcPr>
          <w:p>
            <w:pPr>
              <w:pStyle w:val="TableBody"/>
              <w:keepNext w:val="0"/>
            </w:pPr>
            <w:r>
              <w:rPr>
                <w:b w:val="0"/>
                <w:i w:val="0"/>
              </w:rPr>
              <w:t>Reproduce the microtrace on a clean environment with another person</w:t>
            </w:r>
          </w:p>
        </w:tc>
        <w:tc>
          <w:tcPr>
            <w:tcW w:type="dxa" w:w="4781"/>
            <w:vAlign w:val="center"/>
            <w:shd w:fill="F0F4F6"/>
            <w:tcMar>
              <w:top w:w="65" w:type="dxa"/>
              <w:bottom w:w="65" w:type="dxa"/>
              <w:left w:w="100" w:type="dxa"/>
              <w:right w:w="100" w:type="dxa"/>
            </w:tcMar>
          </w:tcPr>
          <w:p>
            <w:pPr>
              <w:pStyle w:val="TableBody"/>
              <w:keepNext w:val="0"/>
            </w:pPr>
            <w:r>
              <w:rPr>
                <w:b w:val="0"/>
                <w:i w:val="0"/>
              </w:rPr>
              <w:t>Reproduction log; fix missing instructions</w:t>
            </w:r>
          </w:p>
        </w:tc>
      </w:tr>
      <w:tr>
        <w:trPr>
          <w:cantSplit/>
        </w:trPr>
        <w:tc>
          <w:tcPr>
            <w:tcW w:type="dxa" w:w="706"/>
            <w:vAlign w:val="center"/>
            <w:shd w:fill="FFFFFF"/>
            <w:tcMar>
              <w:top w:w="65" w:type="dxa"/>
              <w:bottom w:w="65" w:type="dxa"/>
              <w:left w:w="100" w:type="dxa"/>
              <w:right w:w="100" w:type="dxa"/>
            </w:tcMar>
          </w:tcPr>
          <w:p>
            <w:pPr>
              <w:pStyle w:val="TableBody"/>
              <w:keepNext w:val="0"/>
            </w:pPr>
            <w:r>
              <w:rPr>
                <w:b w:val="0"/>
                <w:i w:val="0"/>
              </w:rPr>
              <w:t>20</w:t>
            </w:r>
          </w:p>
        </w:tc>
        <w:tc>
          <w:tcPr>
            <w:tcW w:type="dxa" w:w="4795"/>
            <w:vAlign w:val="center"/>
            <w:shd w:fill="FFFFFF"/>
            <w:tcMar>
              <w:top w:w="65" w:type="dxa"/>
              <w:bottom w:w="65" w:type="dxa"/>
              <w:left w:w="100" w:type="dxa"/>
              <w:right w:w="100" w:type="dxa"/>
            </w:tcMar>
          </w:tcPr>
          <w:p>
            <w:pPr>
              <w:pStyle w:val="TableBody"/>
              <w:keepNext w:val="0"/>
            </w:pPr>
            <w:r>
              <w:rPr>
                <w:b w:val="0"/>
                <w:i w:val="0"/>
              </w:rPr>
              <w:t>Prepare monthly report and PM/architecture review</w:t>
            </w:r>
          </w:p>
        </w:tc>
        <w:tc>
          <w:tcPr>
            <w:tcW w:type="dxa" w:w="4781"/>
            <w:vAlign w:val="center"/>
            <w:shd w:fill="FFFFFF"/>
            <w:tcMar>
              <w:top w:w="65" w:type="dxa"/>
              <w:bottom w:w="65" w:type="dxa"/>
              <w:left w:w="100" w:type="dxa"/>
              <w:right w:w="100" w:type="dxa"/>
            </w:tcMar>
          </w:tcPr>
          <w:p>
            <w:pPr>
              <w:pStyle w:val="TableBody"/>
              <w:keepNext w:val="0"/>
            </w:pPr>
            <w:r>
              <w:rPr>
                <w:b w:val="0"/>
                <w:i w:val="0"/>
              </w:rPr>
              <w:t>Top five gaps, next-month experiments, scope substitutions</w:t>
            </w:r>
          </w:p>
        </w:tc>
      </w:tr>
    </w:tbl>
    <w:p>
      <w:pPr>
        <w:spacing w:after="60" w:before="0" w:line="40" w:lineRule="exact"/>
      </w:pPr>
      <w:r>
        <w:rPr>
          <w:sz w:val="4"/>
        </w:rPr>
      </w:r>
    </w:p>
    <w:p>
      <w:r>
        <w:rPr>
          <w:b w:val="0"/>
          <w:i w:val="0"/>
        </w:rPr>
        <w:t>The remaining calendar days are for review, corrections, and buffer—not another large feature. If no lab is accessible, finish the request package and use an analytical control explicitly labeled as such; do not report a measurement.</w:t>
      </w:r>
    </w:p>
    <w:p>
      <w:pPr>
        <w:pStyle w:val="Heading2"/>
      </w:pPr>
      <w:r>
        <w:rPr>
          <w:b w:val="0"/>
          <w:i w:val="0"/>
        </w:rPr>
        <w:t>Month 1 exit checklist</w:t>
      </w:r>
    </w:p>
    <w:p>
      <w:r>
        <w:rPr>
          <w:b w:val="0"/>
          <w:i w:val="0"/>
        </w:rPr>
        <w:t>Hardware owner reviews all three layouts. Critical parameters have source/owner/status. A small test shows both useful work and a reason for waiting. One baseline can be reproduced, or its access blocker is recorded. Raj agrees the next three outcomes, the lead workload, and staffing.</w:t>
      </w:r>
    </w:p>
    <w:p>
      <w:r>
        <w:rPr>
          <w:b/>
          <w:i w:val="0"/>
        </w:rPr>
        <w:t>Expected learning level:</w:t>
      </w:r>
      <w:r>
        <w:rPr>
          <w:b w:val="0"/>
          <w:i w:val="0"/>
        </w:rPr>
        <w:t xml:space="preserve"> explain CPU/RAM/storage, E3.S versus PCIe, switch versus connector, and local versus host traffic without notes. Explain the uncertain NPU/HBF path with notes and owner references.</w:t>
      </w:r>
    </w:p>
    <w:p>
      <w:pPr>
        <w:pStyle w:val="Heading2"/>
      </w:pPr>
      <w:r>
        <w:rPr>
          <w:b w:val="0"/>
          <w:i w:val="0"/>
        </w:rPr>
        <w:t>Change from the source schedule</w:t>
      </w:r>
    </w:p>
    <w:p>
      <w:r>
        <w:rPr>
          <w:b w:val="0"/>
          <w:i w:val="0"/>
        </w:rPr>
        <w:t xml:space="preserve">The Bridge §13 first-month list is more ambitious than its 12–16-week roadmap and the current learning/support needs. This revision deliberately makes Month 1 a foundation gate, not a full five-workload MVR. Obtain Raj’s approval for that substitution. </w:t>
      </w:r>
      <w:r>
        <w:rPr>
          <w:b w:val="0"/>
          <w:i w:val="0"/>
        </w:rPr>
        <w:t>[</w:t>
      </w:r>
      <w:r>
        <w:rPr>
          <w:b w:val="0"/>
          <w:i w:val="0"/>
        </w:rPr>
        <w:t>S2 §§10, 13–14]</w:t>
      </w:r>
    </w:p>
    <w:p>
      <w:r>
        <w:br w:type="page"/>
      </w:r>
    </w:p>
    <w:p>
      <w:pPr>
        <w:pStyle w:val="Kicker"/>
        <w:spacing w:after="140"/>
      </w:pPr>
      <w:r>
        <w:t>EXECUTION ROADMAP  /  TARGETS SUBJECT TO GATES</w:t>
      </w:r>
    </w:p>
    <w:p>
      <w:bookmarkStart w:id="36" w:name="page_26"/>
      <w:pPr>
        <w:pStyle w:val="Heading1"/>
      </w:pPr>
      <w:r>
        <w:t>10. Month 2: build the smallest credible bridge</w:t>
      </w:r>
      <w:bookmarkEnd w:id="36"/>
    </w:p>
    <w:p>
      <w:r>
        <w:rPr>
          <w:b/>
          <w:i w:val="0"/>
        </w:rPr>
        <w:t>Illustrative period: 28 October–27 November 2026.</w:t>
      </w:r>
      <w:r>
        <w:rPr>
          <w:b w:val="0"/>
          <w:i w:val="0"/>
        </w:rPr>
        <w:t xml:space="preserve"> Outcome: working resource models and one measured conventional path, where access permits. Keep the common core plus bounded LLM and vector examples; deepen only the approved lead. </w:t>
      </w:r>
      <w:r>
        <w:rPr>
          <w:b w:val="0"/>
          <w:i w:val="0"/>
        </w:rPr>
        <w:t>[</w:t>
      </w:r>
      <w:r>
        <w:rPr>
          <w:b w:val="0"/>
          <w:i w:val="0"/>
        </w:rPr>
        <w:t>S1 original Months 2–3; S2 §§7–10]</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Weekly package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Learning and engineering work</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Output / review</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Week 5</w:t>
            </w:r>
          </w:p>
        </w:tc>
        <w:tc>
          <w:tcPr>
            <w:tcW w:type="dxa" w:w="3960"/>
            <w:vAlign w:val="center"/>
            <w:shd w:fill="F0F4F6"/>
            <w:tcMar>
              <w:top w:w="65" w:type="dxa"/>
              <w:bottom w:w="65" w:type="dxa"/>
              <w:left w:w="100" w:type="dxa"/>
              <w:right w:w="100" w:type="dxa"/>
            </w:tcMar>
          </w:tcPr>
          <w:p>
            <w:pPr>
              <w:pStyle w:val="TableBody"/>
              <w:keepNext w:val="0"/>
            </w:pPr>
            <w:r>
              <w:rPr>
                <w:b w:val="0"/>
                <w:i w:val="0"/>
              </w:rPr>
              <w:t>Study local memory/DMA; implement approved HBF, LPDDR, SRAM and transfer abstractions</w:t>
            </w:r>
          </w:p>
        </w:tc>
        <w:tc>
          <w:tcPr>
            <w:tcW w:type="dxa" w:w="4090"/>
            <w:vAlign w:val="center"/>
            <w:shd w:fill="F0F4F6"/>
            <w:tcMar>
              <w:top w:w="65" w:type="dxa"/>
              <w:bottom w:w="65" w:type="dxa"/>
              <w:left w:w="100" w:type="dxa"/>
              <w:right w:w="100" w:type="dxa"/>
            </w:tcMar>
          </w:tcPr>
          <w:p>
            <w:pPr>
              <w:pStyle w:val="TableBody"/>
              <w:keepNext w:val="0"/>
            </w:pPr>
            <w:r>
              <w:rPr>
                <w:b w:val="0"/>
                <w:i w:val="0"/>
              </w:rPr>
              <w:t>Golden capacity, queue, staging and dependency tests; memory review</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Week 6</w:t>
            </w:r>
          </w:p>
        </w:tc>
        <w:tc>
          <w:tcPr>
            <w:tcW w:type="dxa" w:w="3960"/>
            <w:vAlign w:val="center"/>
            <w:shd w:fill="FFFFFF"/>
            <w:tcMar>
              <w:top w:w="65" w:type="dxa"/>
              <w:bottom w:w="65" w:type="dxa"/>
              <w:left w:w="100" w:type="dxa"/>
              <w:right w:w="100" w:type="dxa"/>
            </w:tcMar>
          </w:tcPr>
          <w:p>
            <w:pPr>
              <w:pStyle w:val="TableBody"/>
              <w:keepNext w:val="0"/>
            </w:pPr>
            <w:r>
              <w:rPr>
                <w:b w:val="0"/>
                <w:i w:val="0"/>
              </w:rPr>
              <w:t>Add full-card/direct-E3.S/switched-E3.S profiles; test independent and communicating jobs</w:t>
            </w:r>
          </w:p>
        </w:tc>
        <w:tc>
          <w:tcPr>
            <w:tcW w:type="dxa" w:w="4090"/>
            <w:vAlign w:val="center"/>
            <w:shd w:fill="FFFFFF"/>
            <w:tcMar>
              <w:top w:w="65" w:type="dxa"/>
              <w:bottom w:w="65" w:type="dxa"/>
              <w:left w:w="100" w:type="dxa"/>
              <w:right w:w="100" w:type="dxa"/>
            </w:tcMar>
          </w:tcPr>
          <w:p>
            <w:pPr>
              <w:pStyle w:val="TableBody"/>
              <w:keepNext w:val="0"/>
            </w:pPr>
            <w:r>
              <w:rPr>
                <w:b w:val="0"/>
                <w:i w:val="0"/>
              </w:rPr>
              <w:t>Local/host/peer bytes and shared-link contention report</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Week 7</w:t>
            </w:r>
          </w:p>
        </w:tc>
        <w:tc>
          <w:tcPr>
            <w:tcW w:type="dxa" w:w="3960"/>
            <w:vAlign w:val="center"/>
            <w:shd w:fill="F0F4F6"/>
            <w:tcMar>
              <w:top w:w="65" w:type="dxa"/>
              <w:bottom w:w="65" w:type="dxa"/>
              <w:left w:w="100" w:type="dxa"/>
              <w:right w:w="100" w:type="dxa"/>
            </w:tcMar>
          </w:tcPr>
          <w:p>
            <w:pPr>
              <w:pStyle w:val="TableBody"/>
              <w:keepNext w:val="0"/>
            </w:pPr>
            <w:r>
              <w:rPr>
                <w:b w:val="0"/>
                <w:i w:val="0"/>
              </w:rPr>
              <w:t>Add one LLM/MoE trace and one vector query fixture; record unsupported operations</w:t>
            </w:r>
          </w:p>
        </w:tc>
        <w:tc>
          <w:tcPr>
            <w:tcW w:type="dxa" w:w="4090"/>
            <w:vAlign w:val="center"/>
            <w:shd w:fill="F0F4F6"/>
            <w:tcMar>
              <w:top w:w="65" w:type="dxa"/>
              <w:bottom w:w="65" w:type="dxa"/>
              <w:left w:w="100" w:type="dxa"/>
              <w:right w:w="100" w:type="dxa"/>
            </w:tcMar>
          </w:tcPr>
          <w:p>
            <w:pPr>
              <w:pStyle w:val="TableBody"/>
              <w:keepNext w:val="0"/>
            </w:pPr>
            <w:r>
              <w:rPr>
                <w:b w:val="0"/>
                <w:i w:val="0"/>
              </w:rPr>
              <w:t>Small workload demonstrations and baseline plan; runtime review</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Week 8</w:t>
            </w:r>
          </w:p>
        </w:tc>
        <w:tc>
          <w:tcPr>
            <w:tcW w:type="dxa" w:w="3960"/>
            <w:vAlign w:val="center"/>
            <w:shd w:fill="FFFFFF"/>
            <w:tcMar>
              <w:top w:w="65" w:type="dxa"/>
              <w:bottom w:w="65" w:type="dxa"/>
              <w:left w:w="100" w:type="dxa"/>
              <w:right w:w="100" w:type="dxa"/>
            </w:tcMar>
          </w:tcPr>
          <w:p>
            <w:pPr>
              <w:pStyle w:val="TableBody"/>
              <w:keepNext w:val="0"/>
            </w:pPr>
            <w:r>
              <w:rPr>
                <w:b w:val="0"/>
                <w:i w:val="0"/>
              </w:rPr>
              <w:t>Measure approved CPU/DRAM/NVMe or GPU path; retain a held-out test; add simple placement reason codes</w:t>
            </w:r>
          </w:p>
        </w:tc>
        <w:tc>
          <w:tcPr>
            <w:tcW w:type="dxa" w:w="4090"/>
            <w:vAlign w:val="center"/>
            <w:shd w:fill="FFFFFF"/>
            <w:tcMar>
              <w:top w:w="65" w:type="dxa"/>
              <w:bottom w:w="65" w:type="dxa"/>
              <w:left w:w="100" w:type="dxa"/>
              <w:right w:w="100" w:type="dxa"/>
            </w:tcMar>
          </w:tcPr>
          <w:p>
            <w:pPr>
              <w:pStyle w:val="TableBody"/>
              <w:keepNext w:val="0"/>
            </w:pPr>
            <w:r>
              <w:rPr>
                <w:b w:val="0"/>
                <w:i w:val="0"/>
              </w:rPr>
              <w:t>First calibration comparison or explicit sensitivity-only report; Raj gate</w:t>
            </w:r>
          </w:p>
        </w:tc>
      </w:tr>
    </w:tbl>
    <w:p>
      <w:pPr>
        <w:spacing w:after="60" w:before="0" w:line="40" w:lineRule="exact"/>
      </w:pPr>
      <w:r>
        <w:rPr>
          <w:sz w:val="4"/>
        </w:rPr>
      </w:r>
    </w:p>
    <w:p>
      <w:pPr>
        <w:pStyle w:val="Heading2"/>
      </w:pPr>
      <w:r>
        <w:rPr>
          <w:b w:val="0"/>
          <w:i w:val="0"/>
        </w:rPr>
        <w:t>Specific capabilities to demonstrate</w:t>
      </w:r>
    </w:p>
    <w:p>
      <w:r>
        <w:rPr>
          <w:b w:val="0"/>
          <w:i w:val="0"/>
        </w:rPr>
        <w:t xml:space="preserve">A slower shared resource causes waiting; a larger queue does not invent bandwidth; an unavailable buffer prevents early consumption; unsupported routes fail visibly; idle/local execution does not consume the host link. Show one case where changing a headline specification does </w:t>
      </w:r>
      <w:r>
        <w:rPr>
          <w:b/>
          <w:i w:val="0"/>
        </w:rPr>
        <w:t>not</w:t>
      </w:r>
      <w:r>
        <w:rPr>
          <w:b w:val="0"/>
          <w:i w:val="0"/>
        </w:rPr>
        <w:t xml:space="preserve"> improve the workload.</w:t>
      </w:r>
    </w:p>
    <w:p>
      <w:pPr>
        <w:pStyle w:val="Heading2"/>
      </w:pPr>
      <w:r>
        <w:rPr>
          <w:b w:val="0"/>
          <w:i w:val="0"/>
        </w:rPr>
        <w:t>Customer/OEM work</w:t>
      </w:r>
    </w:p>
    <w:p>
      <w:r>
        <w:rPr>
          <w:b w:val="0"/>
          <w:i w:val="0"/>
        </w:rPr>
        <w:t>Observe or co-lead one discovery session; create a workload qualification card. Request the exact OEM topology and qualification conditions from one candidate plus an alternative when useful. Use an existing host first. Do not order an eight-accelerator system merely because the long-term diagram shows eight devices.</w:t>
      </w:r>
    </w:p>
    <w:p>
      <w:pPr>
        <w:pStyle w:val="Heading2"/>
      </w:pPr>
      <w:r>
        <w:rPr>
          <w:b w:val="0"/>
          <w:i w:val="0"/>
        </w:rPr>
        <w:t>Exit gate</w:t>
      </w:r>
    </w:p>
    <w:p>
      <w:r>
        <w:rPr>
          <w:b w:val="0"/>
          <w:i w:val="0"/>
        </w:rPr>
        <w:t>Another engineer reproduces the bounded examples. Every critical parameter has provenance. The comparison identifies a useful next measurement. At least one control is measured if approved access exists; otherwise the report remains sensitivity-only and the limitation is visible. PM dispositions the most important requirements.</w:t>
      </w:r>
    </w:p>
    <w:p>
      <w:r>
        <w:rPr>
          <w:b/>
          <w:i w:val="0"/>
        </w:rPr>
        <w:t>If support slips:</w:t>
      </w:r>
      <w:r>
        <w:rPr>
          <w:b w:val="0"/>
          <w:i w:val="0"/>
        </w:rPr>
        <w:t xml:space="preserve"> ship the common resource model and one workload path. Do not sacrifice causality, correctness checks, or provenance to add every adapter.</w:t>
      </w:r>
    </w:p>
    <w:p>
      <w:r>
        <w:br w:type="page"/>
      </w:r>
    </w:p>
    <w:p>
      <w:pPr>
        <w:pStyle w:val="Kicker"/>
        <w:spacing w:after="140"/>
      </w:pPr>
      <w:r>
        <w:t>EXECUTION ROADMAP  /  TARGETS SUBJECT TO GATES</w:t>
      </w:r>
    </w:p>
    <w:p>
      <w:bookmarkStart w:id="37" w:name="page_27"/>
      <w:pPr>
        <w:pStyle w:val="Heading1"/>
      </w:pPr>
      <w:r>
        <w:t>10. Month 3: convert experiments into a decision</w:t>
      </w:r>
      <w:bookmarkEnd w:id="37"/>
    </w:p>
    <w:p>
      <w:r>
        <w:rPr>
          <w:b/>
          <w:i w:val="0"/>
        </w:rPr>
        <w:t>Illustrative period: 28 November–27 December 2026.</w:t>
      </w:r>
      <w:r>
        <w:rPr>
          <w:b w:val="0"/>
          <w:i w:val="0"/>
        </w:rPr>
        <w:t xml:space="preserve"> Outcome: a credible study, not a broad uncalibrated platform. This is the three-month review; holidays and actual active engineering time affect the candidate-release date. </w:t>
      </w:r>
      <w:r>
        <w:rPr>
          <w:b w:val="0"/>
          <w:i w:val="0"/>
        </w:rPr>
        <w:t>[</w:t>
      </w:r>
      <w:r>
        <w:rPr>
          <w:b w:val="0"/>
          <w:i w:val="0"/>
        </w:rPr>
        <w:t>S1 original Months 3–4; S2 §§9–14]</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Weekly package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Work</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Output / reviewer</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Week 9</w:t>
            </w:r>
          </w:p>
        </w:tc>
        <w:tc>
          <w:tcPr>
            <w:tcW w:type="dxa" w:w="3960"/>
            <w:vAlign w:val="center"/>
            <w:shd w:fill="F0F4F6"/>
            <w:tcMar>
              <w:top w:w="65" w:type="dxa"/>
              <w:bottom w:w="65" w:type="dxa"/>
              <w:left w:w="100" w:type="dxa"/>
              <w:right w:w="100" w:type="dxa"/>
            </w:tcMar>
          </w:tcPr>
          <w:p>
            <w:pPr>
              <w:pStyle w:val="TableBody"/>
              <w:keepNext w:val="0"/>
            </w:pPr>
            <w:r>
              <w:rPr>
                <w:b w:val="0"/>
                <w:i w:val="0"/>
              </w:rPr>
              <w:t>Freeze the strongest practical control and timing/quality boundaries; compare actual versus assumed paths</w:t>
            </w:r>
          </w:p>
        </w:tc>
        <w:tc>
          <w:tcPr>
            <w:tcW w:type="dxa" w:w="4090"/>
            <w:vAlign w:val="center"/>
            <w:shd w:fill="F0F4F6"/>
            <w:tcMar>
              <w:top w:w="65" w:type="dxa"/>
              <w:bottom w:w="65" w:type="dxa"/>
              <w:left w:w="100" w:type="dxa"/>
              <w:right w:w="100" w:type="dxa"/>
            </w:tcMar>
          </w:tcPr>
          <w:p>
            <w:pPr>
              <w:pStyle w:val="TableBody"/>
              <w:keepNext w:val="0"/>
            </w:pPr>
            <w:r>
              <w:rPr>
                <w:b w:val="0"/>
                <w:i w:val="0"/>
              </w:rPr>
              <w:t>Baseline-parity checklist and controlled scenario matrix</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Week 10</w:t>
            </w:r>
          </w:p>
        </w:tc>
        <w:tc>
          <w:tcPr>
            <w:tcW w:type="dxa" w:w="3960"/>
            <w:vAlign w:val="center"/>
            <w:shd w:fill="FFFFFF"/>
            <w:tcMar>
              <w:top w:w="65" w:type="dxa"/>
              <w:bottom w:w="65" w:type="dxa"/>
              <w:left w:w="100" w:type="dxa"/>
              <w:right w:w="100" w:type="dxa"/>
            </w:tcMar>
          </w:tcPr>
          <w:p>
            <w:pPr>
              <w:pStyle w:val="TableBody"/>
              <w:keepNext w:val="0"/>
            </w:pPr>
            <w:r>
              <w:rPr>
                <w:b w:val="0"/>
                <w:i w:val="0"/>
              </w:rPr>
              <w:t>Calibrate available components; use separate held-out shapes/load; identify sensitive unknowns</w:t>
            </w:r>
          </w:p>
        </w:tc>
        <w:tc>
          <w:tcPr>
            <w:tcW w:type="dxa" w:w="4090"/>
            <w:vAlign w:val="center"/>
            <w:shd w:fill="FFFFFF"/>
            <w:tcMar>
              <w:top w:w="65" w:type="dxa"/>
              <w:bottom w:w="65" w:type="dxa"/>
              <w:left w:w="100" w:type="dxa"/>
              <w:right w:w="100" w:type="dxa"/>
            </w:tcMar>
          </w:tcPr>
          <w:p>
            <w:pPr>
              <w:pStyle w:val="TableBody"/>
              <w:keepNext w:val="0"/>
            </w:pPr>
            <w:r>
              <w:rPr>
                <w:b w:val="0"/>
                <w:i w:val="0"/>
              </w:rPr>
              <w:t>Error report by component/workload—not one global accuracy claim</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Week 11</w:t>
            </w:r>
          </w:p>
        </w:tc>
        <w:tc>
          <w:tcPr>
            <w:tcW w:type="dxa" w:w="3960"/>
            <w:vAlign w:val="center"/>
            <w:shd w:fill="F0F4F6"/>
            <w:tcMar>
              <w:top w:w="65" w:type="dxa"/>
              <w:bottom w:w="65" w:type="dxa"/>
              <w:left w:w="100" w:type="dxa"/>
              <w:right w:w="100" w:type="dxa"/>
            </w:tcMar>
          </w:tcPr>
          <w:p>
            <w:pPr>
              <w:pStyle w:val="TableBody"/>
              <w:keepNext w:val="0"/>
            </w:pPr>
            <w:r>
              <w:rPr>
                <w:b w:val="0"/>
                <w:i w:val="0"/>
              </w:rPr>
              <w:t>Add selected fault/timeout/full-buffer cases and valid TP/EP or shard-placement alternatives</w:t>
            </w:r>
          </w:p>
        </w:tc>
        <w:tc>
          <w:tcPr>
            <w:tcW w:type="dxa" w:w="4090"/>
            <w:vAlign w:val="center"/>
            <w:shd w:fill="F0F4F6"/>
            <w:tcMar>
              <w:top w:w="65" w:type="dxa"/>
              <w:bottom w:w="65" w:type="dxa"/>
              <w:left w:w="100" w:type="dxa"/>
              <w:right w:w="100" w:type="dxa"/>
            </w:tcMar>
          </w:tcPr>
          <w:p>
            <w:pPr>
              <w:pStyle w:val="TableBody"/>
              <w:keepNext w:val="0"/>
            </w:pPr>
            <w:r>
              <w:rPr>
                <w:b w:val="0"/>
                <w:i w:val="0"/>
              </w:rPr>
              <w:t>Deterministic policy report with reason codes and no-fit cases</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Week 12</w:t>
            </w:r>
          </w:p>
        </w:tc>
        <w:tc>
          <w:tcPr>
            <w:tcW w:type="dxa" w:w="3960"/>
            <w:vAlign w:val="center"/>
            <w:shd w:fill="FFFFFF"/>
            <w:tcMar>
              <w:top w:w="65" w:type="dxa"/>
              <w:bottom w:w="65" w:type="dxa"/>
              <w:left w:w="100" w:type="dxa"/>
              <w:right w:w="100" w:type="dxa"/>
            </w:tcMar>
          </w:tcPr>
          <w:p>
            <w:pPr>
              <w:pStyle w:val="TableBody"/>
              <w:keepNext w:val="0"/>
            </w:pPr>
            <w:r>
              <w:rPr>
                <w:b w:val="0"/>
                <w:i w:val="0"/>
              </w:rPr>
              <w:t>Prepare partner contract, economic envelope, and lead POC charter; run clean reproduction</w:t>
            </w:r>
          </w:p>
        </w:tc>
        <w:tc>
          <w:tcPr>
            <w:tcW w:type="dxa" w:w="4090"/>
            <w:vAlign w:val="center"/>
            <w:shd w:fill="FFFFFF"/>
            <w:tcMar>
              <w:top w:w="65" w:type="dxa"/>
              <w:bottom w:w="65" w:type="dxa"/>
              <w:left w:w="100" w:type="dxa"/>
              <w:right w:w="100" w:type="dxa"/>
            </w:tcMar>
          </w:tcPr>
          <w:p>
            <w:pPr>
              <w:pStyle w:val="TableBody"/>
              <w:keepNext w:val="0"/>
            </w:pPr>
            <w:r>
              <w:rPr>
                <w:b w:val="0"/>
                <w:i w:val="0"/>
              </w:rPr>
              <w:t>Review package and January priorities; internal integration acceptance</w:t>
            </w:r>
          </w:p>
        </w:tc>
      </w:tr>
    </w:tbl>
    <w:p>
      <w:pPr>
        <w:spacing w:after="60" w:before="0" w:line="40" w:lineRule="exact"/>
      </w:pPr>
      <w:r>
        <w:rPr>
          <w:sz w:val="4"/>
        </w:rPr>
      </w:r>
    </w:p>
    <w:p>
      <w:pPr>
        <w:pStyle w:val="Heading2"/>
      </w:pPr>
      <w:r>
        <w:rPr>
          <w:b w:val="0"/>
          <w:i w:val="0"/>
        </w:rPr>
        <w:t>Three-month acceptance package</w:t>
      </w:r>
    </w:p>
    <w:p>
      <w:r>
        <w:rPr>
          <w:b w:val="0"/>
          <w:i w:val="0"/>
        </w:rPr>
        <w:t>One system/topology map; versioned model/workload/device profiles; one measured control or blocked status; explanatory LLM and vector demonstrations within the agreed scope; at least one negative result; top five required hardware/software capabilities; partner input/return contract; qualified workload data request; and Raj’s next-stage decision.</w:t>
      </w:r>
    </w:p>
    <w:p>
      <w:pPr>
        <w:pStyle w:val="Heading2"/>
      </w:pPr>
      <w:r>
        <w:rPr>
          <w:b w:val="0"/>
          <w:i w:val="0"/>
        </w:rPr>
        <w:t>What “ready” does not mean</w:t>
      </w:r>
    </w:p>
    <w:p>
      <w:r>
        <w:rPr>
          <w:b w:val="0"/>
          <w:i w:val="0"/>
        </w:rPr>
        <w:t xml:space="preserve">It is not proof of ATMOS token rates, final thermals, full model correctness, production Kubernetes support, or an OEM-approved device. A selected partner/RTL test may provide useful block evidence without proving the whole workload. </w:t>
      </w:r>
      <w:r>
        <w:rPr>
          <w:b w:val="0"/>
          <w:i w:val="0"/>
        </w:rPr>
        <w:t>[</w:t>
      </w:r>
      <w:r>
        <w:rPr>
          <w:b w:val="0"/>
          <w:i w:val="0"/>
        </w:rPr>
        <w:t>S2 §11]</w:t>
      </w:r>
    </w:p>
    <w:p>
      <w:pPr>
        <w:pStyle w:val="Heading2"/>
      </w:pPr>
      <w:r>
        <w:rPr>
          <w:b w:val="0"/>
          <w:i w:val="0"/>
        </w:rPr>
        <w:t>Resource decision at the gate</w:t>
      </w:r>
    </w:p>
    <w:p>
      <w:r>
        <w:rPr>
          <w:b w:val="0"/>
          <w:i w:val="0"/>
        </w:rPr>
        <w:t>Continue only the workload whose requirement and product relevance are credible. Approve Month 4 hardening and a specific integration spike. If all results depend on unknown arbitrary timings, request the one measurement most likely to change the decision rather than building more charts.</w:t>
      </w:r>
    </w:p>
    <w:p>
      <w:r>
        <w:rPr>
          <w:b/>
          <w:i w:val="0"/>
        </w:rPr>
        <w:t>Customer-stage goal:</w:t>
      </w:r>
      <w:r>
        <w:rPr>
          <w:b w:val="0"/>
          <w:i w:val="0"/>
        </w:rPr>
        <w:t xml:space="preserve"> one internally qualified opportunity and a charter ready for joint review. A signed external POC depends on the customer and approvals; “ready for review” must not be reported as “active POC.”</w:t>
      </w:r>
    </w:p>
    <w:p>
      <w:r>
        <w:br w:type="page"/>
      </w:r>
    </w:p>
    <w:p>
      <w:pPr>
        <w:pStyle w:val="Kicker"/>
        <w:spacing w:after="140"/>
      </w:pPr>
      <w:r>
        <w:t>EXECUTION ROADMAP  /  TARGETS SUBJECT TO GATES</w:t>
      </w:r>
    </w:p>
    <w:p>
      <w:bookmarkStart w:id="38" w:name="page_28"/>
      <w:pPr>
        <w:pStyle w:val="Heading1"/>
      </w:pPr>
      <w:r>
        <w:t>10. Month 4: make the method usable by others</w:t>
      </w:r>
      <w:bookmarkEnd w:id="38"/>
    </w:p>
    <w:p>
      <w:r>
        <w:rPr>
          <w:b/>
          <w:i w:val="0"/>
        </w:rPr>
        <w:t>Illustrative period: 28 December 2026–27 January 2027.</w:t>
      </w:r>
      <w:r>
        <w:rPr>
          <w:b w:val="0"/>
          <w:i w:val="0"/>
        </w:rPr>
        <w:t xml:space="preserve"> Outcome: supported reproduction and a realistic integration path. Build on the surviving Month 3 scope instead of adding a second major research program. </w:t>
      </w:r>
      <w:r>
        <w:rPr>
          <w:b w:val="0"/>
          <w:i w:val="0"/>
        </w:rPr>
        <w:t>[</w:t>
      </w:r>
      <w:r>
        <w:rPr>
          <w:b w:val="0"/>
          <w:i w:val="0"/>
        </w:rPr>
        <w:t>S1 original Month 4; S2 hardening phase]</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Package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Work</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Proof</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1</w:t>
            </w:r>
          </w:p>
        </w:tc>
        <w:tc>
          <w:tcPr>
            <w:tcW w:type="dxa" w:w="3960"/>
            <w:vAlign w:val="center"/>
            <w:shd w:fill="F0F4F6"/>
            <w:tcMar>
              <w:top w:w="65" w:type="dxa"/>
              <w:bottom w:w="65" w:type="dxa"/>
              <w:left w:w="100" w:type="dxa"/>
              <w:right w:w="100" w:type="dxa"/>
            </w:tcMar>
          </w:tcPr>
          <w:p>
            <w:pPr>
              <w:pStyle w:val="TableBody"/>
              <w:keepNext w:val="0"/>
            </w:pPr>
            <w:r>
              <w:rPr>
                <w:b w:val="0"/>
                <w:i w:val="0"/>
              </w:rPr>
              <w:t>Harden configuration validation, error messages, units, and capability checks</w:t>
            </w:r>
          </w:p>
        </w:tc>
        <w:tc>
          <w:tcPr>
            <w:tcW w:type="dxa" w:w="4090"/>
            <w:vAlign w:val="center"/>
            <w:shd w:fill="F0F4F6"/>
            <w:tcMar>
              <w:top w:w="65" w:type="dxa"/>
              <w:bottom w:w="65" w:type="dxa"/>
              <w:left w:w="100" w:type="dxa"/>
              <w:right w:w="100" w:type="dxa"/>
            </w:tcMar>
          </w:tcPr>
          <w:p>
            <w:pPr>
              <w:pStyle w:val="TableBody"/>
              <w:keepNext w:val="0"/>
            </w:pPr>
            <w:r>
              <w:rPr>
                <w:b w:val="0"/>
                <w:i w:val="0"/>
              </w:rPr>
              <w:t>Invalid input and unsupported-operation tests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2</w:t>
            </w:r>
          </w:p>
        </w:tc>
        <w:tc>
          <w:tcPr>
            <w:tcW w:type="dxa" w:w="3960"/>
            <w:vAlign w:val="center"/>
            <w:shd w:fill="FFFFFF"/>
            <w:tcMar>
              <w:top w:w="65" w:type="dxa"/>
              <w:bottom w:w="65" w:type="dxa"/>
              <w:left w:w="100" w:type="dxa"/>
              <w:right w:w="100" w:type="dxa"/>
            </w:tcMar>
          </w:tcPr>
          <w:p>
            <w:pPr>
              <w:pStyle w:val="TableBody"/>
              <w:keepNext w:val="0"/>
            </w:pPr>
            <w:r>
              <w:rPr>
                <w:b w:val="0"/>
                <w:i w:val="0"/>
              </w:rPr>
              <w:t>Select one runtime/backend interface with firmware and compiler owners</w:t>
            </w:r>
          </w:p>
        </w:tc>
        <w:tc>
          <w:tcPr>
            <w:tcW w:type="dxa" w:w="4090"/>
            <w:vAlign w:val="center"/>
            <w:shd w:fill="FFFFFF"/>
            <w:tcMar>
              <w:top w:w="65" w:type="dxa"/>
              <w:bottom w:w="65" w:type="dxa"/>
              <w:left w:w="100" w:type="dxa"/>
              <w:right w:w="100" w:type="dxa"/>
            </w:tcMar>
          </w:tcPr>
          <w:p>
            <w:pPr>
              <w:pStyle w:val="TableBody"/>
              <w:keepNext w:val="0"/>
            </w:pPr>
            <w:r>
              <w:rPr>
                <w:b w:val="0"/>
                <w:i w:val="0"/>
              </w:rPr>
              <w:t>API, data ownership, timing, errors, cancellation, reset contract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3</w:t>
            </w:r>
          </w:p>
        </w:tc>
        <w:tc>
          <w:tcPr>
            <w:tcW w:type="dxa" w:w="3960"/>
            <w:vAlign w:val="center"/>
            <w:shd w:fill="F0F4F6"/>
            <w:tcMar>
              <w:top w:w="65" w:type="dxa"/>
              <w:bottom w:w="65" w:type="dxa"/>
              <w:left w:w="100" w:type="dxa"/>
              <w:right w:w="100" w:type="dxa"/>
            </w:tcMar>
          </w:tcPr>
          <w:p>
            <w:pPr>
              <w:pStyle w:val="TableBody"/>
              <w:keepNext w:val="0"/>
            </w:pPr>
            <w:r>
              <w:rPr>
                <w:b w:val="0"/>
                <w:i w:val="0"/>
              </w:rPr>
              <w:t>Implement or hand off one proxy/adapter spike; repeat local/remote placement tests</w:t>
            </w:r>
          </w:p>
        </w:tc>
        <w:tc>
          <w:tcPr>
            <w:tcW w:type="dxa" w:w="4090"/>
            <w:vAlign w:val="center"/>
            <w:shd w:fill="F0F4F6"/>
            <w:tcMar>
              <w:top w:w="65" w:type="dxa"/>
              <w:bottom w:w="65" w:type="dxa"/>
              <w:left w:w="100" w:type="dxa"/>
              <w:right w:w="100" w:type="dxa"/>
            </w:tcMar>
          </w:tcPr>
          <w:p>
            <w:pPr>
              <w:pStyle w:val="TableBody"/>
              <w:keepNext w:val="0"/>
            </w:pPr>
            <w:r>
              <w:rPr>
                <w:b w:val="0"/>
                <w:i w:val="0"/>
              </w:rPr>
              <w:t>Contract suite and topology-aware runbook</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4</w:t>
            </w:r>
          </w:p>
        </w:tc>
        <w:tc>
          <w:tcPr>
            <w:tcW w:type="dxa" w:w="3960"/>
            <w:vAlign w:val="center"/>
            <w:shd w:fill="FFFFFF"/>
            <w:tcMar>
              <w:top w:w="65" w:type="dxa"/>
              <w:bottom w:w="65" w:type="dxa"/>
              <w:left w:w="100" w:type="dxa"/>
              <w:right w:w="100" w:type="dxa"/>
            </w:tcMar>
          </w:tcPr>
          <w:p>
            <w:pPr>
              <w:pStyle w:val="TableBody"/>
              <w:keepNext w:val="0"/>
            </w:pPr>
            <w:r>
              <w:rPr>
                <w:b w:val="0"/>
                <w:i w:val="0"/>
              </w:rPr>
              <w:t>Clean-room reproduction; security/data review; customer workshop preparation</w:t>
            </w:r>
          </w:p>
        </w:tc>
        <w:tc>
          <w:tcPr>
            <w:tcW w:type="dxa" w:w="4090"/>
            <w:vAlign w:val="center"/>
            <w:shd w:fill="FFFFFF"/>
            <w:tcMar>
              <w:top w:w="65" w:type="dxa"/>
              <w:bottom w:w="65" w:type="dxa"/>
              <w:left w:w="100" w:type="dxa"/>
              <w:right w:w="100" w:type="dxa"/>
            </w:tcMar>
          </w:tcPr>
          <w:p>
            <w:pPr>
              <w:pStyle w:val="TableBody"/>
              <w:keepNext w:val="0"/>
            </w:pPr>
            <w:r>
              <w:rPr>
                <w:b w:val="0"/>
                <w:i w:val="0"/>
              </w:rPr>
              <w:t>Independent reproduction, known limitations, owner acceptance</w:t>
            </w:r>
          </w:p>
        </w:tc>
      </w:tr>
    </w:tbl>
    <w:p>
      <w:pPr>
        <w:spacing w:after="60" w:before="0" w:line="40" w:lineRule="exact"/>
      </w:pPr>
      <w:r>
        <w:rPr>
          <w:sz w:val="4"/>
        </w:rPr>
      </w:r>
    </w:p>
    <w:p>
      <w:pPr>
        <w:pStyle w:val="Heading2"/>
      </w:pPr>
      <w:r>
        <w:rPr>
          <w:b w:val="0"/>
          <w:i w:val="0"/>
        </w:rPr>
        <w:t>Placement and runtime depth</w:t>
      </w:r>
    </w:p>
    <w:p>
      <w:r>
        <w:rPr>
          <w:b w:val="0"/>
          <w:i w:val="0"/>
        </w:rPr>
        <w:t>Add only the decision-relevant policies: capacity/admission, restore-versus-recompute for a justified state class, or expert/shard locality. Separate prefix/KV cache integration from model-weight loading; a KV-oriented framework does not automatically manage expert weights.</w:t>
      </w:r>
    </w:p>
    <w:p>
      <w:r>
        <w:rPr>
          <w:b w:val="0"/>
          <w:i w:val="0"/>
        </w:rPr>
        <w:t xml:space="preserve">Study scheduler, KV layout, precision, and failure semantics alongside the selected runtime. Generic study of vLLM, SGLang, LMCache, model-import formats, and compiler boundaries now supports the actual interface decision rather than becoming multiple competing implementations. </w:t>
      </w:r>
      <w:r>
        <w:rPr>
          <w:b w:val="0"/>
          <w:i w:val="0"/>
        </w:rPr>
        <w:t>[</w:t>
      </w:r>
      <w:r>
        <w:rPr>
          <w:b w:val="0"/>
          <w:i w:val="0"/>
        </w:rPr>
        <w:t>S1 §§8–9]</w:t>
      </w:r>
    </w:p>
    <w:p>
      <w:pPr>
        <w:pStyle w:val="Heading2"/>
      </w:pPr>
      <w:r>
        <w:rPr>
          <w:b w:val="0"/>
          <w:i w:val="0"/>
        </w:rPr>
        <w:t>Release and ownership</w:t>
      </w:r>
    </w:p>
    <w:p>
      <w:r>
        <w:rPr>
          <w:b w:val="0"/>
          <w:i w:val="0"/>
        </w:rPr>
        <w:t xml:space="preserve">Document installation, supported inputs, examples, calibration scope, error behavior, and how to add a profile. Assign a second maintainer/reviewer. A practical usability target is a reference run completed by a new engineer in about 30 minutes after prerequisites are installed; the Bridge proposal includes this as a v1 goal. </w:t>
      </w:r>
      <w:r>
        <w:rPr>
          <w:b w:val="0"/>
          <w:i w:val="0"/>
        </w:rPr>
        <w:t>[</w:t>
      </w:r>
      <w:r>
        <w:rPr>
          <w:b w:val="0"/>
          <w:i w:val="0"/>
        </w:rPr>
        <w:t>S2 §14]</w:t>
      </w:r>
    </w:p>
    <w:p>
      <w:r>
        <w:rPr>
          <w:b/>
          <w:i w:val="0"/>
        </w:rPr>
        <w:t>No-hardware route:</w:t>
      </w:r>
      <w:r>
        <w:rPr>
          <w:b w:val="0"/>
          <w:i w:val="0"/>
        </w:rPr>
        <w:t xml:space="preserve"> reproduce measured conventional controls and validate software contracts using explicit test doubles. Mark device-specific execution unvalidated. Do not call proxy success a passed physical DMA/reset test.</w:t>
      </w:r>
    </w:p>
    <w:p>
      <w:r>
        <w:rPr>
          <w:b/>
          <w:i w:val="0"/>
        </w:rPr>
        <w:t>Gate:</w:t>
      </w:r>
      <w:r>
        <w:rPr>
          <w:b w:val="0"/>
          <w:i w:val="0"/>
        </w:rPr>
        <w:t xml:space="preserve"> internally accepted handoff or owned adapter; one workshop-ready charter; next available measurement scheduled through the authorized owner.</w:t>
      </w:r>
    </w:p>
    <w:p>
      <w:r>
        <w:br w:type="page"/>
      </w:r>
    </w:p>
    <w:p>
      <w:pPr>
        <w:pStyle w:val="Kicker"/>
        <w:spacing w:after="140"/>
      </w:pPr>
      <w:r>
        <w:t>EXECUTION ROADMAP  /  TARGETS SUBJECT TO GATES</w:t>
      </w:r>
    </w:p>
    <w:p>
      <w:bookmarkStart w:id="39" w:name="page_29"/>
      <w:pPr>
        <w:pStyle w:val="Heading1"/>
      </w:pPr>
      <w:r>
        <w:t>10. Month 5: establish the joint baseline</w:t>
      </w:r>
      <w:bookmarkEnd w:id="39"/>
    </w:p>
    <w:p>
      <w:r>
        <w:rPr>
          <w:b/>
          <w:i w:val="0"/>
        </w:rPr>
        <w:t>Illustrative period: 28 January–27 February 2027.</w:t>
      </w:r>
      <w:r>
        <w:rPr>
          <w:b w:val="0"/>
          <w:i w:val="0"/>
        </w:rPr>
        <w:t xml:space="preserve"> Outcome: customer/partner agreement on the problem and baseline, plus integration readiness for whatever partner artifact is actually available. February delivery is an assumption, not a promise. </w:t>
      </w:r>
      <w:r>
        <w:rPr>
          <w:b w:val="0"/>
          <w:i w:val="0"/>
        </w:rPr>
        <w:t>[</w:t>
      </w:r>
      <w:r>
        <w:rPr>
          <w:b w:val="0"/>
          <w:i w:val="0"/>
        </w:rPr>
        <w:t>S1 original Month 5; S2 §11]</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Package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Work</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Output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1</w:t>
            </w:r>
          </w:p>
        </w:tc>
        <w:tc>
          <w:tcPr>
            <w:tcW w:type="dxa" w:w="3960"/>
            <w:vAlign w:val="center"/>
            <w:shd w:fill="F0F4F6"/>
            <w:tcMar>
              <w:top w:w="65" w:type="dxa"/>
              <w:bottom w:w="65" w:type="dxa"/>
              <w:left w:w="100" w:type="dxa"/>
              <w:right w:w="100" w:type="dxa"/>
            </w:tcMar>
          </w:tcPr>
          <w:p>
            <w:pPr>
              <w:pStyle w:val="TableBody"/>
              <w:keepNext w:val="0"/>
            </w:pPr>
            <w:r>
              <w:rPr>
                <w:b w:val="0"/>
                <w:i w:val="0"/>
              </w:rPr>
              <w:t>Conduct authorized workload/platform workshop</w:t>
            </w:r>
          </w:p>
        </w:tc>
        <w:tc>
          <w:tcPr>
            <w:tcW w:type="dxa" w:w="4090"/>
            <w:vAlign w:val="center"/>
            <w:shd w:fill="F0F4F6"/>
            <w:tcMar>
              <w:top w:w="65" w:type="dxa"/>
              <w:bottom w:w="65" w:type="dxa"/>
              <w:left w:w="100" w:type="dxa"/>
              <w:right w:w="100" w:type="dxa"/>
            </w:tcMar>
          </w:tcPr>
          <w:p>
            <w:pPr>
              <w:pStyle w:val="TableBody"/>
              <w:keepNext w:val="0"/>
            </w:pPr>
            <w:r>
              <w:rPr>
                <w:b w:val="0"/>
                <w:i w:val="0"/>
              </w:rPr>
              <w:t>Sponsor, trace, quality/SLO, baseline, ownership, and data rules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2</w:t>
            </w:r>
          </w:p>
        </w:tc>
        <w:tc>
          <w:tcPr>
            <w:tcW w:type="dxa" w:w="3960"/>
            <w:vAlign w:val="center"/>
            <w:shd w:fill="FFFFFF"/>
            <w:tcMar>
              <w:top w:w="65" w:type="dxa"/>
              <w:bottom w:w="65" w:type="dxa"/>
              <w:left w:w="100" w:type="dxa"/>
              <w:right w:w="100" w:type="dxa"/>
            </w:tcMar>
          </w:tcPr>
          <w:p>
            <w:pPr>
              <w:pStyle w:val="TableBody"/>
              <w:keepNext w:val="0"/>
            </w:pPr>
            <w:r>
              <w:rPr>
                <w:b w:val="0"/>
                <w:i w:val="0"/>
              </w:rPr>
              <w:t>Replay a customer-like workload internally, using synthetic/sanitized inputs where required</w:t>
            </w:r>
          </w:p>
        </w:tc>
        <w:tc>
          <w:tcPr>
            <w:tcW w:type="dxa" w:w="4090"/>
            <w:vAlign w:val="center"/>
            <w:shd w:fill="FFFFFF"/>
            <w:tcMar>
              <w:top w:w="65" w:type="dxa"/>
              <w:bottom w:w="65" w:type="dxa"/>
              <w:left w:w="100" w:type="dxa"/>
              <w:right w:w="100" w:type="dxa"/>
            </w:tcMar>
          </w:tcPr>
          <w:p>
            <w:pPr>
              <w:pStyle w:val="TableBody"/>
              <w:keepNext w:val="0"/>
            </w:pPr>
            <w:r>
              <w:rPr>
                <w:b w:val="0"/>
                <w:i w:val="0"/>
              </w:rPr>
              <w:t>Instrumentation and quality report before comparative claims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3</w:t>
            </w:r>
          </w:p>
        </w:tc>
        <w:tc>
          <w:tcPr>
            <w:tcW w:type="dxa" w:w="3960"/>
            <w:vAlign w:val="center"/>
            <w:shd w:fill="F0F4F6"/>
            <w:tcMar>
              <w:top w:w="65" w:type="dxa"/>
              <w:bottom w:w="65" w:type="dxa"/>
              <w:left w:w="100" w:type="dxa"/>
              <w:right w:w="100" w:type="dxa"/>
            </w:tcMar>
          </w:tcPr>
          <w:p>
            <w:pPr>
              <w:pStyle w:val="TableBody"/>
              <w:keepNext w:val="0"/>
            </w:pPr>
            <w:r>
              <w:rPr>
                <w:b w:val="0"/>
                <w:i w:val="0"/>
              </w:rPr>
              <w:t>Execute the conventional baseline with the operator; review bottleneck</w:t>
            </w:r>
          </w:p>
        </w:tc>
        <w:tc>
          <w:tcPr>
            <w:tcW w:type="dxa" w:w="4090"/>
            <w:vAlign w:val="center"/>
            <w:shd w:fill="F0F4F6"/>
            <w:tcMar>
              <w:top w:w="65" w:type="dxa"/>
              <w:bottom w:w="65" w:type="dxa"/>
              <w:left w:w="100" w:type="dxa"/>
              <w:right w:w="100" w:type="dxa"/>
            </w:tcMar>
          </w:tcPr>
          <w:p>
            <w:pPr>
              <w:pStyle w:val="TableBody"/>
              <w:keepNext w:val="0"/>
            </w:pPr>
            <w:r>
              <w:rPr>
                <w:b w:val="0"/>
                <w:i w:val="0"/>
              </w:rPr>
              <w:t>Jointly understood baseline and metadata bundle</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4</w:t>
            </w:r>
          </w:p>
        </w:tc>
        <w:tc>
          <w:tcPr>
            <w:tcW w:type="dxa" w:w="3960"/>
            <w:vAlign w:val="center"/>
            <w:shd w:fill="FFFFFF"/>
            <w:tcMar>
              <w:top w:w="65" w:type="dxa"/>
              <w:bottom w:w="65" w:type="dxa"/>
              <w:left w:w="100" w:type="dxa"/>
              <w:right w:w="100" w:type="dxa"/>
            </w:tcMar>
          </w:tcPr>
          <w:p>
            <w:pPr>
              <w:pStyle w:val="TableBody"/>
              <w:keepNext w:val="0"/>
            </w:pPr>
            <w:r>
              <w:rPr>
                <w:b w:val="0"/>
                <w:i w:val="0"/>
              </w:rPr>
              <w:t>Review the ATMOS requirement hypothesis; confirm phase-2 tests</w:t>
            </w:r>
          </w:p>
        </w:tc>
        <w:tc>
          <w:tcPr>
            <w:tcW w:type="dxa" w:w="4090"/>
            <w:vAlign w:val="center"/>
            <w:shd w:fill="FFFFFF"/>
            <w:tcMar>
              <w:top w:w="65" w:type="dxa"/>
              <w:bottom w:w="65" w:type="dxa"/>
              <w:left w:w="100" w:type="dxa"/>
              <w:right w:w="100" w:type="dxa"/>
            </w:tcMar>
          </w:tcPr>
          <w:p>
            <w:pPr>
              <w:pStyle w:val="TableBody"/>
              <w:keepNext w:val="0"/>
            </w:pPr>
            <w:r>
              <w:rPr>
                <w:b w:val="0"/>
                <w:i w:val="0"/>
              </w:rPr>
              <w:t>Comparative charter and agreed stop criteria</w:t>
            </w:r>
          </w:p>
        </w:tc>
      </w:tr>
    </w:tbl>
    <w:p>
      <w:pPr>
        <w:spacing w:after="60" w:before="0" w:line="40" w:lineRule="exact"/>
      </w:pPr>
      <w:r>
        <w:rPr>
          <w:sz w:val="4"/>
        </w:rPr>
      </w:r>
    </w:p>
    <w:p>
      <w:pPr>
        <w:pStyle w:val="Heading2"/>
      </w:pPr>
      <w:r>
        <w:rPr>
          <w:b w:val="0"/>
          <w:i w:val="0"/>
        </w:rPr>
        <w:t>Partner readiness branch</w:t>
      </w:r>
    </w:p>
    <w:p>
      <w:r>
        <w:rPr>
          <w:b/>
          <w:i w:val="0"/>
        </w:rPr>
        <w:t>Artifact available:</w:t>
      </w:r>
      <w:r>
        <w:rPr>
          <w:b w:val="0"/>
          <w:i w:val="0"/>
        </w:rPr>
        <w:t xml:space="preserve"> confirm release, license, supported configurations and tests; run capability discovery and a tiny golden trace; compare expected ordering/data/timing; classify discrepancies before wider workloads.</w:t>
      </w:r>
    </w:p>
    <w:p>
      <w:r>
        <w:rPr>
          <w:b/>
          <w:i w:val="0"/>
        </w:rPr>
        <w:t>Artifact delayed or narrower than expected:</w:t>
      </w:r>
      <w:r>
        <w:rPr>
          <w:b w:val="0"/>
          <w:i w:val="0"/>
        </w:rPr>
        <w:t xml:space="preserve"> retain the bridge’s component model, profile interfaces, and conventional controls. Deliver the tested contract and missing-evidence list. Do not simulate “integration complete” by assigning future capability flags.</w:t>
      </w:r>
    </w:p>
    <w:p>
      <w:r>
        <w:rPr>
          <w:b/>
          <w:i w:val="0"/>
        </w:rPr>
        <w:t>No external partner approved:</w:t>
      </w:r>
      <w:r>
        <w:rPr>
          <w:b w:val="0"/>
          <w:i w:val="0"/>
        </w:rPr>
        <w:t xml:space="preserve"> complete an internal rehearsal and baseline package; report the opportunity at its real pipeline stage. Do not manufacture customer acceptance.</w:t>
      </w:r>
    </w:p>
    <w:p>
      <w:pPr>
        <w:pStyle w:val="Heading2"/>
      </w:pPr>
      <w:r>
        <w:rPr>
          <w:b w:val="0"/>
          <w:i w:val="0"/>
        </w:rPr>
        <w:t>OEM deliverable</w:t>
      </w:r>
    </w:p>
    <w:p>
      <w:r>
        <w:rPr>
          <w:b w:val="0"/>
          <w:i w:val="0"/>
        </w:rPr>
        <w:t xml:space="preserve">Issue a configuration-specific readiness sheet: physical fit, lane/port map, power and sustained cooling, firmware/driver exposure, management, supported substitutions, and service procedure. Identify what is approved versus requiring engineering work. </w:t>
      </w:r>
      <w:r>
        <w:rPr>
          <w:b w:val="0"/>
          <w:i w:val="0"/>
        </w:rPr>
        <w:t>[</w:t>
      </w:r>
      <w:r>
        <w:rPr>
          <w:b w:val="0"/>
          <w:i w:val="0"/>
        </w:rPr>
        <w:t>S3 §§3–5]</w:t>
      </w:r>
    </w:p>
    <w:p>
      <w:r>
        <w:rPr>
          <w:b/>
          <w:i w:val="0"/>
        </w:rPr>
        <w:t>Gate:</w:t>
      </w:r>
      <w:r>
        <w:rPr>
          <w:b w:val="0"/>
          <w:i w:val="0"/>
        </w:rPr>
        <w:t xml:space="preserve"> both teams can reproduce the baseline or agree what blocks it; the next comparison tests a quantified hypothesis; no sensitive data or partner collateral is redistributed beyond the approved boundary.</w:t>
      </w:r>
    </w:p>
    <w:p>
      <w:r>
        <w:br w:type="page"/>
      </w:r>
    </w:p>
    <w:p>
      <w:pPr>
        <w:pStyle w:val="Kicker"/>
        <w:spacing w:after="140"/>
      </w:pPr>
      <w:r>
        <w:t>EXECUTION ROADMAP  /  TARGETS SUBJECT TO GATES</w:t>
      </w:r>
    </w:p>
    <w:p>
      <w:bookmarkStart w:id="40" w:name="page_30"/>
      <w:pPr>
        <w:pStyle w:val="Heading1"/>
      </w:pPr>
      <w:r>
        <w:t>10. Month 6: compare, decide, and hand off</w:t>
      </w:r>
      <w:bookmarkEnd w:id="40"/>
    </w:p>
    <w:p>
      <w:r>
        <w:rPr>
          <w:b/>
          <w:i w:val="0"/>
        </w:rPr>
        <w:t>Illustrative period: 28 February–27 March 2027.</w:t>
      </w:r>
      <w:r>
        <w:rPr>
          <w:b w:val="0"/>
          <w:i w:val="0"/>
        </w:rPr>
        <w:t xml:space="preserve"> Outcome: an honest deployment/product decision and a maintainable package. Preserve the original calibration and POC closeout intent, but do not condition all progress on complete silicon arriving. </w:t>
      </w:r>
      <w:r>
        <w:rPr>
          <w:b w:val="0"/>
          <w:i w:val="0"/>
        </w:rPr>
        <w:t>[</w:t>
      </w:r>
      <w:r>
        <w:rPr>
          <w:b w:val="0"/>
          <w:i w:val="0"/>
        </w:rPr>
        <w:t>S1 original Months 6–7]</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Package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Work</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Output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1</w:t>
            </w:r>
          </w:p>
        </w:tc>
        <w:tc>
          <w:tcPr>
            <w:tcW w:type="dxa" w:w="3960"/>
            <w:vAlign w:val="center"/>
            <w:shd w:fill="F0F4F6"/>
            <w:tcMar>
              <w:top w:w="65" w:type="dxa"/>
              <w:bottom w:w="65" w:type="dxa"/>
              <w:left w:w="100" w:type="dxa"/>
              <w:right w:w="100" w:type="dxa"/>
            </w:tcMar>
          </w:tcPr>
          <w:p>
            <w:pPr>
              <w:pStyle w:val="TableBody"/>
              <w:keepNext w:val="0"/>
            </w:pPr>
            <w:r>
              <w:rPr>
                <w:b w:val="0"/>
                <w:i w:val="0"/>
              </w:rPr>
              <w:t>Run agreed residency, memory-path, or retrieval configurations</w:t>
            </w:r>
          </w:p>
        </w:tc>
        <w:tc>
          <w:tcPr>
            <w:tcW w:type="dxa" w:w="4090"/>
            <w:vAlign w:val="center"/>
            <w:shd w:fill="F0F4F6"/>
            <w:tcMar>
              <w:top w:w="65" w:type="dxa"/>
              <w:bottom w:w="65" w:type="dxa"/>
              <w:left w:w="100" w:type="dxa"/>
              <w:right w:w="100" w:type="dxa"/>
            </w:tcMar>
          </w:tcPr>
          <w:p>
            <w:pPr>
              <w:pStyle w:val="TableBody"/>
              <w:keepNext w:val="0"/>
            </w:pPr>
            <w:r>
              <w:rPr>
                <w:b w:val="0"/>
                <w:i w:val="0"/>
              </w:rPr>
              <w:t>Matched controls and comparable result bundles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2</w:t>
            </w:r>
          </w:p>
        </w:tc>
        <w:tc>
          <w:tcPr>
            <w:tcW w:type="dxa" w:w="3960"/>
            <w:vAlign w:val="center"/>
            <w:shd w:fill="FFFFFF"/>
            <w:tcMar>
              <w:top w:w="65" w:type="dxa"/>
              <w:bottom w:w="65" w:type="dxa"/>
              <w:left w:w="100" w:type="dxa"/>
              <w:right w:w="100" w:type="dxa"/>
            </w:tcMar>
          </w:tcPr>
          <w:p>
            <w:pPr>
              <w:pStyle w:val="TableBody"/>
              <w:keepNext w:val="0"/>
            </w:pPr>
            <w:r>
              <w:rPr>
                <w:b w:val="0"/>
                <w:i w:val="0"/>
              </w:rPr>
              <w:t>Run selected locality, concurrency, topology, and negative controls</w:t>
            </w:r>
          </w:p>
        </w:tc>
        <w:tc>
          <w:tcPr>
            <w:tcW w:type="dxa" w:w="4090"/>
            <w:vAlign w:val="center"/>
            <w:shd w:fill="FFFFFF"/>
            <w:tcMar>
              <w:top w:w="65" w:type="dxa"/>
              <w:bottom w:w="65" w:type="dxa"/>
              <w:left w:w="100" w:type="dxa"/>
              <w:right w:w="100" w:type="dxa"/>
            </w:tcMar>
          </w:tcPr>
          <w:p>
            <w:pPr>
              <w:pStyle w:val="TableBody"/>
              <w:keepNext w:val="0"/>
            </w:pPr>
            <w:r>
              <w:rPr>
                <w:b w:val="0"/>
                <w:i w:val="0"/>
              </w:rPr>
              <w:t>Fit/no-fit region and top unresolved sensitivities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3</w:t>
            </w:r>
          </w:p>
        </w:tc>
        <w:tc>
          <w:tcPr>
            <w:tcW w:type="dxa" w:w="3960"/>
            <w:vAlign w:val="center"/>
            <w:shd w:fill="F0F4F6"/>
            <w:tcMar>
              <w:top w:w="65" w:type="dxa"/>
              <w:bottom w:w="65" w:type="dxa"/>
              <w:left w:w="100" w:type="dxa"/>
              <w:right w:w="100" w:type="dxa"/>
            </w:tcMar>
          </w:tcPr>
          <w:p>
            <w:pPr>
              <w:pStyle w:val="TableBody"/>
              <w:keepNext w:val="0"/>
            </w:pPr>
            <w:r>
              <w:rPr>
                <w:b w:val="0"/>
                <w:i w:val="0"/>
              </w:rPr>
              <w:t>Test approved failure/recovery behavior; update complete economics</w:t>
            </w:r>
          </w:p>
        </w:tc>
        <w:tc>
          <w:tcPr>
            <w:tcW w:type="dxa" w:w="4090"/>
            <w:vAlign w:val="center"/>
            <w:shd w:fill="F0F4F6"/>
            <w:tcMar>
              <w:top w:w="65" w:type="dxa"/>
              <w:bottom w:w="65" w:type="dxa"/>
              <w:left w:w="100" w:type="dxa"/>
              <w:right w:w="100" w:type="dxa"/>
            </w:tcMar>
          </w:tcPr>
          <w:p>
            <w:pPr>
              <w:pStyle w:val="TableBody"/>
              <w:keepNext w:val="0"/>
            </w:pPr>
            <w:r>
              <w:rPr>
                <w:b w:val="0"/>
                <w:i w:val="0"/>
              </w:rPr>
              <w:t>Operational impact and cost/energy threshold</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4</w:t>
            </w:r>
          </w:p>
        </w:tc>
        <w:tc>
          <w:tcPr>
            <w:tcW w:type="dxa" w:w="3960"/>
            <w:vAlign w:val="center"/>
            <w:shd w:fill="FFFFFF"/>
            <w:tcMar>
              <w:top w:w="65" w:type="dxa"/>
              <w:bottom w:w="65" w:type="dxa"/>
              <w:left w:w="100" w:type="dxa"/>
              <w:right w:w="100" w:type="dxa"/>
            </w:tcMar>
          </w:tcPr>
          <w:p>
            <w:pPr>
              <w:pStyle w:val="TableBody"/>
              <w:keepNext w:val="0"/>
            </w:pPr>
            <w:r>
              <w:rPr>
                <w:b w:val="0"/>
                <w:i w:val="0"/>
              </w:rPr>
              <w:t>Joint or internal closeout; owner review; next charter</w:t>
            </w:r>
          </w:p>
        </w:tc>
        <w:tc>
          <w:tcPr>
            <w:tcW w:type="dxa" w:w="4090"/>
            <w:vAlign w:val="center"/>
            <w:shd w:fill="FFFFFF"/>
            <w:tcMar>
              <w:top w:w="65" w:type="dxa"/>
              <w:bottom w:w="65" w:type="dxa"/>
              <w:left w:w="100" w:type="dxa"/>
              <w:right w:w="100" w:type="dxa"/>
            </w:tcMar>
          </w:tcPr>
          <w:p>
            <w:pPr>
              <w:pStyle w:val="TableBody"/>
              <w:keepNext w:val="0"/>
            </w:pPr>
            <w:r>
              <w:rPr>
                <w:b w:val="0"/>
                <w:i w:val="0"/>
              </w:rPr>
              <w:t>Proceed/iterate/pause/stop and requirements dispositions</w:t>
            </w:r>
          </w:p>
        </w:tc>
      </w:tr>
    </w:tbl>
    <w:p>
      <w:pPr>
        <w:spacing w:after="60" w:before="0" w:line="40" w:lineRule="exact"/>
      </w:pPr>
      <w:r>
        <w:rPr>
          <w:sz w:val="4"/>
        </w:rPr>
      </w:r>
    </w:p>
    <w:p>
      <w:pPr>
        <w:pStyle w:val="Heading2"/>
      </w:pPr>
      <w:r>
        <w:rPr>
          <w:b w:val="0"/>
          <w:i w:val="0"/>
        </w:rPr>
        <w:t>Deliver by the six-month review</w:t>
      </w:r>
    </w:p>
    <w:p>
      <w:r>
        <w:rPr>
          <w:b/>
          <w:i w:val="0"/>
        </w:rPr>
        <w:t>Technical:</w:t>
      </w:r>
      <w:r>
        <w:rPr>
          <w:b w:val="0"/>
          <w:i w:val="0"/>
        </w:rPr>
        <w:t xml:space="preserve"> component-calibrated evidence where available; actual prediction error by tested envelope; correct result labels; one reusable integration/handoff; independent reproduction.</w:t>
      </w:r>
    </w:p>
    <w:p>
      <w:r>
        <w:rPr>
          <w:b/>
          <w:i w:val="0"/>
        </w:rPr>
        <w:t>Product/OEM:</w:t>
      </w:r>
      <w:r>
        <w:rPr>
          <w:b w:val="0"/>
          <w:i w:val="0"/>
        </w:rPr>
        <w:t xml:space="preserve"> two reviewed reference packages—typically one LLM-serving and one near-data retrieval configuration—with actual support status, boundaries, failure model, and economics. A reference package can explicitly be pre-silicon; do not call it a qualified production system.</w:t>
      </w:r>
    </w:p>
    <w:p>
      <w:r>
        <w:rPr>
          <w:b/>
          <w:i w:val="0"/>
        </w:rPr>
        <w:t>Partner/customer:</w:t>
      </w:r>
      <w:r>
        <w:rPr>
          <w:b w:val="0"/>
          <w:i w:val="0"/>
        </w:rPr>
        <w:t xml:space="preserve"> one jointly scoped evaluation and closeout if approvals/access allow, or a complete internal equivalent plus the external blocker and owner. Retain annual two-POC aspiration without inventing execution.</w:t>
      </w:r>
    </w:p>
    <w:p>
      <w:pPr>
        <w:pStyle w:val="Heading2"/>
      </w:pPr>
      <w:r>
        <w:rPr>
          <w:b w:val="0"/>
          <w:i w:val="0"/>
        </w:rPr>
        <w:t>Decision logic</w:t>
      </w:r>
    </w:p>
    <w:p>
      <w:r>
        <w:rPr>
          <w:b/>
          <w:i w:val="0"/>
        </w:rPr>
        <w:t>Advance</w:t>
      </w:r>
      <w:r>
        <w:rPr>
          <w:b w:val="0"/>
          <w:i w:val="0"/>
        </w:rPr>
        <w:t xml:space="preserve"> when a relevant region survives strong controls and uncertainty. </w:t>
      </w:r>
      <w:r>
        <w:rPr>
          <w:b/>
          <w:i w:val="0"/>
        </w:rPr>
        <w:t>Hold</w:t>
      </w:r>
      <w:r>
        <w:rPr>
          <w:b w:val="0"/>
          <w:i w:val="0"/>
        </w:rPr>
        <w:t xml:space="preserve"> when one bounded missing input determines the answer. </w:t>
      </w:r>
      <w:r>
        <w:rPr>
          <w:b/>
          <w:i w:val="0"/>
        </w:rPr>
        <w:t>Stop/reposition</w:t>
      </w:r>
      <w:r>
        <w:rPr>
          <w:b w:val="0"/>
          <w:i w:val="0"/>
        </w:rPr>
        <w:t xml:space="preserve"> when the baseline meets the goal economically, a required path is unsupported, or complexity erases value.</w:t>
      </w:r>
    </w:p>
    <w:p>
      <w:r>
        <w:rPr>
          <w:b w:val="0"/>
          <w:i w:val="0"/>
        </w:rPr>
        <w:t xml:space="preserve">A numerical improvement target should be fixed in the charter with the decision owner. The proposal’s materiality examples are not ATMOS forecasts. Physical workload throughput, energy, thermals, or reliability can only be reported as measured after that exact system is tested. </w:t>
      </w:r>
      <w:r>
        <w:rPr>
          <w:b w:val="0"/>
          <w:i w:val="0"/>
        </w:rPr>
        <w:t>[</w:t>
      </w:r>
      <w:r>
        <w:rPr>
          <w:b w:val="0"/>
          <w:i w:val="0"/>
        </w:rPr>
        <w:t>S2 §§12–14; S6]</w:t>
      </w:r>
    </w:p>
    <w:p>
      <w:r>
        <w:rPr>
          <w:b/>
          <w:i w:val="0"/>
        </w:rPr>
        <w:t>Learning milestone:</w:t>
      </w:r>
      <w:r>
        <w:rPr>
          <w:b w:val="0"/>
          <w:i w:val="0"/>
        </w:rPr>
        <w:t xml:space="preserve"> lead the review without hiding unknowns; identify the right engineer, next test, and permitted conclusion for each disputed point.</w:t>
      </w:r>
    </w:p>
    <w:p>
      <w:r>
        <w:br w:type="page"/>
      </w:r>
    </w:p>
    <w:p>
      <w:pPr>
        <w:pStyle w:val="Kicker"/>
        <w:spacing w:after="140"/>
      </w:pPr>
      <w:r>
        <w:t>EXECUTION ROADMAP  /  TARGETS SUBJECT TO GATES</w:t>
      </w:r>
    </w:p>
    <w:p>
      <w:bookmarkStart w:id="41" w:name="page_31"/>
      <w:pPr>
        <w:pStyle w:val="Heading1"/>
      </w:pPr>
      <w:r>
        <w:t>10. Annual continuation: April–August 2027</w:t>
      </w:r>
      <w:bookmarkEnd w:id="41"/>
    </w:p>
    <w:p>
      <w:r>
        <w:rPr>
          <w:b w:val="0"/>
          <w:i w:val="0"/>
        </w:rPr>
        <w:t xml:space="preserve">Retain the original annual destination and work themes. The reset concentrates foundational work through March; the remaining five calendar months institutionalize the evidence and develop a second qualified adoption question. </w:t>
      </w:r>
      <w:r>
        <w:rPr>
          <w:b w:val="0"/>
          <w:i w:val="0"/>
        </w:rPr>
        <w:t>[</w:t>
      </w:r>
      <w:r>
        <w:rPr>
          <w:b w:val="0"/>
          <w:i w:val="0"/>
        </w:rPr>
        <w:t>S1 original Months 8–12]</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Month</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Work packages</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Exit evidence</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April</w:t>
            </w:r>
          </w:p>
        </w:tc>
        <w:tc>
          <w:tcPr>
            <w:tcW w:type="dxa" w:w="3960"/>
            <w:vAlign w:val="center"/>
            <w:shd w:fill="F0F4F6"/>
            <w:tcMar>
              <w:top w:w="65" w:type="dxa"/>
              <w:bottom w:w="65" w:type="dxa"/>
              <w:left w:w="100" w:type="dxa"/>
              <w:right w:w="100" w:type="dxa"/>
            </w:tcMar>
          </w:tcPr>
          <w:p>
            <w:pPr>
              <w:pStyle w:val="TableBody"/>
              <w:keepNext w:val="0"/>
            </w:pPr>
            <w:r>
              <w:rPr>
                <w:b w:val="0"/>
                <w:i w:val="0"/>
              </w:rPr>
              <w:t>Execute approved POC 2 core comparisons; draft the reference template; adapt finance, sovereign/private, healthcare, RAG/agent, and industrial/edge packages where justified</w:t>
            </w:r>
          </w:p>
        </w:tc>
        <w:tc>
          <w:tcPr>
            <w:tcW w:type="dxa" w:w="4090"/>
            <w:vAlign w:val="center"/>
            <w:shd w:fill="F0F4F6"/>
            <w:tcMar>
              <w:top w:w="65" w:type="dxa"/>
              <w:bottom w:w="65" w:type="dxa"/>
              <w:left w:w="100" w:type="dxa"/>
              <w:right w:w="100" w:type="dxa"/>
            </w:tcMar>
          </w:tcPr>
          <w:p>
            <w:pPr>
              <w:pStyle w:val="TableBody"/>
              <w:keepNext w:val="0"/>
            </w:pPr>
            <w:r>
              <w:rPr>
                <w:b w:val="0"/>
                <w:i w:val="0"/>
              </w:rPr>
              <w:t>POC 2 result or explicit blocker; five evidence-linked draft packages; at least two reviewers use sizing unaided</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May</w:t>
            </w:r>
          </w:p>
        </w:tc>
        <w:tc>
          <w:tcPr>
            <w:tcW w:type="dxa" w:w="3960"/>
            <w:vAlign w:val="center"/>
            <w:shd w:fill="FFFFFF"/>
            <w:tcMar>
              <w:top w:w="65" w:type="dxa"/>
              <w:bottom w:w="65" w:type="dxa"/>
              <w:left w:w="100" w:type="dxa"/>
              <w:right w:w="100" w:type="dxa"/>
            </w:tcMar>
          </w:tcPr>
          <w:p>
            <w:pPr>
              <w:pStyle w:val="TableBody"/>
              <w:keepNext w:val="0"/>
            </w:pPr>
            <w:r>
              <w:rPr>
                <w:b w:val="0"/>
                <w:i w:val="0"/>
              </w:rPr>
              <w:t>Package discovery/qualification tools; run SA/FAE workshop 1 on diagnosis and workshop 2 on evidence/TCO; observe users; disposition important requirements</w:t>
            </w:r>
          </w:p>
        </w:tc>
        <w:tc>
          <w:tcPr>
            <w:tcW w:type="dxa" w:w="4090"/>
            <w:vAlign w:val="center"/>
            <w:shd w:fill="FFFFFF"/>
            <w:tcMar>
              <w:top w:w="65" w:type="dxa"/>
              <w:bottom w:w="65" w:type="dxa"/>
              <w:left w:w="100" w:type="dxa"/>
              <w:right w:w="100" w:type="dxa"/>
            </w:tcMar>
          </w:tcPr>
          <w:p>
            <w:pPr>
              <w:pStyle w:val="TableBody"/>
              <w:keepNext w:val="0"/>
            </w:pPr>
            <w:r>
              <w:rPr>
                <w:b w:val="0"/>
                <w:i w:val="0"/>
              </w:rPr>
              <w:t>Field Evaluation Kit v1; three observed users complete an exercise; top requirements have owners</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June</w:t>
            </w:r>
          </w:p>
        </w:tc>
        <w:tc>
          <w:tcPr>
            <w:tcW w:type="dxa" w:w="3960"/>
            <w:vAlign w:val="center"/>
            <w:shd w:fill="F0F4F6"/>
            <w:tcMar>
              <w:top w:w="65" w:type="dxa"/>
              <w:bottom w:w="65" w:type="dxa"/>
              <w:left w:w="100" w:type="dxa"/>
              <w:right w:w="100" w:type="dxa"/>
            </w:tcMar>
          </w:tcPr>
          <w:p>
            <w:pPr>
              <w:pStyle w:val="TableBody"/>
              <w:keepNext w:val="0"/>
            </w:pPr>
            <w:r>
              <w:rPr>
                <w:b w:val="0"/>
                <w:i w:val="0"/>
              </w:rPr>
              <w:t>Map runtime/OEM/ISV partnership needs; prepare approved ecosystem contribution; hold design-partner workshop; define mutual milestones</w:t>
            </w:r>
          </w:p>
        </w:tc>
        <w:tc>
          <w:tcPr>
            <w:tcW w:type="dxa" w:w="4090"/>
            <w:vAlign w:val="center"/>
            <w:shd w:fill="F0F4F6"/>
            <w:tcMar>
              <w:top w:w="65" w:type="dxa"/>
              <w:bottom w:w="65" w:type="dxa"/>
              <w:left w:w="100" w:type="dxa"/>
              <w:right w:w="100" w:type="dxa"/>
            </w:tcMar>
          </w:tcPr>
          <w:p>
            <w:pPr>
              <w:pStyle w:val="TableBody"/>
              <w:keepNext w:val="0"/>
            </w:pPr>
            <w:r>
              <w:rPr>
                <w:b w:val="0"/>
                <w:i w:val="0"/>
              </w:rPr>
              <w:t>Partner action plan, approved contribution scope, and a shortlist/design-partner decision when externally agreed</w:t>
            </w:r>
          </w:p>
        </w:tc>
      </w:tr>
      <w:tr>
        <w:trPr>
          <w:cantSplit/>
        </w:trPr>
        <w:tc>
          <w:tcPr>
            <w:tcW w:type="dxa" w:w="2232"/>
            <w:vAlign w:val="center"/>
            <w:shd w:fill="FFFFFF"/>
            <w:tcMar>
              <w:top w:w="65" w:type="dxa"/>
              <w:bottom w:w="65" w:type="dxa"/>
              <w:left w:w="100" w:type="dxa"/>
              <w:right w:w="100" w:type="dxa"/>
            </w:tcMar>
          </w:tcPr>
          <w:p>
            <w:pPr>
              <w:pStyle w:val="TableBody"/>
              <w:keepNext w:val="0"/>
            </w:pPr>
            <w:r>
              <w:rPr>
                <w:b/>
                <w:i w:val="0"/>
              </w:rPr>
              <w:t>July</w:t>
            </w:r>
          </w:p>
        </w:tc>
        <w:tc>
          <w:tcPr>
            <w:tcW w:type="dxa" w:w="3960"/>
            <w:vAlign w:val="center"/>
            <w:shd w:fill="FFFFFF"/>
            <w:tcMar>
              <w:top w:w="65" w:type="dxa"/>
              <w:bottom w:w="65" w:type="dxa"/>
              <w:left w:w="100" w:type="dxa"/>
              <w:right w:w="100" w:type="dxa"/>
            </w:tcMar>
          </w:tcPr>
          <w:p>
            <w:pPr>
              <w:pStyle w:val="TableBody"/>
              <w:keepNext w:val="0"/>
            </w:pPr>
            <w:r>
              <w:rPr>
                <w:b w:val="0"/>
                <w:i w:val="0"/>
              </w:rPr>
              <w:t>Aggregate evidence; run selected multi-card/multi-node sensitivity; develop FY28 focus/broaden/partner/defer/stop options; pre-review disagreements</w:t>
            </w:r>
          </w:p>
        </w:tc>
        <w:tc>
          <w:tcPr>
            <w:tcW w:type="dxa" w:w="4090"/>
            <w:vAlign w:val="center"/>
            <w:shd w:fill="FFFFFF"/>
            <w:tcMar>
              <w:top w:w="65" w:type="dxa"/>
              <w:bottom w:w="65" w:type="dxa"/>
              <w:left w:w="100" w:type="dxa"/>
              <w:right w:w="100" w:type="dxa"/>
            </w:tcMar>
          </w:tcPr>
          <w:p>
            <w:pPr>
              <w:pStyle w:val="TableBody"/>
              <w:keepNext w:val="0"/>
            </w:pPr>
            <w:r>
              <w:rPr>
                <w:b w:val="0"/>
                <w:i w:val="0"/>
              </w:rPr>
              <w:t>FY28 strategy with resources, evidence, risks, and stop conditions</w:t>
            </w:r>
          </w:p>
        </w:tc>
      </w:tr>
      <w:tr>
        <w:trPr>
          <w:cantSplit/>
        </w:trPr>
        <w:tc>
          <w:tcPr>
            <w:tcW w:type="dxa" w:w="2232"/>
            <w:vAlign w:val="center"/>
            <w:shd w:fill="F0F4F6"/>
            <w:tcMar>
              <w:top w:w="65" w:type="dxa"/>
              <w:bottom w:w="65" w:type="dxa"/>
              <w:left w:w="100" w:type="dxa"/>
              <w:right w:w="100" w:type="dxa"/>
            </w:tcMar>
          </w:tcPr>
          <w:p>
            <w:pPr>
              <w:pStyle w:val="TableBody"/>
              <w:keepNext w:val="0"/>
            </w:pPr>
            <w:r>
              <w:rPr>
                <w:b/>
                <w:i w:val="0"/>
              </w:rPr>
              <w:t>August</w:t>
            </w:r>
          </w:p>
        </w:tc>
        <w:tc>
          <w:tcPr>
            <w:tcW w:type="dxa" w:w="3960"/>
            <w:vAlign w:val="center"/>
            <w:shd w:fill="F0F4F6"/>
            <w:tcMar>
              <w:top w:w="65" w:type="dxa"/>
              <w:bottom w:w="65" w:type="dxa"/>
              <w:left w:w="100" w:type="dxa"/>
              <w:right w:w="100" w:type="dxa"/>
            </w:tcMar>
          </w:tcPr>
          <w:p>
            <w:pPr>
              <w:pStyle w:val="TableBody"/>
              <w:keepNext w:val="0"/>
            </w:pPr>
            <w:r>
              <w:rPr>
                <w:b w:val="0"/>
                <w:i w:val="0"/>
              </w:rPr>
              <w:t>Release or hand off tooling; approve five reference packages and field kit; archive stale claims; obtain cross-functional feedback; annual review</w:t>
            </w:r>
          </w:p>
        </w:tc>
        <w:tc>
          <w:tcPr>
            <w:tcW w:type="dxa" w:w="4090"/>
            <w:vAlign w:val="center"/>
            <w:shd w:fill="F0F4F6"/>
            <w:tcMar>
              <w:top w:w="65" w:type="dxa"/>
              <w:bottom w:w="65" w:type="dxa"/>
              <w:left w:w="100" w:type="dxa"/>
              <w:right w:w="100" w:type="dxa"/>
            </w:tcMar>
          </w:tcPr>
          <w:p>
            <w:pPr>
              <w:pStyle w:val="TableBody"/>
              <w:keepNext w:val="0"/>
            </w:pPr>
            <w:r>
              <w:rPr>
                <w:b w:val="0"/>
                <w:i w:val="0"/>
              </w:rPr>
              <w:t>Maintainers, adopted artifacts, documented FY28 decisions, and next-year personal charter</w:t>
            </w:r>
          </w:p>
        </w:tc>
      </w:tr>
    </w:tbl>
    <w:p>
      <w:pPr>
        <w:spacing w:after="60" w:before="0" w:line="40" w:lineRule="exact"/>
      </w:pPr>
      <w:r>
        <w:rPr>
          <w:sz w:val="4"/>
        </w:rPr>
      </w:r>
    </w:p>
    <w:p>
      <w:pPr>
        <w:pStyle w:val="Heading2"/>
      </w:pPr>
      <w:r>
        <w:rPr>
          <w:b w:val="0"/>
          <w:i w:val="0"/>
        </w:rPr>
        <w:t>Preserve evidence boundaries while broadening</w:t>
      </w:r>
    </w:p>
    <w:p>
      <w:r>
        <w:rPr>
          <w:b w:val="0"/>
          <w:i w:val="0"/>
        </w:rPr>
        <w:t>A vertical package is a workload and deployment adaptation, not proof that every bank, hospital, or factory uses the same model or scale. Reuse measured mechanisms where applicable; mark new assumptions and untested environments. Approvals and data governance remain workload-specific.</w:t>
      </w:r>
    </w:p>
    <w:p>
      <w:r>
        <w:rPr>
          <w:b w:val="0"/>
          <w:i w:val="0"/>
        </w:rPr>
        <w:t>A second POC should test a genuinely different adoption question—not repeat a favorable benchmark to count two. Avoid more than three active evaluations and more than one deep build branch without added support.</w:t>
      </w:r>
    </w:p>
    <w:p>
      <w:r>
        <w:rPr>
          <w:b/>
          <w:i w:val="0"/>
        </w:rPr>
        <w:t>Annual success:</w:t>
      </w:r>
      <w:r>
        <w:rPr>
          <w:b w:val="0"/>
          <w:i w:val="0"/>
        </w:rPr>
        <w:t xml:space="preserve"> the chain from customer problem to evidence to decision to adoption works without you personally performing every step. Report the original numerical targets and actual outcomes side by side; explain misses and changed priorities openly. </w:t>
      </w:r>
      <w:r>
        <w:rPr>
          <w:b w:val="0"/>
          <w:i w:val="0"/>
        </w:rPr>
        <w:t>[</w:t>
      </w:r>
      <w:r>
        <w:rPr>
          <w:b w:val="0"/>
          <w:i w:val="0"/>
        </w:rPr>
        <w:t>S1 §§12, 17]</w:t>
      </w:r>
    </w:p>
    <w:p>
      <w:r>
        <w:br w:type="page"/>
      </w:r>
    </w:p>
    <w:p>
      <w:pPr>
        <w:pStyle w:val="Kicker"/>
        <w:spacing w:after="140"/>
      </w:pPr>
      <w:r>
        <w:t>PLAN  •  EVIDENCE  •  DECISIONS</w:t>
      </w:r>
    </w:p>
    <w:p>
      <w:bookmarkStart w:id="43" w:name="page_32"/>
      <w:bookmarkStart w:id="42" w:name="sec_11"/>
      <w:pPr>
        <w:pStyle w:val="Heading1"/>
      </w:pPr>
      <w:r>
        <w:t>11. Customer, partner, and economics workflow</w:t>
      </w:r>
      <w:bookmarkEnd w:id="42"/>
      <w:bookmarkEnd w:id="43"/>
    </w:p>
    <w:p>
      <w:r>
        <w:rPr>
          <w:b w:val="0"/>
          <w:i w:val="0"/>
        </w:rPr>
        <w:t xml:space="preserve">Engage the organization operating the bottleneck: enterprise, managed service provider, ISV, hyperscaler, or OEM. Do not assume a named public company is an ATMOS prospect with an active relationship. The E3.S proposal’s initial practical combination is one integration partner, one workload owner, and one OEM/NPU feasibility path. </w:t>
      </w:r>
      <w:r>
        <w:rPr>
          <w:b w:val="0"/>
          <w:i w:val="0"/>
        </w:rPr>
        <w:t>[</w:t>
      </w:r>
      <w:r>
        <w:rPr>
          <w:b w:val="0"/>
          <w:i w:val="0"/>
        </w:rPr>
        <w:t>S6]</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Stage</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Required work</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Evidence to advance</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Signal → discovery</w:t>
            </w:r>
          </w:p>
        </w:tc>
        <w:tc>
          <w:tcPr>
            <w:tcW w:type="dxa" w:w="3960"/>
            <w:vAlign w:val="center"/>
            <w:shd w:fill="F0F4F6"/>
            <w:tcMar>
              <w:top w:w="65" w:type="dxa"/>
              <w:bottom w:w="65" w:type="dxa"/>
              <w:left w:w="100" w:type="dxa"/>
              <w:right w:w="100" w:type="dxa"/>
            </w:tcMar>
          </w:tcPr>
          <w:p>
            <w:pPr>
              <w:pStyle w:val="TableBody"/>
              <w:keepNext w:val="0"/>
            </w:pPr>
            <w:r>
              <w:rPr>
                <w:b w:val="0"/>
                <w:i w:val="0"/>
              </w:rPr>
              <w:t>Confirm problem, sponsor, authority, and decision timing</w:t>
            </w:r>
          </w:p>
        </w:tc>
        <w:tc>
          <w:tcPr>
            <w:tcW w:type="dxa" w:w="4090"/>
            <w:vAlign w:val="center"/>
            <w:shd w:fill="F0F4F6"/>
            <w:tcMar>
              <w:top w:w="65" w:type="dxa"/>
              <w:bottom w:w="65" w:type="dxa"/>
              <w:left w:w="100" w:type="dxa"/>
              <w:right w:w="100" w:type="dxa"/>
            </w:tcMar>
          </w:tcPr>
          <w:p>
            <w:pPr>
              <w:pStyle w:val="TableBody"/>
              <w:keepNext w:val="0"/>
            </w:pPr>
            <w:r>
              <w:rPr>
                <w:b w:val="0"/>
                <w:i w:val="0"/>
              </w:rPr>
              <w:t>Relevant meeting and workload owner</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Discovery → qualified</w:t>
            </w:r>
          </w:p>
        </w:tc>
        <w:tc>
          <w:tcPr>
            <w:tcW w:type="dxa" w:w="3960"/>
            <w:vAlign w:val="center"/>
            <w:shd w:fill="FFFFFF"/>
            <w:tcMar>
              <w:top w:w="65" w:type="dxa"/>
              <w:bottom w:w="65" w:type="dxa"/>
              <w:left w:w="100" w:type="dxa"/>
              <w:right w:w="100" w:type="dxa"/>
            </w:tcMar>
          </w:tcPr>
          <w:p>
            <w:pPr>
              <w:pStyle w:val="TableBody"/>
              <w:keepNext w:val="0"/>
            </w:pPr>
            <w:r>
              <w:rPr>
                <w:b w:val="0"/>
                <w:i w:val="0"/>
              </w:rPr>
              <w:t>Quantify trace, current stack, SLO, and plausible mechanism</w:t>
            </w:r>
          </w:p>
        </w:tc>
        <w:tc>
          <w:tcPr>
            <w:tcW w:type="dxa" w:w="4090"/>
            <w:vAlign w:val="center"/>
            <w:shd w:fill="FFFFFF"/>
            <w:tcMar>
              <w:top w:w="65" w:type="dxa"/>
              <w:bottom w:w="65" w:type="dxa"/>
              <w:left w:w="100" w:type="dxa"/>
              <w:right w:w="100" w:type="dxa"/>
            </w:tcMar>
          </w:tcPr>
          <w:p>
            <w:pPr>
              <w:pStyle w:val="TableBody"/>
              <w:keepNext w:val="0"/>
            </w:pPr>
            <w:r>
              <w:rPr>
                <w:b w:val="0"/>
                <w:i w:val="0"/>
              </w:rPr>
              <w:t>Workload card and baseline/data request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Qualified → POC proposed</w:t>
            </w:r>
          </w:p>
        </w:tc>
        <w:tc>
          <w:tcPr>
            <w:tcW w:type="dxa" w:w="3960"/>
            <w:vAlign w:val="center"/>
            <w:shd w:fill="F0F4F6"/>
            <w:tcMar>
              <w:top w:w="65" w:type="dxa"/>
              <w:bottom w:w="65" w:type="dxa"/>
              <w:left w:w="100" w:type="dxa"/>
              <w:right w:w="100" w:type="dxa"/>
            </w:tcMar>
          </w:tcPr>
          <w:p>
            <w:pPr>
              <w:pStyle w:val="TableBody"/>
              <w:keepNext w:val="0"/>
            </w:pPr>
            <w:r>
              <w:rPr>
                <w:b w:val="0"/>
                <w:i w:val="0"/>
              </w:rPr>
              <w:t>Sizing, requirements, responsibilities, data/IP and spend rules</w:t>
            </w:r>
          </w:p>
        </w:tc>
        <w:tc>
          <w:tcPr>
            <w:tcW w:type="dxa" w:w="4090"/>
            <w:vAlign w:val="center"/>
            <w:shd w:fill="F0F4F6"/>
            <w:tcMar>
              <w:top w:w="65" w:type="dxa"/>
              <w:bottom w:w="65" w:type="dxa"/>
              <w:left w:w="100" w:type="dxa"/>
              <w:right w:w="100" w:type="dxa"/>
            </w:tcMar>
          </w:tcPr>
          <w:p>
            <w:pPr>
              <w:pStyle w:val="TableBody"/>
              <w:keepNext w:val="0"/>
            </w:pPr>
            <w:r>
              <w:rPr>
                <w:b w:val="0"/>
                <w:i w:val="0"/>
              </w:rPr>
              <w:t>Internally reviewed charter</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Proposed → active</w:t>
            </w:r>
          </w:p>
        </w:tc>
        <w:tc>
          <w:tcPr>
            <w:tcW w:type="dxa" w:w="3960"/>
            <w:vAlign w:val="center"/>
            <w:shd w:fill="FFFFFF"/>
            <w:tcMar>
              <w:top w:w="65" w:type="dxa"/>
              <w:bottom w:w="65" w:type="dxa"/>
              <w:left w:w="100" w:type="dxa"/>
              <w:right w:w="100" w:type="dxa"/>
            </w:tcMar>
          </w:tcPr>
          <w:p>
            <w:pPr>
              <w:pStyle w:val="TableBody"/>
              <w:keepNext w:val="0"/>
            </w:pPr>
            <w:r>
              <w:rPr>
                <w:b w:val="0"/>
                <w:i w:val="0"/>
              </w:rPr>
              <w:t>Joint agreement and reproducible baseline</w:t>
            </w:r>
          </w:p>
        </w:tc>
        <w:tc>
          <w:tcPr>
            <w:tcW w:type="dxa" w:w="4090"/>
            <w:vAlign w:val="center"/>
            <w:shd w:fill="FFFFFF"/>
            <w:tcMar>
              <w:top w:w="65" w:type="dxa"/>
              <w:bottom w:w="65" w:type="dxa"/>
              <w:left w:w="100" w:type="dxa"/>
              <w:right w:w="100" w:type="dxa"/>
            </w:tcMar>
          </w:tcPr>
          <w:p>
            <w:pPr>
              <w:pStyle w:val="TableBody"/>
              <w:keepNext w:val="0"/>
            </w:pPr>
            <w:r>
              <w:rPr>
                <w:b w:val="0"/>
                <w:i w:val="0"/>
              </w:rPr>
              <w:t>Authorized execution and recorded gates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Active → decision</w:t>
            </w:r>
          </w:p>
        </w:tc>
        <w:tc>
          <w:tcPr>
            <w:tcW w:type="dxa" w:w="3960"/>
            <w:vAlign w:val="center"/>
            <w:shd w:fill="F0F4F6"/>
            <w:tcMar>
              <w:top w:w="65" w:type="dxa"/>
              <w:bottom w:w="65" w:type="dxa"/>
              <w:left w:w="100" w:type="dxa"/>
              <w:right w:w="100" w:type="dxa"/>
            </w:tcMar>
          </w:tcPr>
          <w:p>
            <w:pPr>
              <w:pStyle w:val="TableBody"/>
              <w:keepNext w:val="0"/>
            </w:pPr>
            <w:r>
              <w:rPr>
                <w:b w:val="0"/>
                <w:i w:val="0"/>
              </w:rPr>
              <w:t>Controls, quality, failures, costs, and limits</w:t>
            </w:r>
          </w:p>
        </w:tc>
        <w:tc>
          <w:tcPr>
            <w:tcW w:type="dxa" w:w="4090"/>
            <w:vAlign w:val="center"/>
            <w:shd w:fill="F0F4F6"/>
            <w:tcMar>
              <w:top w:w="65" w:type="dxa"/>
              <w:bottom w:w="65" w:type="dxa"/>
              <w:left w:w="100" w:type="dxa"/>
              <w:right w:w="100" w:type="dxa"/>
            </w:tcMar>
          </w:tcPr>
          <w:p>
            <w:pPr>
              <w:pStyle w:val="TableBody"/>
              <w:keepNext w:val="0"/>
            </w:pPr>
            <w:r>
              <w:rPr>
                <w:b w:val="0"/>
                <w:i w:val="0"/>
              </w:rPr>
              <w:t>Joint written disposition</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Decision → design partner</w:t>
            </w:r>
          </w:p>
        </w:tc>
        <w:tc>
          <w:tcPr>
            <w:tcW w:type="dxa" w:w="3960"/>
            <w:vAlign w:val="center"/>
            <w:shd w:fill="FFFFFF"/>
            <w:tcMar>
              <w:top w:w="65" w:type="dxa"/>
              <w:bottom w:w="65" w:type="dxa"/>
              <w:left w:w="100" w:type="dxa"/>
              <w:right w:w="100" w:type="dxa"/>
            </w:tcMar>
          </w:tcPr>
          <w:p>
            <w:pPr>
              <w:pStyle w:val="TableBody"/>
              <w:keepNext w:val="0"/>
            </w:pPr>
            <w:r>
              <w:rPr>
                <w:b w:val="0"/>
                <w:i w:val="0"/>
              </w:rPr>
              <w:t>Mutual integration/roadmap commitment</w:t>
            </w:r>
          </w:p>
        </w:tc>
        <w:tc>
          <w:tcPr>
            <w:tcW w:type="dxa" w:w="4090"/>
            <w:vAlign w:val="center"/>
            <w:shd w:fill="FFFFFF"/>
            <w:tcMar>
              <w:top w:w="65" w:type="dxa"/>
              <w:bottom w:w="65" w:type="dxa"/>
              <w:left w:w="100" w:type="dxa"/>
              <w:right w:w="100" w:type="dxa"/>
            </w:tcMar>
          </w:tcPr>
          <w:p>
            <w:pPr>
              <w:pStyle w:val="TableBody"/>
              <w:keepNext w:val="0"/>
            </w:pPr>
            <w:r>
              <w:rPr>
                <w:b w:val="0"/>
                <w:i w:val="0"/>
              </w:rPr>
              <w:t>Approved milestones and ownership</w:t>
            </w:r>
          </w:p>
        </w:tc>
      </w:tr>
    </w:tbl>
    <w:p>
      <w:pPr>
        <w:spacing w:after="60" w:before="0" w:line="40" w:lineRule="exact"/>
      </w:pPr>
      <w:r>
        <w:rPr>
          <w:sz w:val="4"/>
        </w:rPr>
      </w:r>
    </w:p>
    <w:p>
      <w:r>
        <w:rPr>
          <w:b w:val="0"/>
          <w:i w:val="0"/>
        </w:rPr>
        <w:t xml:space="preserve">The original three qualified evaluations, two POCs, and one design-partner outcome remain annual goals, not assumptions about customer behavior. </w:t>
      </w:r>
      <w:r>
        <w:rPr>
          <w:b w:val="0"/>
          <w:i w:val="0"/>
        </w:rPr>
        <w:t>[</w:t>
      </w:r>
      <w:r>
        <w:rPr>
          <w:b w:val="0"/>
          <w:i w:val="0"/>
        </w:rPr>
        <w:t>S1 §11]</w:t>
      </w:r>
    </w:p>
    <w:p>
      <w:pPr>
        <w:pStyle w:val="Heading2"/>
      </w:pPr>
      <w:r>
        <w:rPr>
          <w:b w:val="0"/>
          <w:i w:val="0"/>
        </w:rPr>
        <w:t>Preparation and outreach</w:t>
      </w:r>
    </w:p>
    <w:p>
      <w:r>
        <w:rPr>
          <w:b w:val="0"/>
          <w:i w:val="0"/>
        </w:rPr>
        <w:t>Bring the account objective, last actions, workload card, current architecture, approved claim list, three specific questions, and a desired next step. Ask first for a bounded technical workshop and sanitized trace—not a hardware purchase commitment.</w:t>
      </w:r>
    </w:p>
    <w:p>
      <w:pPr>
        <w:pStyle w:val="Heading2"/>
      </w:pPr>
      <w:r>
        <w:rPr>
          <w:b w:val="0"/>
          <w:i w:val="0"/>
        </w:rPr>
        <w:t>Economic evidence required</w:t>
      </w:r>
    </w:p>
    <w:p>
      <w:r>
        <w:rPr>
          <w:b w:val="0"/>
          <w:i w:val="0"/>
        </w:rPr>
        <w:t>Record acquisition or rental basis, usable service capacity, utilization, reserve/replication, power at the agreed boundary, cooling/facilities, support, integration, maintenance, and migration. Calculate cost per accepted task/query/token only when quality and service requirements are matched. Existing hardware that cannot be retired is not immediate savings.</w:t>
      </w:r>
    </w:p>
    <w:p>
      <w:r>
        <w:rPr>
          <w:b w:val="0"/>
          <w:i w:val="0"/>
        </w:rPr>
        <w:t xml:space="preserve">For product economics, request Finance-owned BOM/price/margin and development-cost recovery scenarios. Before quotes or performance exist, publish a </w:t>
      </w:r>
      <w:r>
        <w:rPr>
          <w:b/>
          <w:i w:val="0"/>
        </w:rPr>
        <w:t>price/performance requirement envelope</w:t>
      </w:r>
      <w:r>
        <w:rPr>
          <w:b w:val="0"/>
          <w:i w:val="0"/>
        </w:rPr>
        <w:t xml:space="preserve">, not revenue or savings. Reject a case that wins only by ignoring software, host resources, availability, or device lifecycle. </w:t>
      </w:r>
      <w:r>
        <w:rPr>
          <w:b w:val="0"/>
          <w:i w:val="0"/>
        </w:rPr>
        <w:t>[</w:t>
      </w:r>
      <w:r>
        <w:rPr>
          <w:b w:val="0"/>
          <w:i w:val="0"/>
        </w:rPr>
        <w:t>S6 §§10–12]</w:t>
      </w:r>
    </w:p>
    <w:p>
      <w:r>
        <w:rPr>
          <w:b/>
          <w:i w:val="0"/>
        </w:rPr>
        <w:t>Pause</w:t>
      </w:r>
      <w:r>
        <w:rPr>
          <w:b w:val="0"/>
          <w:i w:val="0"/>
        </w:rPr>
        <w:t xml:space="preserve"> when there is no sponsor, no usable workload detail, no relevant bottleneck, an unowned feature dependency, disproportionate support cost, or a demand for guaranteed unmeasured performance.</w:t>
      </w:r>
    </w:p>
    <w:p>
      <w:r>
        <w:br w:type="page"/>
      </w:r>
    </w:p>
    <w:p>
      <w:pPr>
        <w:pStyle w:val="Kicker"/>
        <w:spacing w:after="140"/>
      </w:pPr>
      <w:r>
        <w:t>PLAN  •  EVIDENCE  •  DECISIONS</w:t>
      </w:r>
    </w:p>
    <w:p>
      <w:bookmarkStart w:id="45" w:name="page_33"/>
      <w:bookmarkStart w:id="44" w:name="sec_12"/>
      <w:pPr>
        <w:pStyle w:val="Heading1"/>
      </w:pPr>
      <w:r>
        <w:t>12. Metrics dashboard: measure useful progress</w:t>
      </w:r>
      <w:bookmarkEnd w:id="44"/>
      <w:bookmarkEnd w:id="45"/>
    </w:p>
    <w:p>
      <w:r>
        <w:rPr>
          <w:b w:val="0"/>
          <w:i w:val="0"/>
        </w:rPr>
        <w:t xml:space="preserve">Review weekly and discuss trends monthly. The original annual outcome targets are retained; new milestone checks make them actionable. Counting documents or videos alone is insufficient. </w:t>
      </w:r>
      <w:r>
        <w:rPr>
          <w:b w:val="0"/>
          <w:i w:val="0"/>
        </w:rPr>
        <w:t>[</w:t>
      </w:r>
      <w:r>
        <w:rPr>
          <w:b w:val="0"/>
          <w:i w:val="0"/>
        </w:rPr>
        <w:t>S1 §12]</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Leading indicator</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Working target</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Evidence</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Protected deep work</w:t>
            </w:r>
          </w:p>
        </w:tc>
        <w:tc>
          <w:tcPr>
            <w:tcW w:type="dxa" w:w="3960"/>
            <w:vAlign w:val="center"/>
            <w:shd w:fill="F0F4F6"/>
            <w:tcMar>
              <w:top w:w="65" w:type="dxa"/>
              <w:bottom w:w="65" w:type="dxa"/>
              <w:left w:w="100" w:type="dxa"/>
              <w:right w:w="100" w:type="dxa"/>
            </w:tcMar>
          </w:tcPr>
          <w:p>
            <w:pPr>
              <w:pStyle w:val="TableBody"/>
              <w:keepNext w:val="0"/>
            </w:pPr>
            <w:r>
              <w:rPr>
                <w:b w:val="0"/>
                <w:i w:val="0"/>
              </w:rPr>
              <w:t>At least 8 h/week; study/apply counts initially</w:t>
            </w:r>
          </w:p>
        </w:tc>
        <w:tc>
          <w:tcPr>
            <w:tcW w:type="dxa" w:w="4090"/>
            <w:vAlign w:val="center"/>
            <w:shd w:fill="F0F4F6"/>
            <w:tcMar>
              <w:top w:w="65" w:type="dxa"/>
              <w:bottom w:w="65" w:type="dxa"/>
              <w:left w:w="100" w:type="dxa"/>
              <w:right w:w="100" w:type="dxa"/>
            </w:tcMar>
          </w:tcPr>
          <w:p>
            <w:pPr>
              <w:pStyle w:val="TableBody"/>
              <w:keepNext w:val="0"/>
            </w:pPr>
            <w:r>
              <w:rPr>
                <w:b w:val="0"/>
                <w:i w:val="0"/>
              </w:rPr>
              <w:t>Calendar blocks plus artifacts, not only bookings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Reproducible increments</w:t>
            </w:r>
          </w:p>
        </w:tc>
        <w:tc>
          <w:tcPr>
            <w:tcW w:type="dxa" w:w="3960"/>
            <w:vAlign w:val="center"/>
            <w:shd w:fill="FFFFFF"/>
            <w:tcMar>
              <w:top w:w="65" w:type="dxa"/>
              <w:bottom w:w="65" w:type="dxa"/>
              <w:left w:w="100" w:type="dxa"/>
              <w:right w:w="100" w:type="dxa"/>
            </w:tcMar>
          </w:tcPr>
          <w:p>
            <w:pPr>
              <w:pStyle w:val="TableBody"/>
              <w:keepNext w:val="0"/>
            </w:pPr>
            <w:r>
              <w:rPr>
                <w:b w:val="0"/>
                <w:i w:val="0"/>
              </w:rPr>
              <w:t>1 in Month 1; 2+/month afterward</w:t>
            </w:r>
          </w:p>
        </w:tc>
        <w:tc>
          <w:tcPr>
            <w:tcW w:type="dxa" w:w="4090"/>
            <w:vAlign w:val="center"/>
            <w:shd w:fill="FFFFFF"/>
            <w:tcMar>
              <w:top w:w="65" w:type="dxa"/>
              <w:bottom w:w="65" w:type="dxa"/>
              <w:left w:w="100" w:type="dxa"/>
              <w:right w:w="100" w:type="dxa"/>
            </w:tcMar>
          </w:tcPr>
          <w:p>
            <w:pPr>
              <w:pStyle w:val="TableBody"/>
              <w:keepNext w:val="0"/>
            </w:pPr>
            <w:r>
              <w:rPr>
                <w:b w:val="0"/>
                <w:i w:val="0"/>
              </w:rPr>
              <w:t>Clean run, trace, configuration, reviewer</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Architecture/runtime decisions</w:t>
            </w:r>
          </w:p>
        </w:tc>
        <w:tc>
          <w:tcPr>
            <w:tcW w:type="dxa" w:w="3960"/>
            <w:vAlign w:val="center"/>
            <w:shd w:fill="F0F4F6"/>
            <w:tcMar>
              <w:top w:w="65" w:type="dxa"/>
              <w:bottom w:w="65" w:type="dxa"/>
              <w:left w:w="100" w:type="dxa"/>
              <w:right w:w="100" w:type="dxa"/>
            </w:tcMar>
          </w:tcPr>
          <w:p>
            <w:pPr>
              <w:pStyle w:val="TableBody"/>
              <w:keepNext w:val="0"/>
            </w:pPr>
            <w:r>
              <w:rPr>
                <w:b w:val="0"/>
                <w:i w:val="0"/>
              </w:rPr>
              <w:t>2+/month after setup</w:t>
            </w:r>
          </w:p>
        </w:tc>
        <w:tc>
          <w:tcPr>
            <w:tcW w:type="dxa" w:w="4090"/>
            <w:vAlign w:val="center"/>
            <w:shd w:fill="F0F4F6"/>
            <w:tcMar>
              <w:top w:w="65" w:type="dxa"/>
              <w:bottom w:w="65" w:type="dxa"/>
              <w:left w:w="100" w:type="dxa"/>
              <w:right w:w="100" w:type="dxa"/>
            </w:tcMar>
          </w:tcPr>
          <w:p>
            <w:pPr>
              <w:pStyle w:val="TableBody"/>
              <w:keepNext w:val="0"/>
            </w:pPr>
            <w:r>
              <w:rPr>
                <w:b w:val="0"/>
                <w:i w:val="0"/>
              </w:rPr>
              <w:t>Recorded option/disposition and owner</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Evidence notes</w:t>
            </w:r>
          </w:p>
        </w:tc>
        <w:tc>
          <w:tcPr>
            <w:tcW w:type="dxa" w:w="3960"/>
            <w:vAlign w:val="center"/>
            <w:shd w:fill="FFFFFF"/>
            <w:tcMar>
              <w:top w:w="65" w:type="dxa"/>
              <w:bottom w:w="65" w:type="dxa"/>
              <w:left w:w="100" w:type="dxa"/>
              <w:right w:w="100" w:type="dxa"/>
            </w:tcMar>
          </w:tcPr>
          <w:p>
            <w:pPr>
              <w:pStyle w:val="TableBody"/>
              <w:keepNext w:val="0"/>
            </w:pPr>
            <w:r>
              <w:rPr>
                <w:b w:val="0"/>
                <w:i w:val="0"/>
              </w:rPr>
              <w:t>Weekly</w:t>
            </w:r>
          </w:p>
        </w:tc>
        <w:tc>
          <w:tcPr>
            <w:tcW w:type="dxa" w:w="4090"/>
            <w:vAlign w:val="center"/>
            <w:shd w:fill="FFFFFF"/>
            <w:tcMar>
              <w:top w:w="65" w:type="dxa"/>
              <w:bottom w:w="65" w:type="dxa"/>
              <w:left w:w="100" w:type="dxa"/>
              <w:right w:w="100" w:type="dxa"/>
            </w:tcMar>
          </w:tcPr>
          <w:p>
            <w:pPr>
              <w:pStyle w:val="TableBody"/>
              <w:keepNext w:val="0"/>
            </w:pPr>
            <w:r>
              <w:rPr>
                <w:b w:val="0"/>
                <w:i w:val="0"/>
              </w:rPr>
              <w:t>What changed, why, and next decision</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Product backlog updates</w:t>
            </w:r>
          </w:p>
        </w:tc>
        <w:tc>
          <w:tcPr>
            <w:tcW w:type="dxa" w:w="3960"/>
            <w:vAlign w:val="center"/>
            <w:shd w:fill="F0F4F6"/>
            <w:tcMar>
              <w:top w:w="65" w:type="dxa"/>
              <w:bottom w:w="65" w:type="dxa"/>
              <w:left w:w="100" w:type="dxa"/>
              <w:right w:w="100" w:type="dxa"/>
            </w:tcMar>
          </w:tcPr>
          <w:p>
            <w:pPr>
              <w:pStyle w:val="TableBody"/>
              <w:keepNext w:val="0"/>
            </w:pPr>
            <w:r>
              <w:rPr>
                <w:b w:val="0"/>
                <w:i w:val="0"/>
              </w:rPr>
              <w:t>2+/month when evidence exists</w:t>
            </w:r>
          </w:p>
        </w:tc>
        <w:tc>
          <w:tcPr>
            <w:tcW w:type="dxa" w:w="4090"/>
            <w:vAlign w:val="center"/>
            <w:shd w:fill="F0F4F6"/>
            <w:tcMar>
              <w:top w:w="65" w:type="dxa"/>
              <w:bottom w:w="65" w:type="dxa"/>
              <w:left w:w="100" w:type="dxa"/>
              <w:right w:w="100" w:type="dxa"/>
            </w:tcMar>
          </w:tcPr>
          <w:p>
            <w:pPr>
              <w:pStyle w:val="TableBody"/>
              <w:keepNext w:val="0"/>
            </w:pPr>
            <w:r>
              <w:rPr>
                <w:b w:val="0"/>
                <w:i w:val="0"/>
              </w:rPr>
              <w:t>Need, acceptance, owner, disposition</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Field/user feedback</w:t>
            </w:r>
          </w:p>
        </w:tc>
        <w:tc>
          <w:tcPr>
            <w:tcW w:type="dxa" w:w="3960"/>
            <w:vAlign w:val="center"/>
            <w:shd w:fill="FFFFFF"/>
            <w:tcMar>
              <w:top w:w="65" w:type="dxa"/>
              <w:bottom w:w="65" w:type="dxa"/>
              <w:left w:w="100" w:type="dxa"/>
              <w:right w:w="100" w:type="dxa"/>
            </w:tcMar>
          </w:tcPr>
          <w:p>
            <w:pPr>
              <w:pStyle w:val="TableBody"/>
              <w:keepNext w:val="0"/>
            </w:pPr>
            <w:r>
              <w:rPr>
                <w:b w:val="0"/>
                <w:i w:val="0"/>
              </w:rPr>
              <w:t>1+/month after an artifact exists</w:t>
            </w:r>
          </w:p>
        </w:tc>
        <w:tc>
          <w:tcPr>
            <w:tcW w:type="dxa" w:w="4090"/>
            <w:vAlign w:val="center"/>
            <w:shd w:fill="FFFFFF"/>
            <w:tcMar>
              <w:top w:w="65" w:type="dxa"/>
              <w:bottom w:w="65" w:type="dxa"/>
              <w:left w:w="100" w:type="dxa"/>
              <w:right w:w="100" w:type="dxa"/>
            </w:tcMar>
          </w:tcPr>
          <w:p>
            <w:pPr>
              <w:pStyle w:val="TableBody"/>
              <w:keepNext w:val="0"/>
            </w:pPr>
            <w:r>
              <w:rPr>
                <w:b w:val="0"/>
                <w:i w:val="0"/>
              </w:rPr>
              <w:t>Observed use and corrections</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Customer sessions</w:t>
            </w:r>
          </w:p>
        </w:tc>
        <w:tc>
          <w:tcPr>
            <w:tcW w:type="dxa" w:w="3960"/>
            <w:vAlign w:val="center"/>
            <w:shd w:fill="F0F4F6"/>
            <w:tcMar>
              <w:top w:w="65" w:type="dxa"/>
              <w:bottom w:w="65" w:type="dxa"/>
              <w:left w:w="100" w:type="dxa"/>
              <w:right w:w="100" w:type="dxa"/>
            </w:tcMar>
          </w:tcPr>
          <w:p>
            <w:pPr>
              <w:pStyle w:val="TableBody"/>
              <w:keepNext w:val="0"/>
            </w:pPr>
            <w:r>
              <w:rPr>
                <w:b w:val="0"/>
                <w:i w:val="0"/>
              </w:rPr>
              <w:t>2–4/month once an active opportunity exists</w:t>
            </w:r>
          </w:p>
        </w:tc>
        <w:tc>
          <w:tcPr>
            <w:tcW w:type="dxa" w:w="4090"/>
            <w:vAlign w:val="center"/>
            <w:shd w:fill="F0F4F6"/>
            <w:tcMar>
              <w:top w:w="65" w:type="dxa"/>
              <w:bottom w:w="65" w:type="dxa"/>
              <w:left w:w="100" w:type="dxa"/>
              <w:right w:w="100" w:type="dxa"/>
            </w:tcMar>
          </w:tcPr>
          <w:p>
            <w:pPr>
              <w:pStyle w:val="TableBody"/>
              <w:keepNext w:val="0"/>
            </w:pPr>
            <w:r>
              <w:rPr>
                <w:b w:val="0"/>
                <w:i w:val="0"/>
              </w:rPr>
              <w:t>Qualified outcomes—not meetings for the quota</w:t>
            </w:r>
          </w:p>
        </w:tc>
      </w:tr>
    </w:tbl>
    <w:p>
      <w:pPr>
        <w:spacing w:after="60" w:before="0" w:line="40" w:lineRule="exact"/>
      </w:pPr>
      <w:r>
        <w:rPr>
          <w:sz w:val="4"/>
        </w:rPr>
      </w:r>
    </w:p>
    <w:p>
      <w:pPr>
        <w:pStyle w:val="Heading2"/>
      </w:pPr>
      <w:r>
        <w:rPr>
          <w:b w:val="0"/>
          <w:i w:val="0"/>
        </w:rPr>
        <w:t>Annual scoreboard</w:t>
      </w:r>
    </w:p>
    <w:p>
      <w:r>
        <w:rPr>
          <w:b w:val="0"/>
          <w:i w:val="0"/>
        </w:rPr>
        <w:t xml:space="preserve">Three qualified evaluations; two completed POCs; one design-partner/shortlist outcome; five approved reference architectures; ten field users enabled and observed; ten requirements dispositioned; two reusable releases or handoffs; four executive decisions enabled. These are original aspirations, dependent on staffing and external readiness. </w:t>
      </w:r>
      <w:r>
        <w:rPr>
          <w:b w:val="0"/>
          <w:i w:val="0"/>
        </w:rPr>
        <w:t>[</w:t>
      </w:r>
      <w:r>
        <w:rPr>
          <w:b w:val="0"/>
          <w:i w:val="0"/>
        </w:rPr>
        <w:t>S1 §12]</w:t>
      </w:r>
    </w:p>
    <w:p>
      <w:pPr>
        <w:pStyle w:val="Heading2"/>
      </w:pPr>
      <w:r>
        <w:rPr>
          <w:b w:val="0"/>
          <w:i w:val="0"/>
        </w:rPr>
        <w:t>Quality indicators and definitions</w:t>
      </w:r>
    </w:p>
    <w:p>
      <w:r>
        <w:rPr>
          <w:b/>
          <w:i w:val="0"/>
        </w:rPr>
        <w:t>Provenance coverage:</w:t>
      </w:r>
      <w:r>
        <w:rPr>
          <w:b w:val="0"/>
          <w:i w:val="0"/>
        </w:rPr>
        <w:t xml:space="preserve"> all product-critical inputs and charts have evidence/source/owner. </w:t>
      </w:r>
      <w:r>
        <w:rPr>
          <w:b/>
          <w:i w:val="0"/>
        </w:rPr>
        <w:t>Reproduction:</w:t>
      </w:r>
      <w:r>
        <w:rPr>
          <w:b w:val="0"/>
          <w:i w:val="0"/>
        </w:rPr>
        <w:t xml:space="preserve"> count attempted versus successful independent runs. </w:t>
      </w:r>
      <w:r>
        <w:rPr>
          <w:b/>
          <w:i w:val="0"/>
        </w:rPr>
        <w:t>Calibration:</w:t>
      </w:r>
      <w:r>
        <w:rPr>
          <w:b w:val="0"/>
          <w:i w:val="0"/>
        </w:rPr>
        <w:t xml:space="preserve"> error by component, workload, and held-out region; no inherited universal accuracy claim. </w:t>
      </w:r>
      <w:r>
        <w:rPr>
          <w:b/>
          <w:i w:val="0"/>
        </w:rPr>
        <w:t>POC discipline:</w:t>
      </w:r>
      <w:r>
        <w:rPr>
          <w:b w:val="0"/>
          <w:i w:val="0"/>
        </w:rPr>
        <w:t xml:space="preserve"> gates agreed before execution. </w:t>
      </w:r>
      <w:r>
        <w:rPr>
          <w:b/>
          <w:i w:val="0"/>
        </w:rPr>
        <w:t>Closure:</w:t>
      </w:r>
      <w:r>
        <w:rPr>
          <w:b w:val="0"/>
          <w:i w:val="0"/>
        </w:rPr>
        <w:t xml:space="preserve"> due actions completed or explicitly replanned. </w:t>
      </w:r>
      <w:r>
        <w:rPr>
          <w:b/>
          <w:i w:val="0"/>
        </w:rPr>
        <w:t>Claim corrections:</w:t>
      </w:r>
      <w:r>
        <w:rPr>
          <w:b w:val="0"/>
          <w:i w:val="0"/>
        </w:rPr>
        <w:t xml:space="preserve"> record withdrawals as risk avoided, not as failure to market.</w:t>
      </w:r>
    </w:p>
    <w:p>
      <w:r>
        <w:rPr>
          <w:b w:val="0"/>
          <w:i w:val="0"/>
        </w:rPr>
        <w:t xml:space="preserve">For a learning skill, record 0–4 proficiency, evidence link, reviewer, and next exercise. For a project milestone, use </w:t>
      </w:r>
      <w:r>
        <w:rPr>
          <w:b/>
          <w:i w:val="0"/>
        </w:rPr>
        <w:t>not started / active / blocked / ready for review / accepted</w:t>
      </w:r>
      <w:r>
        <w:rPr>
          <w:b w:val="0"/>
          <w:i w:val="0"/>
        </w:rPr>
        <w:t>. Do not label “planned” as “green-complete.”</w:t>
      </w:r>
    </w:p>
    <w:p>
      <w:r>
        <w:rPr>
          <w:b/>
          <w:i w:val="0"/>
        </w:rPr>
        <w:t>Monthly dashboard columns:</w:t>
      </w:r>
      <w:r>
        <w:rPr>
          <w:b w:val="0"/>
          <w:i w:val="0"/>
        </w:rPr>
        <w:t xml:space="preserve"> metric; target; actual; evidence link; trend; blocker; next action; owner. Blank or unmeasured values remain blank/NOT RUN—never filled with illustrative numbers to improve the dashboard.</w:t>
      </w:r>
    </w:p>
    <w:p>
      <w:r>
        <w:br w:type="page"/>
      </w:r>
    </w:p>
    <w:p>
      <w:pPr>
        <w:pStyle w:val="Kicker"/>
        <w:spacing w:after="140"/>
      </w:pPr>
      <w:r>
        <w:t>PLAN  •  EVIDENCE  •  DECISIONS</w:t>
      </w:r>
    </w:p>
    <w:p>
      <w:bookmarkStart w:id="47" w:name="page_34"/>
      <w:bookmarkStart w:id="46" w:name="sec_13"/>
      <w:pPr>
        <w:pStyle w:val="Heading1"/>
      </w:pPr>
      <w:r>
        <w:t>13. Personal development and visibility</w:t>
      </w:r>
      <w:bookmarkEnd w:id="46"/>
      <w:bookmarkEnd w:id="47"/>
    </w:p>
    <w:p>
      <w:r>
        <w:rPr>
          <w:b w:val="0"/>
          <w:i w:val="0"/>
        </w:rPr>
        <w:t xml:space="preserve">The purpose of the learning reset is to increase engineering judgment, not to hide a gap. Build confidence by explaining a small system correctly, applying it to a test, and receiving correction. </w:t>
      </w:r>
      <w:r>
        <w:rPr>
          <w:b w:val="0"/>
          <w:i w:val="0"/>
        </w:rPr>
        <w:t>[</w:t>
      </w:r>
      <w:r>
        <w:rPr>
          <w:b w:val="0"/>
          <w:i w:val="0"/>
        </w:rPr>
        <w:t>S1 §13; new learning method]</w:t>
      </w:r>
    </w:p>
    <w:p>
      <w:pPr>
        <w:pStyle w:val="Heading2"/>
      </w:pPr>
      <w:r>
        <w:rPr>
          <w:b w:val="0"/>
          <w:i w:val="0"/>
        </w:rPr>
        <w:t>Internal first</w:t>
      </w:r>
    </w:p>
    <w:p>
      <w:r>
        <w:rPr>
          <w:b w:val="0"/>
          <w:i w:val="0"/>
        </w:rPr>
        <w:t>Present one evidence review per month. Begin with the three-layout map or one causal microtrace; later present calibration, placement, and customer decisions. Ask for feedback from architecture, engineering, product, field, and validation at quarterly checkpoints.</w:t>
      </w:r>
    </w:p>
    <w:p>
      <w:r>
        <w:rPr>
          <w:b w:val="0"/>
          <w:i w:val="0"/>
        </w:rPr>
        <w:t>Mentor one engineer or SA each quarter when you have a method you can teach. In the first quarter, pair-learning is appropriate: contribute software/reproducibility expertise while a hardware colleague supplies platform context.</w:t>
      </w:r>
    </w:p>
    <w:p>
      <w:pPr>
        <w:pStyle w:val="Heading2"/>
      </w:pPr>
      <w:r>
        <w:rPr>
          <w:b w:val="0"/>
          <w:i w:val="0"/>
        </w:rPr>
        <w:t>Impact log</w:t>
      </w:r>
    </w:p>
    <w:p>
      <w:r>
        <w:rPr>
          <w:b w:val="0"/>
          <w:i w:val="0"/>
        </w:rPr>
        <w:t>For each important artifact, record the decision it enabled, who reused it, evidence quality, a limitation exposed, and the contribution of other people. “Created 20 slides” is weaker than “the platform team rejected an unsupported path before procurement.” Do not invent savings for avoided risk without Finance support.</w:t>
      </w:r>
    </w:p>
    <w:p>
      <w:pPr>
        <w:pStyle w:val="Heading2"/>
      </w:pPr>
      <w:r>
        <w:rPr>
          <w:b w:val="0"/>
          <w:i w:val="0"/>
        </w:rPr>
        <w:t>Quarterly conversation with Raj</w:t>
      </w:r>
    </w:p>
    <w:p>
      <w:r>
        <w:rPr>
          <w:b w:val="0"/>
          <w:i w:val="0"/>
        </w:rPr>
        <w:t xml:space="preserve">Which outcomes create the most organizational value? Where am I operating below the role’s expectations? Which next-level scope should I own? Who needs to use my work directly? What evidence is needed for the next talent review? </w:t>
      </w:r>
      <w:r>
        <w:rPr>
          <w:b w:val="0"/>
          <w:i w:val="0"/>
        </w:rPr>
        <w:t>[</w:t>
      </w:r>
      <w:r>
        <w:rPr>
          <w:b w:val="0"/>
          <w:i w:val="0"/>
        </w:rPr>
        <w:t>S1 §13]</w:t>
      </w:r>
    </w:p>
    <w:p>
      <w:pPr>
        <w:pStyle w:val="Heading2"/>
      </w:pPr>
      <w:r>
        <w:rPr>
          <w:b w:val="0"/>
          <w:i w:val="0"/>
        </w:rPr>
        <w:t>External work—only after approval</w:t>
      </w:r>
    </w:p>
    <w:p>
      <w:r>
        <w:rPr>
          <w:b w:val="0"/>
          <w:i w:val="0"/>
        </w:rPr>
        <w:t>Retain the original progression: generic memory-hierarchy methodology; reproducible evaluation methods; approved conference/workshop; runtime/community contribution; joint case study only with written permissions. Do not publish partner constants, customer traces, or unqualified performance claims.</w:t>
      </w:r>
    </w:p>
    <w:p>
      <w:pPr>
        <w:pStyle w:val="Heading2"/>
      </w:pPr>
      <w:r>
        <w:rPr>
          <w:b w:val="0"/>
          <w:i w:val="0"/>
        </w:rPr>
        <w:t>When you feel overwhelmed</w:t>
      </w:r>
    </w:p>
    <w:p>
      <w:r>
        <w:rPr>
          <w:b w:val="0"/>
          <w:i w:val="0"/>
        </w:rPr>
        <w:t>Stop collecting new material. Choose the next physical object or interface you cannot explain. Watch its designated lesson, redraw it, ask one specific question, and save the corrected answer. Return to the weekly three outcomes. Do not use the learning gap as a judgment about your reliability; use the plan to make follow-through observable.</w:t>
      </w:r>
    </w:p>
    <w:p>
      <w:r>
        <w:br w:type="page"/>
      </w:r>
    </w:p>
    <w:p>
      <w:pPr>
        <w:pStyle w:val="Kicker"/>
        <w:spacing w:after="140"/>
      </w:pPr>
      <w:r>
        <w:t>PLAN  •  EVIDENCE  •  DECISIONS</w:t>
      </w:r>
    </w:p>
    <w:p>
      <w:bookmarkStart w:id="49" w:name="page_35"/>
      <w:bookmarkStart w:id="48" w:name="sec_14"/>
      <w:pPr>
        <w:pStyle w:val="Heading1"/>
      </w:pPr>
      <w:r>
        <w:t>14. Risks, stop rules, and contingencies</w:t>
      </w:r>
      <w:bookmarkEnd w:id="48"/>
      <w:bookmarkEnd w:id="49"/>
    </w:p>
    <w:p>
      <w:r>
        <w:rPr>
          <w:b w:val="0"/>
          <w:i w:val="0"/>
        </w:rPr>
        <w:t xml:space="preserve">The register extends the original risks with the new learning, scope, and hardware dependencies. Owners and trigger dates must be assigned in the working register. </w:t>
      </w:r>
      <w:r>
        <w:rPr>
          <w:b w:val="0"/>
          <w:i w:val="0"/>
        </w:rPr>
        <w:t>[</w:t>
      </w:r>
      <w:r>
        <w:rPr>
          <w:b w:val="0"/>
          <w:i w:val="0"/>
        </w:rPr>
        <w:t>S1 §14; S2 §12]</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Risk / trigger</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Response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Hardware concepts remain unclear after the assigned lesson</w:t>
            </w:r>
          </w:p>
        </w:tc>
        <w:tc>
          <w:tcPr>
            <w:tcW w:type="dxa" w:w="7229"/>
            <w:vAlign w:val="center"/>
            <w:shd w:fill="F0F4F6"/>
            <w:tcMar>
              <w:top w:w="65" w:type="dxa"/>
              <w:bottom w:w="65" w:type="dxa"/>
              <w:left w:w="100" w:type="dxa"/>
              <w:right w:w="100" w:type="dxa"/>
            </w:tcMar>
          </w:tcPr>
          <w:p>
            <w:pPr>
              <w:pStyle w:val="TableBody"/>
              <w:keepNext w:val="0"/>
            </w:pPr>
            <w:r>
              <w:rPr>
                <w:b w:val="0"/>
                <w:i w:val="0"/>
              </w:rPr>
              <w:t>Schedule a diagram review; narrow the next task; do not cover the gap with more slides.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Conflicting profiles or product priorities</w:t>
            </w:r>
          </w:p>
        </w:tc>
        <w:tc>
          <w:tcPr>
            <w:tcW w:type="dxa" w:w="7229"/>
            <w:vAlign w:val="center"/>
            <w:shd w:fill="FFFFFF"/>
            <w:tcMar>
              <w:top w:w="65" w:type="dxa"/>
              <w:bottom w:w="65" w:type="dxa"/>
              <w:left w:w="100" w:type="dxa"/>
              <w:right w:w="100" w:type="dxa"/>
            </w:tcMar>
          </w:tcPr>
          <w:p>
            <w:pPr>
              <w:pStyle w:val="TableBody"/>
              <w:keepNext w:val="0"/>
            </w:pPr>
            <w:r>
              <w:rPr>
                <w:b w:val="0"/>
                <w:i w:val="0"/>
              </w:rPr>
              <w:t>Use the controlled source; record an architecture/scope decision and expiry for interim values.</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No modeling support</w:t>
            </w:r>
          </w:p>
        </w:tc>
        <w:tc>
          <w:tcPr>
            <w:tcW w:type="dxa" w:w="7229"/>
            <w:vAlign w:val="center"/>
            <w:shd w:fill="F0F4F6"/>
            <w:tcMar>
              <w:top w:w="65" w:type="dxa"/>
              <w:bottom w:w="65" w:type="dxa"/>
              <w:left w:w="100" w:type="dxa"/>
              <w:right w:w="100" w:type="dxa"/>
            </w:tcMar>
          </w:tcPr>
          <w:p>
            <w:pPr>
              <w:pStyle w:val="TableBody"/>
              <w:keepNext w:val="0"/>
            </w:pPr>
            <w:r>
              <w:rPr>
                <w:b w:val="0"/>
                <w:i w:val="0"/>
              </w:rPr>
              <w:t>Reduce to common resources and one workload adapter; rebaseline dates with Raj.</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Partner artifact delayed, restricted, or narrower than expected</w:t>
            </w:r>
          </w:p>
        </w:tc>
        <w:tc>
          <w:tcPr>
            <w:tcW w:type="dxa" w:w="7229"/>
            <w:vAlign w:val="center"/>
            <w:shd w:fill="FFFFFF"/>
            <w:tcMar>
              <w:top w:w="65" w:type="dxa"/>
              <w:bottom w:w="65" w:type="dxa"/>
              <w:left w:w="100" w:type="dxa"/>
              <w:right w:w="100" w:type="dxa"/>
            </w:tcMar>
          </w:tcPr>
          <w:p>
            <w:pPr>
              <w:pStyle w:val="TableBody"/>
              <w:keepNext w:val="0"/>
            </w:pPr>
            <w:r>
              <w:rPr>
                <w:b w:val="0"/>
                <w:i w:val="0"/>
              </w:rPr>
              <w:t>Continue conventional controls and bridge profiles; preserve tested adapter contract and explicit missing scope.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No credible NPU/HBF timing</w:t>
            </w:r>
          </w:p>
        </w:tc>
        <w:tc>
          <w:tcPr>
            <w:tcW w:type="dxa" w:w="7229"/>
            <w:vAlign w:val="center"/>
            <w:shd w:fill="F0F4F6"/>
            <w:tcMar>
              <w:top w:w="65" w:type="dxa"/>
              <w:bottom w:w="65" w:type="dxa"/>
              <w:left w:w="100" w:type="dxa"/>
              <w:right w:w="100" w:type="dxa"/>
            </w:tcMar>
          </w:tcPr>
          <w:p>
            <w:pPr>
              <w:pStyle w:val="TableBody"/>
              <w:keepNext w:val="0"/>
            </w:pPr>
            <w:r>
              <w:rPr>
                <w:b w:val="0"/>
                <w:i w:val="0"/>
              </w:rPr>
              <w:t>Show required thresholds and sensitivities; do not publish a platform winner.</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Simulator duplicates an available partner capability</w:t>
            </w:r>
          </w:p>
        </w:tc>
        <w:tc>
          <w:tcPr>
            <w:tcW w:type="dxa" w:w="7229"/>
            <w:vAlign w:val="center"/>
            <w:shd w:fill="FFFFFF"/>
            <w:tcMar>
              <w:top w:w="65" w:type="dxa"/>
              <w:bottom w:w="65" w:type="dxa"/>
              <w:left w:w="100" w:type="dxa"/>
              <w:right w:w="100" w:type="dxa"/>
            </w:tcMar>
          </w:tcPr>
          <w:p>
            <w:pPr>
              <w:pStyle w:val="TableBody"/>
              <w:keepNext w:val="0"/>
            </w:pPr>
            <w:r>
              <w:rPr>
                <w:b w:val="0"/>
                <w:i w:val="0"/>
              </w:rPr>
              <w:t>Reuse/adapt it; stop redundant implementation after the scope review.</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OEM cannot support proposed changes</w:t>
            </w:r>
          </w:p>
        </w:tc>
        <w:tc>
          <w:tcPr>
            <w:tcW w:type="dxa" w:w="7229"/>
            <w:vAlign w:val="center"/>
            <w:shd w:fill="F0F4F6"/>
            <w:tcMar>
              <w:top w:w="65" w:type="dxa"/>
              <w:bottom w:w="65" w:type="dxa"/>
              <w:left w:w="100" w:type="dxa"/>
              <w:right w:w="100" w:type="dxa"/>
            </w:tcMar>
          </w:tcPr>
          <w:p>
            <w:pPr>
              <w:pStyle w:val="TableBody"/>
              <w:keepNext w:val="0"/>
            </w:pPr>
            <w:r>
              <w:rPr>
                <w:b w:val="0"/>
                <w:i w:val="0"/>
              </w:rPr>
              <w:t>Use another qualified fixture or maintain separate controls; never claim universal swapping.</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Only the author can run the tool</w:t>
            </w:r>
          </w:p>
        </w:tc>
        <w:tc>
          <w:tcPr>
            <w:tcW w:type="dxa" w:w="7229"/>
            <w:vAlign w:val="center"/>
            <w:shd w:fill="FFFFFF"/>
            <w:tcMar>
              <w:top w:w="65" w:type="dxa"/>
              <w:bottom w:w="65" w:type="dxa"/>
              <w:left w:w="100" w:type="dxa"/>
              <w:right w:w="100" w:type="dxa"/>
            </w:tcMar>
          </w:tcPr>
          <w:p>
            <w:pPr>
              <w:pStyle w:val="TableBody"/>
              <w:keepNext w:val="0"/>
            </w:pPr>
            <w:r>
              <w:rPr>
                <w:b w:val="0"/>
                <w:i w:val="0"/>
              </w:rPr>
              <w:t>Require a second-person reproduction, documentation, and maintainer before wider use.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Benchmark improves only under favorable assumptions</w:t>
            </w:r>
          </w:p>
        </w:tc>
        <w:tc>
          <w:tcPr>
            <w:tcW w:type="dxa" w:w="7229"/>
            <w:vAlign w:val="center"/>
            <w:shd w:fill="F0F4F6"/>
            <w:tcMar>
              <w:top w:w="65" w:type="dxa"/>
              <w:bottom w:w="65" w:type="dxa"/>
              <w:left w:w="100" w:type="dxa"/>
              <w:right w:w="100" w:type="dxa"/>
            </w:tcMar>
          </w:tcPr>
          <w:p>
            <w:pPr>
              <w:pStyle w:val="TableBody"/>
              <w:keepNext w:val="0"/>
            </w:pPr>
            <w:r>
              <w:rPr>
                <w:b w:val="0"/>
                <w:i w:val="0"/>
              </w:rPr>
              <w:t>Add strong controls and no-fit cases; stop or revise the hypothesis.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Too many accounts or research branches</w:t>
            </w:r>
          </w:p>
        </w:tc>
        <w:tc>
          <w:tcPr>
            <w:tcW w:type="dxa" w:w="7229"/>
            <w:vAlign w:val="center"/>
            <w:shd w:fill="FFFFFF"/>
            <w:tcMar>
              <w:top w:w="65" w:type="dxa"/>
              <w:bottom w:w="65" w:type="dxa"/>
              <w:left w:w="100" w:type="dxa"/>
              <w:right w:w="100" w:type="dxa"/>
            </w:tcMar>
          </w:tcPr>
          <w:p>
            <w:pPr>
              <w:pStyle w:val="TableBody"/>
              <w:keepNext w:val="0"/>
            </w:pPr>
            <w:r>
              <w:rPr>
                <w:b w:val="0"/>
                <w:i w:val="0"/>
              </w:rPr>
              <w:t>Limit three active major outcomes; new work displaces or receives added staffing.</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Deep work falls below eight hours/week</w:t>
            </w:r>
          </w:p>
        </w:tc>
        <w:tc>
          <w:tcPr>
            <w:tcW w:type="dxa" w:w="7229"/>
            <w:vAlign w:val="center"/>
            <w:shd w:fill="F0F4F6"/>
            <w:tcMar>
              <w:top w:w="65" w:type="dxa"/>
              <w:bottom w:w="65" w:type="dxa"/>
              <w:left w:w="100" w:type="dxa"/>
              <w:right w:w="100" w:type="dxa"/>
            </w:tcMar>
          </w:tcPr>
          <w:p>
            <w:pPr>
              <w:pStyle w:val="TableBody"/>
              <w:keepNext w:val="0"/>
            </w:pPr>
            <w:r>
              <w:rPr>
                <w:b w:val="0"/>
                <w:i w:val="0"/>
              </w:rPr>
              <w:t>Batch updates and decline optional forums; renegotiate workload.</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Restricted material appears in a broad area</w:t>
            </w:r>
          </w:p>
        </w:tc>
        <w:tc>
          <w:tcPr>
            <w:tcW w:type="dxa" w:w="7229"/>
            <w:vAlign w:val="center"/>
            <w:shd w:fill="FFFFFF"/>
            <w:tcMar>
              <w:top w:w="65" w:type="dxa"/>
              <w:bottom w:w="65" w:type="dxa"/>
              <w:left w:w="100" w:type="dxa"/>
              <w:right w:w="100" w:type="dxa"/>
            </w:tcMar>
          </w:tcPr>
          <w:p>
            <w:pPr>
              <w:pStyle w:val="TableBody"/>
              <w:keepNext w:val="0"/>
            </w:pPr>
            <w:r>
              <w:rPr>
                <w:b w:val="0"/>
                <w:i w:val="0"/>
              </w:rPr>
              <w:t>Stop redistribution; notify authorized owner; follow corporate process.</w:t>
            </w:r>
          </w:p>
        </w:tc>
      </w:tr>
    </w:tbl>
    <w:p>
      <w:pPr>
        <w:spacing w:after="60" w:before="0" w:line="40" w:lineRule="exact"/>
      </w:pPr>
      <w:r>
        <w:rPr>
          <w:sz w:val="4"/>
        </w:rPr>
      </w:r>
    </w:p>
    <w:p>
      <w:pPr>
        <w:pStyle w:val="Heading2"/>
      </w:pPr>
      <w:r>
        <w:rPr>
          <w:b w:val="0"/>
          <w:i w:val="0"/>
        </w:rPr>
        <w:t>Non-negotiable stop conditions</w:t>
      </w:r>
    </w:p>
    <w:p>
      <w:r>
        <w:rPr>
          <w:b w:val="0"/>
          <w:i w:val="0"/>
        </w:rPr>
        <w:t>Do not run unauthorized physical changes or destructive tests. Do not advance a numerical workload when correctness fails. Do not publish customer claims from teaching simulations. Do not promise a date controlled by an unconfirmed external dependency.</w:t>
      </w:r>
    </w:p>
    <w:p>
      <w:r>
        <w:rPr>
          <w:b w:val="0"/>
          <w:i w:val="0"/>
        </w:rPr>
        <w:t>A stopped experiment can still close a product question. Preserve the trace, failed assumption, and recommendation so the organization does not repeat the same mistake.</w:t>
      </w:r>
    </w:p>
    <w:p>
      <w:r>
        <w:br w:type="page"/>
      </w:r>
    </w:p>
    <w:p>
      <w:pPr>
        <w:pStyle w:val="Kicker"/>
        <w:spacing w:after="140"/>
      </w:pPr>
      <w:r>
        <w:t>PLAN  •  EVIDENCE  •  DECISIONS</w:t>
      </w:r>
    </w:p>
    <w:p>
      <w:bookmarkStart w:id="51" w:name="page_36"/>
      <w:bookmarkStart w:id="50" w:name="sec_15"/>
      <w:pPr>
        <w:pStyle w:val="Heading1"/>
      </w:pPr>
      <w:r>
        <w:t>15. Monthly review template</w:t>
      </w:r>
      <w:bookmarkEnd w:id="50"/>
      <w:bookmarkEnd w:id="51"/>
    </w:p>
    <w:p>
      <w:r>
        <w:rPr>
          <w:b w:val="0"/>
          <w:i w:val="0"/>
        </w:rPr>
        <w:t xml:space="preserve">Complete at the final business-day review or the agreed checkpoint. Use one executive page plus linked technical evidence. </w:t>
      </w:r>
      <w:r>
        <w:rPr>
          <w:b w:val="0"/>
          <w:i w:val="0"/>
        </w:rPr>
        <w:t>[</w:t>
      </w:r>
      <w:r>
        <w:rPr>
          <w:b w:val="0"/>
          <w:i w:val="0"/>
        </w:rPr>
        <w:t>S1 §15]</w:t>
      </w:r>
    </w:p>
    <w:p>
      <w:r>
        <w:rPr>
          <w:b/>
          <w:i w:val="0"/>
        </w:rPr>
        <w:t>Period:</w:t>
      </w:r>
      <w:r>
        <w:rPr>
          <w:b w:val="0"/>
          <w:i w:val="0"/>
        </w:rPr>
        <w:t xml:space="preserve"> __________________  </w:t>
      </w:r>
      <w:r>
        <w:rPr>
          <w:b/>
          <w:i w:val="0"/>
        </w:rPr>
        <w:t>Review date:</w:t>
      </w:r>
      <w:r>
        <w:rPr>
          <w:b w:val="0"/>
          <w:i w:val="0"/>
        </w:rPr>
        <w:t xml:space="preserve"> __________________</w:t>
      </w:r>
      <w:r>
        <w:br/>
      </w:r>
      <w:r>
        <w:rPr>
          <w:b/>
          <w:i w:val="0"/>
        </w:rPr>
        <w:t>Owner / sponsor:</w:t>
      </w:r>
      <w:r>
        <w:rPr>
          <w:b w:val="0"/>
          <w:i w:val="0"/>
        </w:rPr>
        <w:t xml:space="preserve"> __________________  </w:t>
      </w:r>
      <w:r>
        <w:rPr>
          <w:b/>
          <w:i w:val="0"/>
        </w:rPr>
        <w:t>Overall stage:</w:t>
      </w:r>
      <w:r>
        <w:rPr>
          <w:b w:val="0"/>
          <w:i w:val="0"/>
        </w:rPr>
        <w:t xml:space="preserve"> __________________</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Review area</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Fill in the decision-relevant facts</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Outcomes</w:t>
            </w:r>
          </w:p>
        </w:tc>
        <w:tc>
          <w:tcPr>
            <w:tcW w:type="dxa" w:w="7229"/>
            <w:vAlign w:val="center"/>
            <w:shd w:fill="F0F4F6"/>
            <w:tcMar>
              <w:top w:w="65" w:type="dxa"/>
              <w:bottom w:w="65" w:type="dxa"/>
              <w:left w:w="100" w:type="dxa"/>
              <w:right w:w="100" w:type="dxa"/>
            </w:tcMar>
          </w:tcPr>
          <w:p>
            <w:pPr>
              <w:pStyle w:val="TableBody"/>
              <w:keepNext w:val="0"/>
            </w:pPr>
            <w:r>
              <w:rPr>
                <w:b w:val="0"/>
                <w:i w:val="0"/>
              </w:rPr>
              <w:t>Which customer, product, or architecture decision moved? Who used an artifact? What was proved/disproved?</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Hardware learning</w:t>
            </w:r>
          </w:p>
        </w:tc>
        <w:tc>
          <w:tcPr>
            <w:tcW w:type="dxa" w:w="7229"/>
            <w:vAlign w:val="center"/>
            <w:shd w:fill="FFFFFF"/>
            <w:tcMar>
              <w:top w:w="65" w:type="dxa"/>
              <w:bottom w:w="65" w:type="dxa"/>
              <w:left w:w="100" w:type="dxa"/>
              <w:right w:w="100" w:type="dxa"/>
            </w:tcMar>
          </w:tcPr>
          <w:p>
            <w:pPr>
              <w:pStyle w:val="TableBody"/>
              <w:keepNext w:val="0"/>
            </w:pPr>
            <w:r>
              <w:rPr>
                <w:b w:val="0"/>
                <w:i w:val="0"/>
              </w:rPr>
              <w:t>Which concepts moved from recognition to explanation/application? Which engineer reviewed the result?</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Measured evidence</w:t>
            </w:r>
          </w:p>
        </w:tc>
        <w:tc>
          <w:tcPr>
            <w:tcW w:type="dxa" w:w="7229"/>
            <w:vAlign w:val="center"/>
            <w:shd w:fill="F0F4F6"/>
            <w:tcMar>
              <w:top w:w="65" w:type="dxa"/>
              <w:bottom w:w="65" w:type="dxa"/>
              <w:left w:w="100" w:type="dxa"/>
              <w:right w:w="100" w:type="dxa"/>
            </w:tcMar>
          </w:tcPr>
          <w:p>
            <w:pPr>
              <w:pStyle w:val="TableBody"/>
              <w:keepNext w:val="0"/>
            </w:pPr>
            <w:r>
              <w:rPr>
                <w:b w:val="0"/>
                <w:i w:val="0"/>
              </w:rPr>
              <w:t>Exact platform, configuration, test boundary, and raw result link</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Modeled evidence</w:t>
            </w:r>
          </w:p>
        </w:tc>
        <w:tc>
          <w:tcPr>
            <w:tcW w:type="dxa" w:w="7229"/>
            <w:vAlign w:val="center"/>
            <w:shd w:fill="FFFFFF"/>
            <w:tcMar>
              <w:top w:w="65" w:type="dxa"/>
              <w:bottom w:w="65" w:type="dxa"/>
              <w:left w:w="100" w:type="dxa"/>
              <w:right w:w="100" w:type="dxa"/>
            </w:tcMar>
          </w:tcPr>
          <w:p>
            <w:pPr>
              <w:pStyle w:val="TableBody"/>
              <w:keepNext w:val="0"/>
            </w:pPr>
            <w:r>
              <w:rPr>
                <w:b w:val="0"/>
                <w:i w:val="0"/>
              </w:rPr>
              <w:t>Model/backend version, assumptions, sensitivity, and permitted conclusion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Quality and calibration</w:t>
            </w:r>
          </w:p>
        </w:tc>
        <w:tc>
          <w:tcPr>
            <w:tcW w:type="dxa" w:w="7229"/>
            <w:vAlign w:val="center"/>
            <w:shd w:fill="F0F4F6"/>
            <w:tcMar>
              <w:top w:w="65" w:type="dxa"/>
              <w:bottom w:w="65" w:type="dxa"/>
              <w:left w:w="100" w:type="dxa"/>
              <w:right w:w="100" w:type="dxa"/>
            </w:tcMar>
          </w:tcPr>
          <w:p>
            <w:pPr>
              <w:pStyle w:val="TableBody"/>
              <w:keepNext w:val="0"/>
            </w:pPr>
            <w:r>
              <w:rPr>
                <w:b w:val="0"/>
                <w:i w:val="0"/>
              </w:rPr>
              <w:t>Reproduction attempts/results; numerical correctness; held-out error; remaining gaps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OEM/partner status</w:t>
            </w:r>
          </w:p>
        </w:tc>
        <w:tc>
          <w:tcPr>
            <w:tcW w:type="dxa" w:w="7229"/>
            <w:vAlign w:val="center"/>
            <w:shd w:fill="FFFFFF"/>
            <w:tcMar>
              <w:top w:w="65" w:type="dxa"/>
              <w:bottom w:w="65" w:type="dxa"/>
              <w:left w:w="100" w:type="dxa"/>
              <w:right w:w="100" w:type="dxa"/>
            </w:tcMar>
          </w:tcPr>
          <w:p>
            <w:pPr>
              <w:pStyle w:val="TableBody"/>
              <w:keepNext w:val="0"/>
            </w:pPr>
            <w:r>
              <w:rPr>
                <w:b w:val="0"/>
                <w:i w:val="0"/>
              </w:rPr>
              <w:t>Current artifact/access versus promised or expected delivery; supported versus unqualified configuration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Customer/product movement</w:t>
            </w:r>
          </w:p>
        </w:tc>
        <w:tc>
          <w:tcPr>
            <w:tcW w:type="dxa" w:w="7229"/>
            <w:vAlign w:val="center"/>
            <w:shd w:fill="F0F4F6"/>
            <w:tcMar>
              <w:top w:w="65" w:type="dxa"/>
              <w:bottom w:w="65" w:type="dxa"/>
              <w:left w:w="100" w:type="dxa"/>
              <w:right w:w="100" w:type="dxa"/>
            </w:tcMar>
          </w:tcPr>
          <w:p>
            <w:pPr>
              <w:pStyle w:val="TableBody"/>
              <w:keepNext w:val="0"/>
            </w:pPr>
            <w:r>
              <w:rPr>
                <w:b w:val="0"/>
                <w:i w:val="0"/>
              </w:rPr>
              <w:t>Actual pipeline stage and requirement dispositions, not speculative account interest</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Time and spend</w:t>
            </w:r>
          </w:p>
        </w:tc>
        <w:tc>
          <w:tcPr>
            <w:tcW w:type="dxa" w:w="7229"/>
            <w:vAlign w:val="center"/>
            <w:shd w:fill="FFFFFF"/>
            <w:tcMar>
              <w:top w:w="65" w:type="dxa"/>
              <w:bottom w:w="65" w:type="dxa"/>
              <w:left w:w="100" w:type="dxa"/>
              <w:right w:w="100" w:type="dxa"/>
            </w:tcMar>
          </w:tcPr>
          <w:p>
            <w:pPr>
              <w:pStyle w:val="TableBody"/>
              <w:keepNext w:val="0"/>
            </w:pPr>
            <w:r>
              <w:rPr>
                <w:b w:val="0"/>
                <w:i w:val="0"/>
              </w:rPr>
              <w:t>Planned/actual allocation; approved spend and remaining ceiling; scope pressure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Claims</w:t>
            </w:r>
          </w:p>
        </w:tc>
        <w:tc>
          <w:tcPr>
            <w:tcW w:type="dxa" w:w="7229"/>
            <w:vAlign w:val="center"/>
            <w:shd w:fill="F0F4F6"/>
            <w:tcMar>
              <w:top w:w="65" w:type="dxa"/>
              <w:bottom w:w="65" w:type="dxa"/>
              <w:left w:w="100" w:type="dxa"/>
              <w:right w:w="100" w:type="dxa"/>
            </w:tcMar>
          </w:tcPr>
          <w:p>
            <w:pPr>
              <w:pStyle w:val="TableBody"/>
              <w:keepNext w:val="0"/>
            </w:pPr>
            <w:r>
              <w:rPr>
                <w:b w:val="0"/>
                <w:i w:val="0"/>
              </w:rPr>
              <w:t>Added, changed, withdrawn, or blocked for external use</w:t>
            </w:r>
          </w:p>
        </w:tc>
      </w:tr>
    </w:tbl>
    <w:p>
      <w:pPr>
        <w:spacing w:after="60" w:before="0" w:line="40" w:lineRule="exact"/>
      </w:pPr>
      <w:r>
        <w:rPr>
          <w:sz w:val="4"/>
        </w:rPr>
      </w:r>
    </w:p>
    <w:p>
      <w:pPr>
        <w:pStyle w:val="Heading2"/>
      </w:pPr>
      <w:r>
        <w:rPr>
          <w:b w:val="0"/>
          <w:i w:val="0"/>
        </w:rPr>
        <w:t>Portfolio disposition</w:t>
      </w:r>
    </w:p>
    <w:p>
      <w:r>
        <w:rPr>
          <w:b/>
          <w:i w:val="0"/>
        </w:rPr>
        <w:t>Continue:</w:t>
      </w:r>
      <w:r>
        <w:rPr>
          <w:b w:val="0"/>
          <w:i w:val="0"/>
        </w:rPr>
        <w:t xml:space="preserve"> __________________  </w:t>
      </w:r>
      <w:r>
        <w:rPr>
          <w:b/>
          <w:i w:val="0"/>
        </w:rPr>
        <w:t>Stop:</w:t>
      </w:r>
      <w:r>
        <w:rPr>
          <w:b w:val="0"/>
          <w:i w:val="0"/>
        </w:rPr>
        <w:t xml:space="preserve"> __________________</w:t>
      </w:r>
      <w:r>
        <w:br/>
      </w:r>
      <w:r>
        <w:rPr>
          <w:b/>
          <w:i w:val="0"/>
        </w:rPr>
        <w:t>Start instead:</w:t>
      </w:r>
      <w:r>
        <w:rPr>
          <w:b w:val="0"/>
          <w:i w:val="0"/>
        </w:rPr>
        <w:t xml:space="preserve"> __________________  </w:t>
      </w:r>
      <w:r>
        <w:rPr>
          <w:b/>
          <w:i w:val="0"/>
        </w:rPr>
        <w:t>Delegate/handoff:</w:t>
      </w:r>
      <w:r>
        <w:rPr>
          <w:b w:val="0"/>
          <w:i w:val="0"/>
        </w:rPr>
        <w:t xml:space="preserve"> __________________</w:t>
      </w:r>
    </w:p>
    <w:p>
      <w:pPr>
        <w:pStyle w:val="Heading2"/>
      </w:pPr>
      <w:r>
        <w:rPr>
          <w:b w:val="0"/>
          <w:i w:val="0"/>
        </w:rPr>
        <w:t>Next-month contract</w:t>
      </w:r>
    </w:p>
    <w:p>
      <w:pPr>
        <w:pStyle w:val="ListNumber"/>
      </w:pPr>
      <w:r>
        <w:rPr>
          <w:b w:val="0"/>
          <w:i w:val="0"/>
        </w:rPr>
        <w:t>Outcome and acceptance evidence: __________________</w:t>
      </w:r>
    </w:p>
    <w:p>
      <w:pPr>
        <w:pStyle w:val="ListNumber"/>
      </w:pPr>
      <w:r>
        <w:rPr>
          <w:b w:val="0"/>
          <w:i w:val="0"/>
        </w:rPr>
        <w:t>Outcome and acceptance evidence: __________________</w:t>
      </w:r>
    </w:p>
    <w:p>
      <w:pPr>
        <w:pStyle w:val="ListNumber"/>
      </w:pPr>
      <w:r>
        <w:rPr>
          <w:b w:val="0"/>
          <w:i w:val="0"/>
        </w:rPr>
        <w:t>Outcome and acceptance evidence: __________________</w:t>
      </w:r>
    </w:p>
    <w:p>
      <w:r>
        <w:rPr>
          <w:b/>
          <w:i w:val="0"/>
        </w:rPr>
        <w:t>Explicit non-goals:</w:t>
      </w:r>
      <w:r>
        <w:rPr>
          <w:b w:val="0"/>
          <w:i w:val="0"/>
        </w:rPr>
        <w:t xml:space="preserve"> __________________</w:t>
      </w:r>
      <w:r>
        <w:br/>
      </w:r>
      <w:r>
        <w:rPr>
          <w:b/>
          <w:i w:val="0"/>
        </w:rPr>
        <w:t>People/access/decision required:</w:t>
      </w:r>
      <w:r>
        <w:rPr>
          <w:b w:val="0"/>
          <w:i w:val="0"/>
        </w:rPr>
        <w:t xml:space="preserve"> __________________</w:t>
      </w:r>
      <w:r>
        <w:br/>
      </w:r>
      <w:r>
        <w:rPr>
          <w:b/>
          <w:i w:val="0"/>
        </w:rPr>
        <w:t>Owner and due date for each blocker:</w:t>
      </w:r>
      <w:r>
        <w:rPr>
          <w:b w:val="0"/>
          <w:i w:val="0"/>
        </w:rPr>
        <w:t xml:space="preserve"> __________________</w:t>
      </w:r>
    </w:p>
    <w:p>
      <w:pPr>
        <w:pStyle w:val="Heading2"/>
      </w:pPr>
      <w:r>
        <w:rPr>
          <w:b w:val="0"/>
          <w:i w:val="0"/>
        </w:rPr>
        <w:t>Sponsor decision</w:t>
      </w:r>
    </w:p>
    <w:p>
      <w:r>
        <w:rPr>
          <w:b/>
          <w:i w:val="0"/>
        </w:rPr>
        <w:t>Advance / hold / rescope / stop:</w:t>
      </w:r>
      <w:r>
        <w:rPr>
          <w:b w:val="0"/>
          <w:i w:val="0"/>
        </w:rPr>
        <w:t xml:space="preserve"> __________________</w:t>
      </w:r>
      <w:r>
        <w:br/>
      </w:r>
      <w:r>
        <w:rPr>
          <w:b/>
          <w:i w:val="0"/>
        </w:rPr>
        <w:t>Rationale and evidence link:</w:t>
      </w:r>
      <w:r>
        <w:rPr>
          <w:b w:val="0"/>
          <w:i w:val="0"/>
        </w:rPr>
        <w:t xml:space="preserve"> __________________</w:t>
      </w:r>
      <w:r>
        <w:br/>
      </w:r>
      <w:r>
        <w:rPr>
          <w:b/>
          <w:i w:val="0"/>
        </w:rPr>
        <w:t>Next review:</w:t>
      </w:r>
      <w:r>
        <w:rPr>
          <w:b w:val="0"/>
          <w:i w:val="0"/>
        </w:rPr>
        <w:t xml:space="preserve"> __________________</w:t>
      </w:r>
    </w:p>
    <w:p>
      <w:r>
        <w:br w:type="page"/>
      </w:r>
    </w:p>
    <w:p>
      <w:pPr>
        <w:pStyle w:val="Kicker"/>
        <w:spacing w:after="140"/>
      </w:pPr>
      <w:r>
        <w:t>PLAN  •  EVIDENCE  •  DECISIONS</w:t>
      </w:r>
    </w:p>
    <w:p>
      <w:bookmarkStart w:id="53" w:name="page_37"/>
      <w:bookmarkStart w:id="52" w:name="sec_16"/>
      <w:pPr>
        <w:pStyle w:val="Heading1"/>
      </w:pPr>
      <w:r>
        <w:t>16. Weekly planning template and first-week example</w:t>
      </w:r>
      <w:bookmarkEnd w:id="52"/>
      <w:bookmarkEnd w:id="53"/>
    </w:p>
    <w:p>
      <w:r>
        <w:rPr>
          <w:b w:val="0"/>
          <w:i w:val="0"/>
        </w:rPr>
        <w:t xml:space="preserve">Use the original one-week contract, now explicitly linking learning to applied work. Do not add tasks merely to fill every row. </w:t>
      </w:r>
      <w:r>
        <w:rPr>
          <w:b w:val="0"/>
          <w:i w:val="0"/>
        </w:rPr>
        <w:t>[</w:t>
      </w:r>
      <w:r>
        <w:rPr>
          <w:b w:val="0"/>
          <w:i w:val="0"/>
        </w:rPr>
        <w:t>S1 §16]</w:t>
      </w:r>
    </w:p>
    <w:p>
      <w:r>
        <w:rPr>
          <w:b/>
          <w:i w:val="0"/>
        </w:rPr>
        <w:t>Week of:</w:t>
      </w:r>
      <w:r>
        <w:rPr>
          <w:b w:val="0"/>
          <w:i w:val="0"/>
        </w:rPr>
        <w:t xml:space="preserve"> __________________</w:t>
      </w:r>
      <w:r>
        <w:br/>
      </w:r>
      <w:r>
        <w:rPr>
          <w:b/>
          <w:i w:val="0"/>
        </w:rPr>
        <w:t>This week succeeds if:</w:t>
      </w:r>
      <w:r>
        <w:rPr>
          <w:b w:val="0"/>
          <w:i w:val="0"/>
        </w:rPr>
        <w:t xml:space="preserve"> ______________________________________________</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016"/>
        <w:gridCol w:w="2448"/>
        <w:gridCol w:w="2909"/>
        <w:gridCol w:w="2909"/>
      </w:tblGrid>
      <w:tr>
        <w:trPr>
          <w:cantSplit/>
          <w:tblHeader w:val="true"/>
        </w:trPr>
        <w:tc>
          <w:tcPr>
            <w:tcW w:type="dxa" w:w="2016"/>
            <w:vAlign w:val="center"/>
            <w:shd w:fill="173047"/>
            <w:tcMar>
              <w:top w:w="65" w:type="dxa"/>
              <w:bottom w:w="65" w:type="dxa"/>
              <w:left w:w="100" w:type="dxa"/>
              <w:right w:w="100" w:type="dxa"/>
            </w:tcMar>
          </w:tcPr>
          <w:p>
            <w:pPr>
              <w:pStyle w:val="TableHead"/>
              <w:keepNext w:val="0"/>
            </w:pPr>
            <w:r>
              <w:rPr>
                <w:b/>
                <w:i w:val="0"/>
                <w:color w:val="FFFFFF"/>
              </w:rPr>
              <w:t>Priority</w:t>
            </w:r>
          </w:p>
        </w:tc>
        <w:tc>
          <w:tcPr>
            <w:tcW w:type="dxa" w:w="2448"/>
            <w:vAlign w:val="center"/>
            <w:shd w:fill="173047"/>
            <w:tcMar>
              <w:top w:w="65" w:type="dxa"/>
              <w:bottom w:w="65" w:type="dxa"/>
              <w:left w:w="100" w:type="dxa"/>
              <w:right w:w="100" w:type="dxa"/>
            </w:tcMar>
          </w:tcPr>
          <w:p>
            <w:pPr>
              <w:pStyle w:val="TableHead"/>
              <w:keepNext w:val="0"/>
            </w:pPr>
            <w:r>
              <w:rPr>
                <w:b/>
                <w:i w:val="0"/>
                <w:color w:val="FFFFFF"/>
              </w:rPr>
              <w:t>Deliverable and evidence</w:t>
            </w:r>
          </w:p>
        </w:tc>
        <w:tc>
          <w:tcPr>
            <w:tcW w:type="dxa" w:w="2909"/>
            <w:vAlign w:val="center"/>
            <w:shd w:fill="173047"/>
            <w:tcMar>
              <w:top w:w="65" w:type="dxa"/>
              <w:bottom w:w="65" w:type="dxa"/>
              <w:left w:w="100" w:type="dxa"/>
              <w:right w:w="100" w:type="dxa"/>
            </w:tcMar>
          </w:tcPr>
          <w:p>
            <w:pPr>
              <w:pStyle w:val="TableHead"/>
              <w:keepNext w:val="0"/>
            </w:pPr>
            <w:r>
              <w:rPr>
                <w:b/>
                <w:i w:val="0"/>
                <w:color w:val="FFFFFF"/>
              </w:rPr>
              <w:t>Consumer / due</w:t>
            </w:r>
          </w:p>
        </w:tc>
        <w:tc>
          <w:tcPr>
            <w:tcW w:type="dxa" w:w="2909"/>
            <w:vAlign w:val="center"/>
            <w:shd w:fill="173047"/>
            <w:tcMar>
              <w:top w:w="65" w:type="dxa"/>
              <w:bottom w:w="65" w:type="dxa"/>
              <w:left w:w="100" w:type="dxa"/>
              <w:right w:w="100" w:type="dxa"/>
            </w:tcMar>
          </w:tcPr>
          <w:p>
            <w:pPr>
              <w:pStyle w:val="TableHead"/>
              <w:keepNext w:val="0"/>
            </w:pPr>
            <w:r>
              <w:rPr>
                <w:b/>
                <w:i w:val="0"/>
                <w:color w:val="FFFFFF"/>
              </w:rPr>
              <w:t>Status</w:t>
            </w:r>
          </w:p>
        </w:tc>
      </w:tr>
      <w:tr>
        <w:trPr>
          <w:cantSplit/>
        </w:trPr>
        <w:tc>
          <w:tcPr>
            <w:tcW w:type="dxa" w:w="2016"/>
            <w:vAlign w:val="center"/>
            <w:shd w:fill="F0F4F6"/>
            <w:tcMar>
              <w:top w:w="65" w:type="dxa"/>
              <w:bottom w:w="65" w:type="dxa"/>
              <w:left w:w="100" w:type="dxa"/>
              <w:right w:w="100" w:type="dxa"/>
            </w:tcMar>
          </w:tcPr>
          <w:p>
            <w:pPr>
              <w:pStyle w:val="TableBody"/>
              <w:keepNext w:val="0"/>
            </w:pPr>
            <w:r>
              <w:rPr>
                <w:b w:val="0"/>
                <w:i w:val="0"/>
              </w:rPr>
              <w:t>1</w:t>
            </w:r>
          </w:p>
        </w:tc>
        <w:tc>
          <w:tcPr>
            <w:tcW w:type="dxa" w:w="2448"/>
            <w:vAlign w:val="center"/>
            <w:shd w:fill="F0F4F6"/>
            <w:tcMar>
              <w:top w:w="65" w:type="dxa"/>
              <w:bottom w:w="65" w:type="dxa"/>
              <w:left w:w="100" w:type="dxa"/>
              <w:right w:w="100" w:type="dxa"/>
            </w:tcMar>
          </w:tcPr>
          <w:p>
            <w:pPr>
              <w:pStyle w:val="TableBody"/>
              <w:keepNext w:val="0"/>
            </w:pPr>
            <w:r>
              <w:rPr>
                <w:b w:val="0"/>
                <w:i w:val="0"/>
              </w:rPr>
              <w:t>__________________________</w:t>
            </w:r>
          </w:p>
        </w:tc>
        <w:tc>
          <w:tcPr>
            <w:tcW w:type="dxa" w:w="2909"/>
            <w:vAlign w:val="center"/>
            <w:shd w:fill="F0F4F6"/>
            <w:tcMar>
              <w:top w:w="65" w:type="dxa"/>
              <w:bottom w:w="65" w:type="dxa"/>
              <w:left w:w="100" w:type="dxa"/>
              <w:right w:w="100" w:type="dxa"/>
            </w:tcMar>
          </w:tcPr>
          <w:p>
            <w:pPr>
              <w:pStyle w:val="TableBody"/>
              <w:keepNext w:val="0"/>
            </w:pPr>
            <w:r>
              <w:rPr>
                <w:b w:val="0"/>
                <w:i w:val="0"/>
              </w:rPr>
              <w:t>______________</w:t>
            </w:r>
          </w:p>
        </w:tc>
        <w:tc>
          <w:tcPr>
            <w:tcW w:type="dxa" w:w="2909"/>
            <w:vAlign w:val="center"/>
            <w:shd w:fill="F0F4F6"/>
            <w:tcMar>
              <w:top w:w="65" w:type="dxa"/>
              <w:bottom w:w="65" w:type="dxa"/>
              <w:left w:w="100" w:type="dxa"/>
              <w:right w:w="100" w:type="dxa"/>
            </w:tcMar>
          </w:tcPr>
          <w:p>
            <w:pPr>
              <w:pStyle w:val="TableBody"/>
              <w:keepNext w:val="0"/>
            </w:pPr>
            <w:r>
              <w:rPr>
                <w:b w:val="0"/>
                <w:i w:val="0"/>
              </w:rPr>
              <w:t>__________</w:t>
            </w:r>
          </w:p>
        </w:tc>
      </w:tr>
      <w:tr>
        <w:trPr>
          <w:cantSplit/>
        </w:trPr>
        <w:tc>
          <w:tcPr>
            <w:tcW w:type="dxa" w:w="2016"/>
            <w:vAlign w:val="center"/>
            <w:shd w:fill="FFFFFF"/>
            <w:tcMar>
              <w:top w:w="65" w:type="dxa"/>
              <w:bottom w:w="65" w:type="dxa"/>
              <w:left w:w="100" w:type="dxa"/>
              <w:right w:w="100" w:type="dxa"/>
            </w:tcMar>
          </w:tcPr>
          <w:p>
            <w:pPr>
              <w:pStyle w:val="TableBody"/>
              <w:keepNext w:val="0"/>
            </w:pPr>
            <w:r>
              <w:rPr>
                <w:b w:val="0"/>
                <w:i w:val="0"/>
              </w:rPr>
              <w:t>2</w:t>
            </w:r>
          </w:p>
        </w:tc>
        <w:tc>
          <w:tcPr>
            <w:tcW w:type="dxa" w:w="2448"/>
            <w:vAlign w:val="center"/>
            <w:shd w:fill="FFFFFF"/>
            <w:tcMar>
              <w:top w:w="65" w:type="dxa"/>
              <w:bottom w:w="65" w:type="dxa"/>
              <w:left w:w="100" w:type="dxa"/>
              <w:right w:w="100" w:type="dxa"/>
            </w:tcMar>
          </w:tcPr>
          <w:p>
            <w:pPr>
              <w:pStyle w:val="TableBody"/>
              <w:keepNext w:val="0"/>
            </w:pPr>
            <w:r>
              <w:rPr>
                <w:b w:val="0"/>
                <w:i w:val="0"/>
              </w:rPr>
              <w:t>__________________________</w:t>
            </w:r>
          </w:p>
        </w:tc>
        <w:tc>
          <w:tcPr>
            <w:tcW w:type="dxa" w:w="2909"/>
            <w:vAlign w:val="center"/>
            <w:shd w:fill="FFFFFF"/>
            <w:tcMar>
              <w:top w:w="65" w:type="dxa"/>
              <w:bottom w:w="65" w:type="dxa"/>
              <w:left w:w="100" w:type="dxa"/>
              <w:right w:w="100" w:type="dxa"/>
            </w:tcMar>
          </w:tcPr>
          <w:p>
            <w:pPr>
              <w:pStyle w:val="TableBody"/>
              <w:keepNext w:val="0"/>
            </w:pPr>
            <w:r>
              <w:rPr>
                <w:b w:val="0"/>
                <w:i w:val="0"/>
              </w:rPr>
              <w:t>______________</w:t>
            </w:r>
          </w:p>
        </w:tc>
        <w:tc>
          <w:tcPr>
            <w:tcW w:type="dxa" w:w="2909"/>
            <w:vAlign w:val="center"/>
            <w:shd w:fill="FFFFFF"/>
            <w:tcMar>
              <w:top w:w="65" w:type="dxa"/>
              <w:bottom w:w="65" w:type="dxa"/>
              <w:left w:w="100" w:type="dxa"/>
              <w:right w:w="100" w:type="dxa"/>
            </w:tcMar>
          </w:tcPr>
          <w:p>
            <w:pPr>
              <w:pStyle w:val="TableBody"/>
              <w:keepNext w:val="0"/>
            </w:pPr>
            <w:r>
              <w:rPr>
                <w:b w:val="0"/>
                <w:i w:val="0"/>
              </w:rPr>
              <w:t>__________</w:t>
            </w:r>
          </w:p>
        </w:tc>
      </w:tr>
      <w:tr>
        <w:trPr>
          <w:cantSplit/>
        </w:trPr>
        <w:tc>
          <w:tcPr>
            <w:tcW w:type="dxa" w:w="2016"/>
            <w:vAlign w:val="center"/>
            <w:shd w:fill="F0F4F6"/>
            <w:tcMar>
              <w:top w:w="65" w:type="dxa"/>
              <w:bottom w:w="65" w:type="dxa"/>
              <w:left w:w="100" w:type="dxa"/>
              <w:right w:w="100" w:type="dxa"/>
            </w:tcMar>
          </w:tcPr>
          <w:p>
            <w:pPr>
              <w:pStyle w:val="TableBody"/>
              <w:keepNext w:val="0"/>
            </w:pPr>
            <w:r>
              <w:rPr>
                <w:b w:val="0"/>
                <w:i w:val="0"/>
              </w:rPr>
              <w:t>3</w:t>
            </w:r>
          </w:p>
        </w:tc>
        <w:tc>
          <w:tcPr>
            <w:tcW w:type="dxa" w:w="2448"/>
            <w:vAlign w:val="center"/>
            <w:shd w:fill="F0F4F6"/>
            <w:tcMar>
              <w:top w:w="65" w:type="dxa"/>
              <w:bottom w:w="65" w:type="dxa"/>
              <w:left w:w="100" w:type="dxa"/>
              <w:right w:w="100" w:type="dxa"/>
            </w:tcMar>
          </w:tcPr>
          <w:p>
            <w:pPr>
              <w:pStyle w:val="TableBody"/>
              <w:keepNext w:val="0"/>
            </w:pPr>
            <w:r>
              <w:rPr>
                <w:b w:val="0"/>
                <w:i w:val="0"/>
              </w:rPr>
              <w:t>__________________________</w:t>
            </w:r>
          </w:p>
        </w:tc>
        <w:tc>
          <w:tcPr>
            <w:tcW w:type="dxa" w:w="2909"/>
            <w:vAlign w:val="center"/>
            <w:shd w:fill="F0F4F6"/>
            <w:tcMar>
              <w:top w:w="65" w:type="dxa"/>
              <w:bottom w:w="65" w:type="dxa"/>
              <w:left w:w="100" w:type="dxa"/>
              <w:right w:w="100" w:type="dxa"/>
            </w:tcMar>
          </w:tcPr>
          <w:p>
            <w:pPr>
              <w:pStyle w:val="TableBody"/>
              <w:keepNext w:val="0"/>
            </w:pPr>
            <w:r>
              <w:rPr>
                <w:b w:val="0"/>
                <w:i w:val="0"/>
              </w:rPr>
              <w:t>______________</w:t>
            </w:r>
          </w:p>
        </w:tc>
        <w:tc>
          <w:tcPr>
            <w:tcW w:type="dxa" w:w="2909"/>
            <w:vAlign w:val="center"/>
            <w:shd w:fill="F0F4F6"/>
            <w:tcMar>
              <w:top w:w="65" w:type="dxa"/>
              <w:bottom w:w="65" w:type="dxa"/>
              <w:left w:w="100" w:type="dxa"/>
              <w:right w:w="100" w:type="dxa"/>
            </w:tcMar>
          </w:tcPr>
          <w:p>
            <w:pPr>
              <w:pStyle w:val="TableBody"/>
              <w:keepNext w:val="0"/>
            </w:pPr>
            <w:r>
              <w:rPr>
                <w:b w:val="0"/>
                <w:i w:val="0"/>
              </w:rPr>
              <w:t>__________</w:t>
            </w:r>
          </w:p>
        </w:tc>
      </w:tr>
    </w:tbl>
    <w:p>
      <w:pPr>
        <w:spacing w:after="60" w:before="0" w:line="40" w:lineRule="exact"/>
      </w:pPr>
      <w:r>
        <w:rPr>
          <w:sz w:val="4"/>
        </w:rPr>
      </w:r>
    </w:p>
    <w:p>
      <w:r>
        <w:rPr>
          <w:b/>
          <w:i w:val="0"/>
        </w:rPr>
        <w:t>Protected blocks:</w:t>
      </w:r>
      <w:r>
        <w:rPr>
          <w:b w:val="0"/>
          <w:i w:val="0"/>
        </w:rPr>
        <w:t xml:space="preserve"> __________________  </w:t>
      </w:r>
      <w:r>
        <w:rPr>
          <w:b/>
          <w:i w:val="0"/>
        </w:rPr>
        <w:t>Lessons and application:</w:t>
      </w:r>
      <w:r>
        <w:rPr>
          <w:b w:val="0"/>
          <w:i w:val="0"/>
        </w:rPr>
        <w:t xml:space="preserve"> __________________</w:t>
      </w:r>
      <w:r>
        <w:br/>
      </w:r>
      <w:r>
        <w:rPr>
          <w:b/>
          <w:i w:val="0"/>
        </w:rPr>
        <w:t>Pre-reads / reviews:</w:t>
      </w:r>
      <w:r>
        <w:rPr>
          <w:b w:val="0"/>
          <w:i w:val="0"/>
        </w:rPr>
        <w:t xml:space="preserve"> __________________  </w:t>
      </w:r>
      <w:r>
        <w:rPr>
          <w:b/>
          <w:i w:val="0"/>
        </w:rPr>
        <w:t>Customer follow-up:</w:t>
      </w:r>
      <w:r>
        <w:rPr>
          <w:b w:val="0"/>
          <w:i w:val="0"/>
        </w:rPr>
        <w:t xml:space="preserve"> __________________</w:t>
      </w:r>
      <w:r>
        <w:br/>
      </w:r>
      <w:r>
        <w:rPr>
          <w:b/>
          <w:i w:val="0"/>
        </w:rPr>
        <w:t>Risk to escalate:</w:t>
      </w:r>
      <w:r>
        <w:rPr>
          <w:b w:val="0"/>
          <w:i w:val="0"/>
        </w:rPr>
        <w:t xml:space="preserve"> __________________  </w:t>
      </w:r>
      <w:r>
        <w:rPr>
          <w:b/>
          <w:i w:val="0"/>
        </w:rPr>
        <w:t>Work deferred:</w:t>
      </w:r>
      <w:r>
        <w:rPr>
          <w:b w:val="0"/>
          <w:i w:val="0"/>
        </w:rPr>
        <w:t xml:space="preserve"> __________________</w:t>
      </w:r>
    </w:p>
    <w:p>
      <w:pPr>
        <w:pStyle w:val="Heading2"/>
      </w:pPr>
      <w:r>
        <w:rPr>
          <w:b w:val="0"/>
          <w:i w:val="0"/>
        </w:rPr>
        <w:t>Filled example: first week of the reset</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232"/>
        <w:gridCol w:w="3960"/>
        <w:gridCol w:w="4090"/>
      </w:tblGrid>
      <w:tr>
        <w:trPr>
          <w:cantSplit/>
          <w:tblHeader w:val="true"/>
        </w:trPr>
        <w:tc>
          <w:tcPr>
            <w:tcW w:type="dxa" w:w="2232"/>
            <w:vAlign w:val="center"/>
            <w:shd w:fill="173047"/>
            <w:tcMar>
              <w:top w:w="65" w:type="dxa"/>
              <w:bottom w:w="65" w:type="dxa"/>
              <w:left w:w="100" w:type="dxa"/>
              <w:right w:w="100" w:type="dxa"/>
            </w:tcMar>
          </w:tcPr>
          <w:p>
            <w:pPr>
              <w:pStyle w:val="TableHead"/>
              <w:keepNext w:val="0"/>
            </w:pPr>
            <w:r>
              <w:rPr>
                <w:b/>
                <w:i w:val="0"/>
                <w:color w:val="FFFFFF"/>
              </w:rPr>
              <w:t>Priority</w:t>
            </w:r>
          </w:p>
        </w:tc>
        <w:tc>
          <w:tcPr>
            <w:tcW w:type="dxa" w:w="3960"/>
            <w:vAlign w:val="center"/>
            <w:shd w:fill="173047"/>
            <w:tcMar>
              <w:top w:w="65" w:type="dxa"/>
              <w:bottom w:w="65" w:type="dxa"/>
              <w:left w:w="100" w:type="dxa"/>
              <w:right w:w="100" w:type="dxa"/>
            </w:tcMar>
          </w:tcPr>
          <w:p>
            <w:pPr>
              <w:pStyle w:val="TableHead"/>
              <w:keepNext w:val="0"/>
            </w:pPr>
            <w:r>
              <w:rPr>
                <w:b/>
                <w:i w:val="0"/>
                <w:color w:val="FFFFFF"/>
              </w:rPr>
              <w:t>Deliverable</w:t>
            </w:r>
          </w:p>
        </w:tc>
        <w:tc>
          <w:tcPr>
            <w:tcW w:type="dxa" w:w="4090"/>
            <w:vAlign w:val="center"/>
            <w:shd w:fill="173047"/>
            <w:tcMar>
              <w:top w:w="65" w:type="dxa"/>
              <w:bottom w:w="65" w:type="dxa"/>
              <w:left w:w="100" w:type="dxa"/>
              <w:right w:w="100" w:type="dxa"/>
            </w:tcMar>
          </w:tcPr>
          <w:p>
            <w:pPr>
              <w:pStyle w:val="TableHead"/>
              <w:keepNext w:val="0"/>
            </w:pPr>
            <w:r>
              <w:rPr>
                <w:b/>
                <w:i w:val="0"/>
                <w:color w:val="FFFFFF"/>
              </w:rPr>
              <w:t>Consumer and finish test</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1</w:t>
            </w:r>
          </w:p>
        </w:tc>
        <w:tc>
          <w:tcPr>
            <w:tcW w:type="dxa" w:w="3960"/>
            <w:vAlign w:val="center"/>
            <w:shd w:fill="F0F4F6"/>
            <w:tcMar>
              <w:top w:w="65" w:type="dxa"/>
              <w:bottom w:w="65" w:type="dxa"/>
              <w:left w:w="100" w:type="dxa"/>
              <w:right w:w="100" w:type="dxa"/>
            </w:tcMar>
          </w:tcPr>
          <w:p>
            <w:pPr>
              <w:pStyle w:val="TableBody"/>
              <w:keepNext w:val="0"/>
            </w:pPr>
            <w:r>
              <w:rPr>
                <w:b w:val="0"/>
                <w:i w:val="0"/>
              </w:rPr>
              <w:t>Learning lessons 1–3, 5, 7, followed by a labeled ordinary-server map</w:t>
            </w:r>
          </w:p>
        </w:tc>
        <w:tc>
          <w:tcPr>
            <w:tcW w:type="dxa" w:w="4090"/>
            <w:vAlign w:val="center"/>
            <w:shd w:fill="F0F4F6"/>
            <w:tcMar>
              <w:top w:w="65" w:type="dxa"/>
              <w:bottom w:w="65" w:type="dxa"/>
              <w:left w:w="100" w:type="dxa"/>
              <w:right w:w="100" w:type="dxa"/>
            </w:tcMar>
          </w:tcPr>
          <w:p>
            <w:pPr>
              <w:pStyle w:val="TableBody"/>
              <w:keepNext w:val="0"/>
            </w:pPr>
            <w:r>
              <w:rPr>
                <w:b w:val="0"/>
                <w:i w:val="0"/>
              </w:rPr>
              <w:t>Hardware mentor can identify and correct the explained parts.</w:t>
            </w:r>
          </w:p>
        </w:tc>
      </w:tr>
      <w:tr>
        <w:trPr>
          <w:cantSplit/>
        </w:trPr>
        <w:tc>
          <w:tcPr>
            <w:tcW w:type="dxa" w:w="2232"/>
            <w:vAlign w:val="center"/>
            <w:shd w:fill="FFFFFF"/>
            <w:tcMar>
              <w:top w:w="65" w:type="dxa"/>
              <w:bottom w:w="65" w:type="dxa"/>
              <w:left w:w="100" w:type="dxa"/>
              <w:right w:w="100" w:type="dxa"/>
            </w:tcMar>
          </w:tcPr>
          <w:p>
            <w:pPr>
              <w:pStyle w:val="TableBody"/>
              <w:keepNext w:val="0"/>
            </w:pPr>
            <w:r>
              <w:rPr>
                <w:b w:val="0"/>
                <w:i w:val="0"/>
              </w:rPr>
              <w:t>2</w:t>
            </w:r>
          </w:p>
        </w:tc>
        <w:tc>
          <w:tcPr>
            <w:tcW w:type="dxa" w:w="3960"/>
            <w:vAlign w:val="center"/>
            <w:shd w:fill="FFFFFF"/>
            <w:tcMar>
              <w:top w:w="65" w:type="dxa"/>
              <w:bottom w:w="65" w:type="dxa"/>
              <w:left w:w="100" w:type="dxa"/>
              <w:right w:w="100" w:type="dxa"/>
            </w:tcMar>
          </w:tcPr>
          <w:p>
            <w:pPr>
              <w:pStyle w:val="TableBody"/>
              <w:keepNext w:val="0"/>
            </w:pPr>
            <w:r>
              <w:rPr>
                <w:b w:val="0"/>
                <w:i w:val="0"/>
              </w:rPr>
              <w:t>Three ATMOS layouts plus source/unknown register</w:t>
            </w:r>
          </w:p>
        </w:tc>
        <w:tc>
          <w:tcPr>
            <w:tcW w:type="dxa" w:w="4090"/>
            <w:vAlign w:val="center"/>
            <w:shd w:fill="FFFFFF"/>
            <w:tcMar>
              <w:top w:w="65" w:type="dxa"/>
              <w:bottom w:w="65" w:type="dxa"/>
              <w:left w:w="100" w:type="dxa"/>
              <w:right w:w="100" w:type="dxa"/>
            </w:tcMar>
          </w:tcPr>
          <w:p>
            <w:pPr>
              <w:pStyle w:val="TableBody"/>
              <w:keepNext w:val="0"/>
            </w:pPr>
            <w:r>
              <w:rPr>
                <w:b w:val="0"/>
                <w:i w:val="0"/>
              </w:rPr>
              <w:t>Raj agrees which configuration and document guide the next work.</w:t>
            </w:r>
          </w:p>
        </w:tc>
      </w:tr>
      <w:tr>
        <w:trPr>
          <w:cantSplit/>
        </w:trPr>
        <w:tc>
          <w:tcPr>
            <w:tcW w:type="dxa" w:w="2232"/>
            <w:vAlign w:val="center"/>
            <w:shd w:fill="F0F4F6"/>
            <w:tcMar>
              <w:top w:w="65" w:type="dxa"/>
              <w:bottom w:w="65" w:type="dxa"/>
              <w:left w:w="100" w:type="dxa"/>
              <w:right w:w="100" w:type="dxa"/>
            </w:tcMar>
          </w:tcPr>
          <w:p>
            <w:pPr>
              <w:pStyle w:val="TableBody"/>
              <w:keepNext w:val="0"/>
            </w:pPr>
            <w:r>
              <w:rPr>
                <w:b w:val="0"/>
                <w:i w:val="0"/>
              </w:rPr>
              <w:t>3</w:t>
            </w:r>
          </w:p>
        </w:tc>
        <w:tc>
          <w:tcPr>
            <w:tcW w:type="dxa" w:w="3960"/>
            <w:vAlign w:val="center"/>
            <w:shd w:fill="F0F4F6"/>
            <w:tcMar>
              <w:top w:w="65" w:type="dxa"/>
              <w:bottom w:w="65" w:type="dxa"/>
              <w:left w:w="100" w:type="dxa"/>
              <w:right w:w="100" w:type="dxa"/>
            </w:tcMar>
          </w:tcPr>
          <w:p>
            <w:pPr>
              <w:pStyle w:val="TableBody"/>
              <w:keepNext w:val="0"/>
            </w:pPr>
            <w:r>
              <w:rPr>
                <w:b w:val="0"/>
                <w:i w:val="0"/>
              </w:rPr>
              <w:t>Existing-code audit and first microtrace specification</w:t>
            </w:r>
          </w:p>
        </w:tc>
        <w:tc>
          <w:tcPr>
            <w:tcW w:type="dxa" w:w="4090"/>
            <w:vAlign w:val="center"/>
            <w:shd w:fill="F0F4F6"/>
            <w:tcMar>
              <w:top w:w="65" w:type="dxa"/>
              <w:bottom w:w="65" w:type="dxa"/>
              <w:left w:w="100" w:type="dxa"/>
              <w:right w:w="100" w:type="dxa"/>
            </w:tcMar>
          </w:tcPr>
          <w:p>
            <w:pPr>
              <w:pStyle w:val="TableBody"/>
              <w:keepNext w:val="0"/>
            </w:pPr>
            <w:r>
              <w:rPr>
                <w:b w:val="0"/>
                <w:i w:val="0"/>
              </w:rPr>
              <w:t>Modeling reviewer can see what will be reused and the expected event sequence.</w:t>
            </w:r>
          </w:p>
        </w:tc>
      </w:tr>
    </w:tbl>
    <w:p>
      <w:pPr>
        <w:spacing w:after="60" w:before="0" w:line="40" w:lineRule="exact"/>
      </w:pPr>
      <w:r>
        <w:rPr>
          <w:sz w:val="4"/>
        </w:rPr>
      </w:r>
    </w:p>
    <w:p>
      <w:r>
        <w:rPr>
          <w:b/>
          <w:i w:val="0"/>
        </w:rPr>
        <w:t>Defer:</w:t>
      </w:r>
      <w:r>
        <w:rPr>
          <w:b w:val="0"/>
          <w:i w:val="0"/>
        </w:rPr>
        <w:t xml:space="preserve"> new winner heatmaps, large-model downloads without a need, unapproved server changes, and a full runtime rewrite.</w:t>
      </w:r>
    </w:p>
    <w:p>
      <w:pPr>
        <w:pStyle w:val="Heading2"/>
      </w:pPr>
      <w:r>
        <w:rPr>
          <w:b w:val="0"/>
          <w:i w:val="0"/>
        </w:rPr>
        <w:t>Friday result</w:t>
      </w:r>
    </w:p>
    <w:p>
      <w:r>
        <w:rPr>
          <w:b w:val="0"/>
          <w:i w:val="0"/>
        </w:rPr>
        <w:t>Evidence produced: __________________</w:t>
      </w:r>
      <w:r>
        <w:br/>
      </w:r>
      <w:r>
        <w:rPr>
          <w:b w:val="0"/>
          <w:i w:val="0"/>
        </w:rPr>
        <w:t>Decision moved and owner: __________________</w:t>
      </w:r>
      <w:r>
        <w:br/>
      </w:r>
      <w:r>
        <w:rPr>
          <w:b w:val="0"/>
          <w:i w:val="0"/>
        </w:rPr>
        <w:t>Artifact reused/reproduced by: __________________</w:t>
      </w:r>
      <w:r>
        <w:br/>
      </w:r>
      <w:r>
        <w:rPr>
          <w:b w:val="0"/>
          <w:i w:val="0"/>
        </w:rPr>
        <w:t>Surprise/failure and response: __________________</w:t>
      </w:r>
      <w:r>
        <w:br/>
      </w:r>
      <w:r>
        <w:rPr>
          <w:b w:val="0"/>
          <w:i w:val="0"/>
        </w:rPr>
        <w:t>Claim changed: __________________</w:t>
      </w:r>
      <w:r>
        <w:br/>
      </w:r>
      <w:r>
        <w:rPr>
          <w:b w:val="0"/>
          <w:i w:val="0"/>
        </w:rPr>
        <w:t>First action next Monday: __________________</w:t>
      </w:r>
    </w:p>
    <w:p>
      <w:r>
        <w:rPr>
          <w:b w:val="0"/>
          <w:i w:val="0"/>
        </w:rPr>
        <w:t>A blocker is complete only when its impact, owner, and requested action are recorded. “Still researching” is not a sufficient weekly close when the same uncertainty persists.</w:t>
      </w:r>
    </w:p>
    <w:p>
      <w:r>
        <w:br w:type="page"/>
      </w:r>
    </w:p>
    <w:p>
      <w:pPr>
        <w:pStyle w:val="Kicker"/>
        <w:spacing w:after="140"/>
      </w:pPr>
      <w:r>
        <w:t>PLAN  •  EVIDENCE  •  DECISIONS</w:t>
      </w:r>
    </w:p>
    <w:p>
      <w:bookmarkStart w:id="55" w:name="page_38"/>
      <w:bookmarkStart w:id="54" w:name="sec_17"/>
      <w:pPr>
        <w:pStyle w:val="Heading1"/>
      </w:pPr>
      <w:r>
        <w:t>17. Definition of a good year</w:t>
      </w:r>
      <w:bookmarkEnd w:id="54"/>
      <w:bookmarkEnd w:id="55"/>
    </w:p>
    <w:p>
      <w:r>
        <w:rPr>
          <w:b w:val="0"/>
          <w:i w:val="0"/>
        </w:rPr>
        <w:t>Retain the original chain of evidence:</w:t>
      </w:r>
    </w:p>
    <w:p>
      <w:pPr>
        <w:spacing w:before="120" w:after="200"/>
        <w:ind w:left="187" w:right="187"/>
        <w:shd w:fill="F8F3EF"/>
        <w:pBdr>
          <w:left w:val="single" w:sz="20" w:color="8C2335" w:space="8"/>
        </w:pBdr>
      </w:pPr>
      <w:r>
        <w:rPr>
          <w:b w:val="0"/>
          <w:i w:val="0"/>
          <w:color w:val="173047"/>
        </w:rPr>
        <w:t xml:space="preserve">Customer problem → quantified workload → reproducible baseline → architecture hypothesis → controlled evaluation → product decision → deployable reference → field or customer adoption. </w:t>
      </w:r>
      <w:r>
        <w:rPr>
          <w:b w:val="0"/>
          <w:i w:val="0"/>
          <w:color w:val="173047"/>
        </w:rPr>
        <w:t>[</w:t>
      </w:r>
      <w:r>
        <w:rPr>
          <w:b w:val="0"/>
          <w:i w:val="0"/>
          <w:color w:val="173047"/>
        </w:rPr>
        <w:t>S1 §17]</w:t>
      </w:r>
    </w:p>
    <w:p>
      <w:pPr>
        <w:pStyle w:val="Heading2"/>
      </w:pPr>
      <w:r>
        <w:rPr>
          <w:b w:val="0"/>
          <w:i w:val="0"/>
        </w:rPr>
        <w:t>What success looks like in this revised plan</w:t>
      </w:r>
    </w:p>
    <w:p>
      <w:r>
        <w:rPr>
          <w:b w:val="0"/>
          <w:i w:val="0"/>
        </w:rPr>
        <w:t>By one month, you can explain the hardware honestly and know which engineer confirms each unknown. By three months, a small repeatable evaluation changes a decision. By six months, others can use the method and a partner/OEM path is either progressing or explicitly blocked for a known reason. By August, the capability survives without you personally running every step.</w:t>
      </w:r>
    </w:p>
    <w:p>
      <w:pPr>
        <w:pStyle w:val="Heading2"/>
      </w:pPr>
      <w:r>
        <w:rPr>
          <w:b w:val="0"/>
          <w:i w:val="0"/>
        </w:rPr>
        <w:t>Final readiness checklist</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Area</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Evidence to show</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Understanding</w:t>
            </w:r>
          </w:p>
        </w:tc>
        <w:tc>
          <w:tcPr>
            <w:tcW w:type="dxa" w:w="7229"/>
            <w:vAlign w:val="center"/>
            <w:shd w:fill="F0F4F6"/>
            <w:tcMar>
              <w:top w:w="65" w:type="dxa"/>
              <w:bottom w:w="65" w:type="dxa"/>
              <w:left w:w="100" w:type="dxa"/>
              <w:right w:w="100" w:type="dxa"/>
            </w:tcMar>
          </w:tcPr>
          <w:p>
            <w:pPr>
              <w:pStyle w:val="TableBody"/>
              <w:keepNext w:val="0"/>
            </w:pPr>
            <w:r>
              <w:rPr>
                <w:b w:val="0"/>
                <w:i w:val="0"/>
              </w:rPr>
              <w:t>Reviewed three-layout map; correct local/host/peer path explanation</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Engineering</w:t>
            </w:r>
          </w:p>
        </w:tc>
        <w:tc>
          <w:tcPr>
            <w:tcW w:type="dxa" w:w="7229"/>
            <w:vAlign w:val="center"/>
            <w:shd w:fill="FFFFFF"/>
            <w:tcMar>
              <w:top w:w="65" w:type="dxa"/>
              <w:bottom w:w="65" w:type="dxa"/>
              <w:left w:w="100" w:type="dxa"/>
              <w:right w:w="100" w:type="dxa"/>
            </w:tcMar>
          </w:tcPr>
          <w:p>
            <w:pPr>
              <w:pStyle w:val="TableBody"/>
              <w:keepNext w:val="0"/>
            </w:pPr>
            <w:r>
              <w:rPr>
                <w:b w:val="0"/>
                <w:i w:val="0"/>
              </w:rPr>
              <w:t>Source-linked profiles; deterministic tests; meaningful negative controls</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Evidence</w:t>
            </w:r>
          </w:p>
        </w:tc>
        <w:tc>
          <w:tcPr>
            <w:tcW w:type="dxa" w:w="7229"/>
            <w:vAlign w:val="center"/>
            <w:shd w:fill="F0F4F6"/>
            <w:tcMar>
              <w:top w:w="65" w:type="dxa"/>
              <w:bottom w:w="65" w:type="dxa"/>
              <w:left w:w="100" w:type="dxa"/>
              <w:right w:w="100" w:type="dxa"/>
            </w:tcMar>
          </w:tcPr>
          <w:p>
            <w:pPr>
              <w:pStyle w:val="TableBody"/>
              <w:keepNext w:val="0"/>
            </w:pPr>
            <w:r>
              <w:rPr>
                <w:b w:val="0"/>
                <w:i w:val="0"/>
              </w:rPr>
              <w:t>Measured/model/partner labels; calibration limits; no unsupported performance cells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Adoption</w:t>
            </w:r>
          </w:p>
        </w:tc>
        <w:tc>
          <w:tcPr>
            <w:tcW w:type="dxa" w:w="7229"/>
            <w:vAlign w:val="center"/>
            <w:shd w:fill="FFFFFF"/>
            <w:tcMar>
              <w:top w:w="65" w:type="dxa"/>
              <w:bottom w:w="65" w:type="dxa"/>
              <w:left w:w="100" w:type="dxa"/>
              <w:right w:w="100" w:type="dxa"/>
            </w:tcMar>
          </w:tcPr>
          <w:p>
            <w:pPr>
              <w:pStyle w:val="TableBody"/>
              <w:keepNext w:val="0"/>
            </w:pPr>
            <w:r>
              <w:rPr>
                <w:b w:val="0"/>
                <w:i w:val="0"/>
              </w:rPr>
              <w:t>Workload owner, actual pipeline stage, supported interface and OEM requirements</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Operations</w:t>
            </w:r>
          </w:p>
        </w:tc>
        <w:tc>
          <w:tcPr>
            <w:tcW w:type="dxa" w:w="7229"/>
            <w:vAlign w:val="center"/>
            <w:shd w:fill="F0F4F6"/>
            <w:tcMar>
              <w:top w:w="65" w:type="dxa"/>
              <w:bottom w:w="65" w:type="dxa"/>
              <w:left w:w="100" w:type="dxa"/>
              <w:right w:w="100" w:type="dxa"/>
            </w:tcMar>
          </w:tcPr>
          <w:p>
            <w:pPr>
              <w:pStyle w:val="TableBody"/>
              <w:keepNext w:val="0"/>
            </w:pPr>
            <w:r>
              <w:rPr>
                <w:b w:val="0"/>
                <w:i w:val="0"/>
              </w:rPr>
              <w:t>Maintainers, reproduction, safe failure behavior, support boundaries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Influence</w:t>
            </w:r>
          </w:p>
        </w:tc>
        <w:tc>
          <w:tcPr>
            <w:tcW w:type="dxa" w:w="7229"/>
            <w:vAlign w:val="center"/>
            <w:shd w:fill="FFFFFF"/>
            <w:tcMar>
              <w:top w:w="65" w:type="dxa"/>
              <w:bottom w:w="65" w:type="dxa"/>
              <w:left w:w="100" w:type="dxa"/>
              <w:right w:w="100" w:type="dxa"/>
            </w:tcMar>
          </w:tcPr>
          <w:p>
            <w:pPr>
              <w:pStyle w:val="TableBody"/>
              <w:keepNext w:val="0"/>
            </w:pPr>
            <w:r>
              <w:rPr>
                <w:b w:val="0"/>
                <w:i w:val="0"/>
              </w:rPr>
              <w:t>Requirements dispositioned, executive decisions, and reusable field tools</w:t>
            </w:r>
          </w:p>
        </w:tc>
      </w:tr>
    </w:tbl>
    <w:p>
      <w:pPr>
        <w:spacing w:after="60" w:before="0" w:line="40" w:lineRule="exact"/>
      </w:pPr>
      <w:r>
        <w:rPr>
          <w:sz w:val="4"/>
        </w:rPr>
      </w:r>
    </w:p>
    <w:p>
      <w:pPr>
        <w:pStyle w:val="Heading2"/>
      </w:pPr>
      <w:r>
        <w:rPr>
          <w:b w:val="0"/>
          <w:i w:val="0"/>
        </w:rPr>
        <w:t>The operating agreement to confirm</w:t>
      </w:r>
    </w:p>
    <w:p>
      <w:r>
        <w:rPr>
          <w:b w:val="0"/>
          <w:i w:val="0"/>
        </w:rPr>
        <w:t>Raj confirms priorities, sponsor access, and staffing. Architecture owners approve critical inputs. Validation accepts the evidence method. Product/Finance own commercial assumptions. You own the work’s coherence, reproducibility, communication, and follow-through.</w:t>
      </w:r>
    </w:p>
    <w:p>
      <w:r>
        <w:rPr>
          <w:b/>
          <w:i w:val="0"/>
        </w:rPr>
        <w:t>What this plan does not require:</w:t>
      </w:r>
      <w:r>
        <w:rPr>
          <w:b w:val="0"/>
          <w:i w:val="0"/>
        </w:rPr>
        <w:t xml:space="preserve"> becoming an expert in every hardware discipline immediately, promising positive ATMOS results, or measuring yourself by the volume of documents produced.</w:t>
      </w:r>
    </w:p>
    <w:p>
      <w:r>
        <w:rPr>
          <w:b/>
          <w:i w:val="0"/>
        </w:rPr>
        <w:t>What it does require:</w:t>
      </w:r>
      <w:r>
        <w:rPr>
          <w:b w:val="0"/>
          <w:i w:val="0"/>
        </w:rPr>
        <w:t xml:space="preserve"> keeping commitments small enough to finish, asking precise questions, recording uncertainty, accepting negative evidence, and making the next decision easier for the team.</w:t>
      </w:r>
    </w:p>
    <w:p>
      <w:r>
        <w:rPr>
          <w:b w:val="0"/>
          <w:i w:val="0"/>
        </w:rPr>
        <w:t>For the next workday, start with Lesson 1 and the first-week outcome contract. The rest of the plan is there to prevent the next learning gap or project branch from taking over the whole calendar.</w:t>
      </w:r>
    </w:p>
    <w:p>
      <w:r>
        <w:br w:type="page"/>
      </w:r>
    </w:p>
    <w:p>
      <w:pPr>
        <w:pStyle w:val="Kicker"/>
        <w:spacing w:after="140"/>
      </w:pPr>
      <w:r>
        <w:t>WORKING REFERENCE</w:t>
      </w:r>
    </w:p>
    <w:p>
      <w:bookmarkStart w:id="56" w:name="page_39"/>
      <w:pPr>
        <w:pStyle w:val="Heading1"/>
      </w:pPr>
      <w:r>
        <w:t>Appendix A. Hardware and serving vocabulary</w:t>
      </w:r>
      <w:bookmarkEnd w:id="56"/>
    </w:p>
    <w:p>
      <w:r>
        <w:rPr>
          <w:b w:val="0"/>
          <w:i w:val="0"/>
        </w:rPr>
        <w:t xml:space="preserve">Use this as a recognition aid, not a substitute for the actual device specification. The public references explain general hardware; the internal sources define proposed ATMOS roles. </w:t>
      </w:r>
      <w:r>
        <w:rPr>
          <w:b w:val="0"/>
          <w:i w:val="0"/>
        </w:rPr>
        <w:t>[</w:t>
      </w:r>
      <w:r>
        <w:rPr>
          <w:b w:val="0"/>
          <w:i w:val="0"/>
        </w:rPr>
        <w:t>R1–R4; S2–S4]</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Term</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Meaning to retain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Server / chassis / motherboard</w:t>
            </w:r>
          </w:p>
        </w:tc>
        <w:tc>
          <w:tcPr>
            <w:tcW w:type="dxa" w:w="7229"/>
            <w:vAlign w:val="center"/>
            <w:shd w:fill="F0F4F6"/>
            <w:tcMar>
              <w:top w:w="65" w:type="dxa"/>
              <w:bottom w:w="65" w:type="dxa"/>
              <w:left w:w="100" w:type="dxa"/>
              <w:right w:w="100" w:type="dxa"/>
            </w:tcMar>
          </w:tcPr>
          <w:p>
            <w:pPr>
              <w:pStyle w:val="TableBody"/>
              <w:keepNext w:val="0"/>
            </w:pPr>
            <w:r>
              <w:rPr>
                <w:b w:val="0"/>
                <w:i w:val="0"/>
              </w:rPr>
              <w:t>Complete machine / enclosure / main connection board</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CPU package / core / socket</w:t>
            </w:r>
          </w:p>
        </w:tc>
        <w:tc>
          <w:tcPr>
            <w:tcW w:type="dxa" w:w="7229"/>
            <w:vAlign w:val="center"/>
            <w:shd w:fill="FFFFFF"/>
            <w:tcMar>
              <w:top w:w="65" w:type="dxa"/>
              <w:bottom w:w="65" w:type="dxa"/>
              <w:left w:w="100" w:type="dxa"/>
              <w:right w:w="100" w:type="dxa"/>
            </w:tcMar>
          </w:tcPr>
          <w:p>
            <w:pPr>
              <w:pStyle w:val="TableBody"/>
              <w:keepNext w:val="0"/>
            </w:pPr>
            <w:r>
              <w:rPr>
                <w:b w:val="0"/>
                <w:i w:val="0"/>
              </w:rPr>
              <w:t>Installed processor / instruction-executing unit / physical CPU connection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RAM / DRAM / DIMM</w:t>
            </w:r>
          </w:p>
        </w:tc>
        <w:tc>
          <w:tcPr>
            <w:tcW w:type="dxa" w:w="7229"/>
            <w:vAlign w:val="center"/>
            <w:shd w:fill="F0F4F6"/>
            <w:tcMar>
              <w:top w:w="65" w:type="dxa"/>
              <w:bottom w:w="65" w:type="dxa"/>
              <w:left w:w="100" w:type="dxa"/>
              <w:right w:w="100" w:type="dxa"/>
            </w:tcMar>
          </w:tcPr>
          <w:p>
            <w:pPr>
              <w:pStyle w:val="TableBody"/>
              <w:keepNext w:val="0"/>
            </w:pPr>
            <w:r>
              <w:rPr>
                <w:b w:val="0"/>
                <w:i w:val="0"/>
              </w:rPr>
              <w:t>Working-memory role / memory technology / physical memory module</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Storage / NAND / NVMe</w:t>
            </w:r>
          </w:p>
        </w:tc>
        <w:tc>
          <w:tcPr>
            <w:tcW w:type="dxa" w:w="7229"/>
            <w:vAlign w:val="center"/>
            <w:shd w:fill="FFFFFF"/>
            <w:tcMar>
              <w:top w:w="65" w:type="dxa"/>
              <w:bottom w:w="65" w:type="dxa"/>
              <w:left w:w="100" w:type="dxa"/>
              <w:right w:w="100" w:type="dxa"/>
            </w:tcMar>
          </w:tcPr>
          <w:p>
            <w:pPr>
              <w:pStyle w:val="TableBody"/>
              <w:keepNext w:val="0"/>
            </w:pPr>
            <w:r>
              <w:rPr>
                <w:b w:val="0"/>
                <w:i w:val="0"/>
              </w:rPr>
              <w:t>Persistent-data function / flash medium / storage command interface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PCIe generation / lanes</w:t>
            </w:r>
          </w:p>
        </w:tc>
        <w:tc>
          <w:tcPr>
            <w:tcW w:type="dxa" w:w="7229"/>
            <w:vAlign w:val="center"/>
            <w:shd w:fill="F0F4F6"/>
            <w:tcMar>
              <w:top w:w="65" w:type="dxa"/>
              <w:bottom w:w="65" w:type="dxa"/>
              <w:left w:w="100" w:type="dxa"/>
              <w:right w:w="100" w:type="dxa"/>
            </w:tcMar>
          </w:tcPr>
          <w:p>
            <w:pPr>
              <w:pStyle w:val="TableBody"/>
              <w:keepNext w:val="0"/>
            </w:pPr>
            <w:r>
              <w:rPr>
                <w:b w:val="0"/>
                <w:i w:val="0"/>
              </w:rPr>
              <w:t>Rate family / number of parallel link lanes; neither is application throughput</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Endpoint / root port</w:t>
            </w:r>
          </w:p>
        </w:tc>
        <w:tc>
          <w:tcPr>
            <w:tcW w:type="dxa" w:w="7229"/>
            <w:vAlign w:val="center"/>
            <w:shd w:fill="FFFFFF"/>
            <w:tcMar>
              <w:top w:w="65" w:type="dxa"/>
              <w:bottom w:w="65" w:type="dxa"/>
              <w:left w:w="100" w:type="dxa"/>
              <w:right w:w="100" w:type="dxa"/>
            </w:tcMar>
          </w:tcPr>
          <w:p>
            <w:pPr>
              <w:pStyle w:val="TableBody"/>
              <w:keepNext w:val="0"/>
            </w:pPr>
            <w:r>
              <w:rPr>
                <w:b w:val="0"/>
                <w:i w:val="0"/>
              </w:rPr>
              <w:t>Attached device interface / host-side PCIe port</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Switch / uplink</w:t>
            </w:r>
          </w:p>
        </w:tc>
        <w:tc>
          <w:tcPr>
            <w:tcW w:type="dxa" w:w="7229"/>
            <w:vAlign w:val="center"/>
            <w:shd w:fill="F0F4F6"/>
            <w:tcMar>
              <w:top w:w="65" w:type="dxa"/>
              <w:bottom w:w="65" w:type="dxa"/>
              <w:left w:w="100" w:type="dxa"/>
              <w:right w:w="100" w:type="dxa"/>
            </w:tcMar>
          </w:tcPr>
          <w:p>
            <w:pPr>
              <w:pStyle w:val="TableBody"/>
              <w:keepNext w:val="0"/>
            </w:pPr>
            <w:r>
              <w:rPr>
                <w:b w:val="0"/>
                <w:i w:val="0"/>
              </w:rPr>
              <w:t>Transaction-routing component / connection toward the host or next hierarchy</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Retimer / bifurcation</w:t>
            </w:r>
          </w:p>
        </w:tc>
        <w:tc>
          <w:tcPr>
            <w:tcW w:type="dxa" w:w="7229"/>
            <w:vAlign w:val="center"/>
            <w:shd w:fill="FFFFFF"/>
            <w:tcMar>
              <w:top w:w="65" w:type="dxa"/>
              <w:bottom w:w="65" w:type="dxa"/>
              <w:left w:w="100" w:type="dxa"/>
              <w:right w:w="100" w:type="dxa"/>
            </w:tcMar>
          </w:tcPr>
          <w:p>
            <w:pPr>
              <w:pStyle w:val="TableBody"/>
              <w:keepNext w:val="0"/>
            </w:pPr>
            <w:r>
              <w:rPr>
                <w:b w:val="0"/>
                <w:i w:val="0"/>
              </w:rPr>
              <w:t>Signal restoration / splitting supported host lanes into smaller ports—not switching</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AIC / riser</w:t>
            </w:r>
          </w:p>
        </w:tc>
        <w:tc>
          <w:tcPr>
            <w:tcW w:type="dxa" w:w="7229"/>
            <w:vAlign w:val="center"/>
            <w:shd w:fill="F0F4F6"/>
            <w:tcMar>
              <w:top w:w="65" w:type="dxa"/>
              <w:bottom w:w="65" w:type="dxa"/>
              <w:left w:w="100" w:type="dxa"/>
              <w:right w:w="100" w:type="dxa"/>
            </w:tcMar>
          </w:tcPr>
          <w:p>
            <w:pPr>
              <w:pStyle w:val="TableBody"/>
              <w:keepNext w:val="0"/>
            </w:pPr>
            <w:r>
              <w:rPr>
                <w:b w:val="0"/>
                <w:i w:val="0"/>
              </w:rPr>
              <w:t>Add-in circuit card / assembly connecting and positioning cards in the chassis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E3.S / bay / backplane</w:t>
            </w:r>
          </w:p>
        </w:tc>
        <w:tc>
          <w:tcPr>
            <w:tcW w:type="dxa" w:w="7229"/>
            <w:vAlign w:val="center"/>
            <w:shd w:fill="FFFFFF"/>
            <w:tcMar>
              <w:top w:w="65" w:type="dxa"/>
              <w:bottom w:w="65" w:type="dxa"/>
              <w:left w:w="100" w:type="dxa"/>
              <w:right w:w="100" w:type="dxa"/>
            </w:tcMar>
          </w:tcPr>
          <w:p>
            <w:pPr>
              <w:pStyle w:val="TableBody"/>
              <w:keepNext w:val="0"/>
            </w:pPr>
            <w:r>
              <w:rPr>
                <w:b w:val="0"/>
                <w:i w:val="0"/>
              </w:rPr>
              <w:t>Device form factor / insertion position / board behind the devices</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MCIO</w:t>
            </w:r>
          </w:p>
        </w:tc>
        <w:tc>
          <w:tcPr>
            <w:tcW w:type="dxa" w:w="7229"/>
            <w:vAlign w:val="center"/>
            <w:shd w:fill="F0F4F6"/>
            <w:tcMar>
              <w:top w:w="65" w:type="dxa"/>
              <w:bottom w:w="65" w:type="dxa"/>
              <w:left w:w="100" w:type="dxa"/>
              <w:right w:w="100" w:type="dxa"/>
            </w:tcMar>
          </w:tcPr>
          <w:p>
            <w:pPr>
              <w:pStyle w:val="TableBody"/>
              <w:keepNext w:val="0"/>
            </w:pPr>
            <w:r>
              <w:rPr>
                <w:b w:val="0"/>
                <w:i w:val="0"/>
              </w:rPr>
              <w:t>Connector/cable system; a cable does not perform switch routing</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NUMA</w:t>
            </w:r>
          </w:p>
        </w:tc>
        <w:tc>
          <w:tcPr>
            <w:tcW w:type="dxa" w:w="7229"/>
            <w:vAlign w:val="center"/>
            <w:shd w:fill="FFFFFF"/>
            <w:tcMar>
              <w:top w:w="65" w:type="dxa"/>
              <w:bottom w:w="65" w:type="dxa"/>
              <w:left w:w="100" w:type="dxa"/>
              <w:right w:w="100" w:type="dxa"/>
            </w:tcMar>
          </w:tcPr>
          <w:p>
            <w:pPr>
              <w:pStyle w:val="TableBody"/>
              <w:keepNext w:val="0"/>
            </w:pPr>
            <w:r>
              <w:rPr>
                <w:b w:val="0"/>
                <w:i w:val="0"/>
              </w:rPr>
              <w:t>Host CPU/memory locality; separate from actual PCIe peer routing</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DMA / interrupt</w:t>
            </w:r>
          </w:p>
        </w:tc>
        <w:tc>
          <w:tcPr>
            <w:tcW w:type="dxa" w:w="7229"/>
            <w:vAlign w:val="center"/>
            <w:shd w:fill="F0F4F6"/>
            <w:tcMar>
              <w:top w:w="65" w:type="dxa"/>
              <w:bottom w:w="65" w:type="dxa"/>
              <w:left w:w="100" w:type="dxa"/>
              <w:right w:w="100" w:type="dxa"/>
            </w:tcMar>
          </w:tcPr>
          <w:p>
            <w:pPr>
              <w:pStyle w:val="TableBody"/>
              <w:keepNext w:val="0"/>
            </w:pPr>
            <w:r>
              <w:rPr>
                <w:b w:val="0"/>
                <w:i w:val="0"/>
              </w:rPr>
              <w:t>Engine-managed data movement / notification mechanism</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NPU / HBF / LPDDR / SRAM</w:t>
            </w:r>
          </w:p>
        </w:tc>
        <w:tc>
          <w:tcPr>
            <w:tcW w:type="dxa" w:w="7229"/>
            <w:vAlign w:val="center"/>
            <w:shd w:fill="FFFFFF"/>
            <w:tcMar>
              <w:top w:w="65" w:type="dxa"/>
              <w:bottom w:w="65" w:type="dxa"/>
              <w:left w:w="100" w:type="dxa"/>
              <w:right w:w="100" w:type="dxa"/>
            </w:tcMar>
          </w:tcPr>
          <w:p>
            <w:pPr>
              <w:pStyle w:val="TableBody"/>
              <w:keepNext w:val="0"/>
            </w:pPr>
            <w:r>
              <w:rPr>
                <w:b w:val="0"/>
                <w:i w:val="0"/>
              </w:rPr>
              <w:t>Neural compute / proposed persistent capacity / writable working memory / small on-chip working storage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NoC / HIM / CSC</w:t>
            </w:r>
          </w:p>
        </w:tc>
        <w:tc>
          <w:tcPr>
            <w:tcW w:type="dxa" w:w="7229"/>
            <w:vAlign w:val="center"/>
            <w:shd w:fill="F0F4F6"/>
            <w:tcMar>
              <w:top w:w="65" w:type="dxa"/>
              <w:bottom w:w="65" w:type="dxa"/>
              <w:left w:w="100" w:type="dxa"/>
              <w:right w:w="100" w:type="dxa"/>
            </w:tcMar>
          </w:tcPr>
          <w:p>
            <w:pPr>
              <w:pStyle w:val="TableBody"/>
              <w:keepNext w:val="0"/>
            </w:pPr>
            <w:r>
              <w:rPr>
                <w:b w:val="0"/>
                <w:i w:val="0"/>
              </w:rPr>
              <w:t>On-chip network / internal module labels whose precise roles require the approved specification</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BIOS/UEFI / BMC</w:t>
            </w:r>
          </w:p>
        </w:tc>
        <w:tc>
          <w:tcPr>
            <w:tcW w:type="dxa" w:w="7229"/>
            <w:vAlign w:val="center"/>
            <w:shd w:fill="FFFFFF"/>
            <w:tcMar>
              <w:top w:w="65" w:type="dxa"/>
              <w:bottom w:w="65" w:type="dxa"/>
              <w:left w:w="100" w:type="dxa"/>
              <w:right w:w="100" w:type="dxa"/>
            </w:tcMar>
          </w:tcPr>
          <w:p>
            <w:pPr>
              <w:pStyle w:val="TableBody"/>
              <w:keepNext w:val="0"/>
            </w:pPr>
            <w:r>
              <w:rPr>
                <w:b w:val="0"/>
                <w:i w:val="0"/>
              </w:rPr>
              <w:t>Platform startup firmware / server management controller</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NIC / RDMA</w:t>
            </w:r>
          </w:p>
        </w:tc>
        <w:tc>
          <w:tcPr>
            <w:tcW w:type="dxa" w:w="7229"/>
            <w:vAlign w:val="center"/>
            <w:shd w:fill="F0F4F6"/>
            <w:tcMar>
              <w:top w:w="65" w:type="dxa"/>
              <w:bottom w:w="65" w:type="dxa"/>
              <w:left w:w="100" w:type="dxa"/>
              <w:right w:w="100" w:type="dxa"/>
            </w:tcMar>
          </w:tcPr>
          <w:p>
            <w:pPr>
              <w:pStyle w:val="TableBody"/>
              <w:keepNext w:val="0"/>
            </w:pPr>
            <w:r>
              <w:rPr>
                <w:b w:val="0"/>
                <w:i w:val="0"/>
              </w:rPr>
              <w:t>Network interface / supported remote-memory-transfer mechanism</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TP / EP / PP / replica</w:t>
            </w:r>
          </w:p>
        </w:tc>
        <w:tc>
          <w:tcPr>
            <w:tcW w:type="dxa" w:w="7229"/>
            <w:vAlign w:val="center"/>
            <w:shd w:fill="FFFFFF"/>
            <w:tcMar>
              <w:top w:w="65" w:type="dxa"/>
              <w:bottom w:w="65" w:type="dxa"/>
              <w:left w:w="100" w:type="dxa"/>
              <w:right w:w="100" w:type="dxa"/>
            </w:tcMar>
          </w:tcPr>
          <w:p>
            <w:pPr>
              <w:pStyle w:val="TableBody"/>
              <w:keepNext w:val="0"/>
            </w:pPr>
            <w:r>
              <w:rPr>
                <w:b w:val="0"/>
                <w:i w:val="0"/>
              </w:rPr>
              <w:t>Tensor splitting / expert distribution / layer stages / complete logical serving copy</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KV / prefill / decode</w:t>
            </w:r>
          </w:p>
        </w:tc>
        <w:tc>
          <w:tcPr>
            <w:tcW w:type="dxa" w:w="7229"/>
            <w:vAlign w:val="center"/>
            <w:shd w:fill="F0F4F6"/>
            <w:tcMar>
              <w:top w:w="65" w:type="dxa"/>
              <w:bottom w:w="65" w:type="dxa"/>
              <w:left w:w="100" w:type="dxa"/>
              <w:right w:w="100" w:type="dxa"/>
            </w:tcMar>
          </w:tcPr>
          <w:p>
            <w:pPr>
              <w:pStyle w:val="TableBody"/>
              <w:keepNext w:val="0"/>
            </w:pPr>
            <w:r>
              <w:rPr>
                <w:b w:val="0"/>
                <w:i w:val="0"/>
              </w:rPr>
              <w:t>Attention state / prompt processing / incremental response generation</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Request rate / concurrency / batch</w:t>
            </w:r>
          </w:p>
        </w:tc>
        <w:tc>
          <w:tcPr>
            <w:tcW w:type="dxa" w:w="7229"/>
            <w:vAlign w:val="center"/>
            <w:shd w:fill="FFFFFF"/>
            <w:tcMar>
              <w:top w:w="65" w:type="dxa"/>
              <w:bottom w:w="65" w:type="dxa"/>
              <w:left w:w="100" w:type="dxa"/>
              <w:right w:w="100" w:type="dxa"/>
            </w:tcMar>
          </w:tcPr>
          <w:p>
            <w:pPr>
              <w:pStyle w:val="TableBody"/>
              <w:keepNext w:val="0"/>
            </w:pPr>
            <w:r>
              <w:rPr>
                <w:b w:val="0"/>
                <w:i w:val="0"/>
              </w:rPr>
              <w:t>Arrivals per time / unfinished requests at a defined boundary / work grouped for execution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TTFT / TPOT / goodput</w:t>
            </w:r>
          </w:p>
        </w:tc>
        <w:tc>
          <w:tcPr>
            <w:tcW w:type="dxa" w:w="7229"/>
            <w:vAlign w:val="center"/>
            <w:shd w:fill="F0F4F6"/>
            <w:tcMar>
              <w:top w:w="65" w:type="dxa"/>
              <w:bottom w:w="65" w:type="dxa"/>
              <w:left w:w="100" w:type="dxa"/>
              <w:right w:w="100" w:type="dxa"/>
            </w:tcMar>
          </w:tcPr>
          <w:p>
            <w:pPr>
              <w:pStyle w:val="TableBody"/>
              <w:keepNext w:val="0"/>
            </w:pPr>
            <w:r>
              <w:rPr>
                <w:b w:val="0"/>
                <w:i w:val="0"/>
              </w:rPr>
              <w:t>First-token latency / average time per output token under a defined convention / useful completed work meeting agreed checks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DES / profile / calibration</w:t>
            </w:r>
          </w:p>
        </w:tc>
        <w:tc>
          <w:tcPr>
            <w:tcW w:type="dxa" w:w="7229"/>
            <w:vAlign w:val="center"/>
            <w:shd w:fill="FFFFFF"/>
            <w:tcMar>
              <w:top w:w="65" w:type="dxa"/>
              <w:bottom w:w="65" w:type="dxa"/>
              <w:left w:w="100" w:type="dxa"/>
              <w:right w:w="100" w:type="dxa"/>
            </w:tcMar>
          </w:tcPr>
          <w:p>
            <w:pPr>
              <w:pStyle w:val="TableBody"/>
              <w:keepNext w:val="0"/>
            </w:pPr>
            <w:r>
              <w:rPr>
                <w:b w:val="0"/>
                <w:i w:val="0"/>
              </w:rPr>
              <w:t>Event-based virtual-time model / inputs describing a configuration / adjustment and error checking against evidence</w:t>
            </w:r>
          </w:p>
        </w:tc>
      </w:tr>
    </w:tbl>
    <w:p>
      <w:pPr>
        <w:spacing w:after="60" w:before="0" w:line="40" w:lineRule="exact"/>
      </w:pPr>
      <w:r>
        <w:rPr>
          <w:sz w:val="4"/>
        </w:rPr>
      </w:r>
    </w:p>
    <w:p>
      <w:r>
        <w:rPr>
          <w:b/>
          <w:i w:val="0"/>
        </w:rPr>
        <w:t>Do not use “TPS” without stating tokens or transactions, input or output, per-user or aggregate, and the quality/latency boundary.</w:t>
      </w:r>
      <w:r>
        <w:rPr>
          <w:b w:val="0"/>
          <w:i w:val="0"/>
        </w:rPr>
        <w:t xml:space="preserve"> Do not treat total MoE parameters as per-token traffic or label power in watts as energy per token. </w:t>
      </w:r>
      <w:r>
        <w:rPr>
          <w:b w:val="0"/>
          <w:i w:val="0"/>
        </w:rPr>
        <w:t>[</w:t>
      </w:r>
      <w:r>
        <w:rPr>
          <w:b w:val="0"/>
          <w:i w:val="0"/>
        </w:rPr>
        <w:t>R8; S9]</w:t>
      </w:r>
    </w:p>
    <w:p>
      <w:r>
        <w:br w:type="page"/>
      </w:r>
    </w:p>
    <w:p>
      <w:pPr>
        <w:pStyle w:val="Kicker"/>
        <w:spacing w:after="140"/>
      </w:pPr>
      <w:r>
        <w:t>WORKING REFERENCE</w:t>
      </w:r>
    </w:p>
    <w:p>
      <w:bookmarkStart w:id="57" w:name="page_40"/>
      <w:pPr>
        <w:pStyle w:val="Heading1"/>
      </w:pPr>
      <w:r>
        <w:t>Appendix B. Reusable technical worksheets</w:t>
      </w:r>
      <w:bookmarkEnd w:id="57"/>
    </w:p>
    <w:p>
      <w:pPr>
        <w:pStyle w:val="Heading2"/>
      </w:pPr>
      <w:r>
        <w:rPr>
          <w:b w:val="0"/>
          <w:i w:val="0"/>
        </w:rPr>
        <w:t>Hardware profile: one sheet per configuration</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Field</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Record value, source, status, and owner</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Identity</w:t>
            </w:r>
          </w:p>
        </w:tc>
        <w:tc>
          <w:tcPr>
            <w:tcW w:type="dxa" w:w="7229"/>
            <w:vAlign w:val="center"/>
            <w:shd w:fill="F0F4F6"/>
            <w:tcMar>
              <w:top w:w="65" w:type="dxa"/>
              <w:bottom w:w="65" w:type="dxa"/>
              <w:left w:w="100" w:type="dxa"/>
              <w:right w:w="100" w:type="dxa"/>
            </w:tcMar>
          </w:tcPr>
          <w:p>
            <w:pPr>
              <w:pStyle w:val="TableBody"/>
              <w:keepNext w:val="0"/>
            </w:pPr>
            <w:r>
              <w:rPr>
                <w:b w:val="0"/>
                <w:i w:val="0"/>
              </w:rPr>
              <w:t>Profile ID/date; source revision; full card, direct E3.S, or switched E3.S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Host and devices</w:t>
            </w:r>
          </w:p>
        </w:tc>
        <w:tc>
          <w:tcPr>
            <w:tcW w:type="dxa" w:w="7229"/>
            <w:vAlign w:val="center"/>
            <w:shd w:fill="FFFFFF"/>
            <w:tcMar>
              <w:top w:w="65" w:type="dxa"/>
              <w:bottom w:w="65" w:type="dxa"/>
              <w:left w:w="100" w:type="dxa"/>
              <w:right w:w="100" w:type="dxa"/>
            </w:tcMar>
          </w:tcPr>
          <w:p>
            <w:pPr>
              <w:pStyle w:val="TableBody"/>
              <w:keepNext w:val="0"/>
            </w:pPr>
            <w:r>
              <w:rPr>
                <w:b w:val="0"/>
                <w:i w:val="0"/>
              </w:rPr>
              <w:t>CPU/DIMMs; firmware/OS; device count and exposure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Local execution path</w:t>
            </w:r>
          </w:p>
        </w:tc>
        <w:tc>
          <w:tcPr>
            <w:tcW w:type="dxa" w:w="7229"/>
            <w:vAlign w:val="center"/>
            <w:shd w:fill="F0F4F6"/>
            <w:tcMar>
              <w:top w:w="65" w:type="dxa"/>
              <w:bottom w:w="65" w:type="dxa"/>
              <w:left w:w="100" w:type="dxa"/>
              <w:right w:w="100" w:type="dxa"/>
            </w:tcMar>
          </w:tcPr>
          <w:p>
            <w:pPr>
              <w:pStyle w:val="TableBody"/>
              <w:keepNext w:val="0"/>
            </w:pPr>
            <w:r>
              <w:rPr>
                <w:b w:val="0"/>
                <w:i w:val="0"/>
              </w:rPr>
              <w:t>HBF destination; staging; memory capacities and reserves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Interconnect</w:t>
            </w:r>
          </w:p>
        </w:tc>
        <w:tc>
          <w:tcPr>
            <w:tcW w:type="dxa" w:w="7229"/>
            <w:vAlign w:val="center"/>
            <w:shd w:fill="FFFFFF"/>
            <w:tcMar>
              <w:top w:w="65" w:type="dxa"/>
              <w:bottom w:w="65" w:type="dxa"/>
              <w:left w:w="100" w:type="dxa"/>
              <w:right w:w="100" w:type="dxa"/>
            </w:tcMar>
          </w:tcPr>
          <w:p>
            <w:pPr>
              <w:pStyle w:val="TableBody"/>
              <w:keepNext w:val="0"/>
            </w:pPr>
            <w:r>
              <w:rPr>
                <w:b w:val="0"/>
                <w:i w:val="0"/>
              </w:rPr>
              <w:t>Device links; switch/cables; shared host uplink; supported peer route</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Operation</w:t>
            </w:r>
          </w:p>
        </w:tc>
        <w:tc>
          <w:tcPr>
            <w:tcW w:type="dxa" w:w="7229"/>
            <w:vAlign w:val="center"/>
            <w:shd w:fill="F0F4F6"/>
            <w:tcMar>
              <w:top w:w="65" w:type="dxa"/>
              <w:bottom w:w="65" w:type="dxa"/>
              <w:left w:w="100" w:type="dxa"/>
              <w:right w:w="100" w:type="dxa"/>
            </w:tcMar>
          </w:tcPr>
          <w:p>
            <w:pPr>
              <w:pStyle w:val="TableBody"/>
              <w:keepNext w:val="0"/>
            </w:pPr>
            <w:r>
              <w:rPr>
                <w:b w:val="0"/>
                <w:i w:val="0"/>
              </w:rPr>
              <w:t>NUMA placement; power/cooling; reset/management; qualification</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Unknowns</w:t>
            </w:r>
          </w:p>
        </w:tc>
        <w:tc>
          <w:tcPr>
            <w:tcW w:type="dxa" w:w="7229"/>
            <w:vAlign w:val="center"/>
            <w:shd w:fill="FFFFFF"/>
            <w:tcMar>
              <w:top w:w="65" w:type="dxa"/>
              <w:bottom w:w="65" w:type="dxa"/>
              <w:left w:w="100" w:type="dxa"/>
              <w:right w:w="100" w:type="dxa"/>
            </w:tcMar>
          </w:tcPr>
          <w:p>
            <w:pPr>
              <w:pStyle w:val="TableBody"/>
              <w:keepNext w:val="0"/>
            </w:pPr>
            <w:r>
              <w:rPr>
                <w:b w:val="0"/>
                <w:i w:val="0"/>
              </w:rPr>
              <w:t>Top three missing inputs, owner, and requested measurement</w:t>
            </w:r>
          </w:p>
        </w:tc>
      </w:tr>
    </w:tbl>
    <w:p>
      <w:pPr>
        <w:spacing w:after="60" w:before="0" w:line="40" w:lineRule="exact"/>
      </w:pPr>
      <w:r>
        <w:rPr>
          <w:sz w:val="4"/>
        </w:rPr>
      </w:r>
    </w:p>
    <w:p>
      <w:pPr>
        <w:pStyle w:val="Heading2"/>
      </w:pPr>
      <w:r>
        <w:rPr>
          <w:b w:val="0"/>
          <w:i w:val="0"/>
        </w:rPr>
        <w:t>Experiment contract</w:t>
      </w:r>
    </w:p>
    <w:p>
      <w:r>
        <w:rPr>
          <w:b/>
          <w:i w:val="0"/>
        </w:rPr>
        <w:t>Decision and hypothesis:</w:t>
      </w:r>
      <w:r>
        <w:rPr>
          <w:b w:val="0"/>
          <w:i w:val="0"/>
        </w:rPr>
        <w:t xml:space="preserve"> __________________________________________</w:t>
      </w:r>
      <w:r>
        <w:br/>
      </w:r>
      <w:r>
        <w:rPr>
          <w:b/>
          <w:i w:val="0"/>
        </w:rPr>
        <w:t>Disconfirming result:</w:t>
      </w:r>
      <w:r>
        <w:rPr>
          <w:b w:val="0"/>
          <w:i w:val="0"/>
        </w:rPr>
        <w:t xml:space="preserve"> __________________________________________</w:t>
      </w:r>
      <w:r>
        <w:br/>
      </w:r>
      <w:r>
        <w:rPr>
          <w:b/>
          <w:i w:val="0"/>
        </w:rPr>
        <w:t>Workload/model/data version:</w:t>
      </w:r>
      <w:r>
        <w:rPr>
          <w:b w:val="0"/>
          <w:i w:val="0"/>
        </w:rPr>
        <w:t xml:space="preserve"> _____________________________________</w:t>
      </w:r>
      <w:r>
        <w:br/>
      </w:r>
      <w:r>
        <w:rPr>
          <w:b/>
          <w:i w:val="0"/>
        </w:rPr>
        <w:t>Changed variable / fixed controls:</w:t>
      </w:r>
      <w:r>
        <w:rPr>
          <w:b w:val="0"/>
          <w:i w:val="0"/>
        </w:rPr>
        <w:t xml:space="preserve"> _________________________________</w:t>
      </w:r>
      <w:r>
        <w:br/>
      </w:r>
      <w:r>
        <w:rPr>
          <w:b/>
          <w:i w:val="0"/>
        </w:rPr>
        <w:t>Timing and quality boundary:</w:t>
      </w:r>
      <w:r>
        <w:rPr>
          <w:b w:val="0"/>
          <w:i w:val="0"/>
        </w:rPr>
        <w:t xml:space="preserve"> _____________________________________</w:t>
      </w:r>
      <w:r>
        <w:br/>
      </w:r>
      <w:r>
        <w:rPr>
          <w:b/>
          <w:i w:val="0"/>
        </w:rPr>
        <w:t>Expected golden behavior / backend:</w:t>
      </w:r>
      <w:r>
        <w:rPr>
          <w:b w:val="0"/>
          <w:i w:val="0"/>
        </w:rPr>
        <w:t xml:space="preserve"> ______________________________</w:t>
      </w:r>
      <w:r>
        <w:br/>
      </w:r>
      <w:r>
        <w:rPr>
          <w:b/>
          <w:i w:val="0"/>
        </w:rPr>
        <w:t>Pass, hold, and stop gates agreed before execution:</w:t>
      </w:r>
      <w:r>
        <w:rPr>
          <w:b w:val="0"/>
          <w:i w:val="0"/>
        </w:rPr>
        <w:t xml:space="preserve"> __________________</w:t>
      </w:r>
    </w:p>
    <w:p>
      <w:pPr>
        <w:pStyle w:val="Heading2"/>
      </w:pPr>
      <w:r>
        <w:rPr>
          <w:b w:val="0"/>
          <w:i w:val="0"/>
        </w:rPr>
        <w:t>Result record</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3053"/>
        <w:gridCol w:w="7229"/>
      </w:tblGrid>
      <w:tr>
        <w:trPr>
          <w:cantSplit/>
          <w:tblHeader w:val="true"/>
        </w:trPr>
        <w:tc>
          <w:tcPr>
            <w:tcW w:type="dxa" w:w="3053"/>
            <w:vAlign w:val="center"/>
            <w:shd w:fill="173047"/>
            <w:tcMar>
              <w:top w:w="65" w:type="dxa"/>
              <w:bottom w:w="65" w:type="dxa"/>
              <w:left w:w="100" w:type="dxa"/>
              <w:right w:w="100" w:type="dxa"/>
            </w:tcMar>
          </w:tcPr>
          <w:p>
            <w:pPr>
              <w:pStyle w:val="TableHead"/>
              <w:keepNext w:val="0"/>
            </w:pPr>
            <w:r>
              <w:rPr>
                <w:b/>
                <w:i w:val="0"/>
                <w:color w:val="FFFFFF"/>
              </w:rPr>
              <w:t>Required item</w:t>
            </w:r>
          </w:p>
        </w:tc>
        <w:tc>
          <w:tcPr>
            <w:tcW w:type="dxa" w:w="7229"/>
            <w:vAlign w:val="center"/>
            <w:shd w:fill="173047"/>
            <w:tcMar>
              <w:top w:w="65" w:type="dxa"/>
              <w:bottom w:w="65" w:type="dxa"/>
              <w:left w:w="100" w:type="dxa"/>
              <w:right w:w="100" w:type="dxa"/>
            </w:tcMar>
          </w:tcPr>
          <w:p>
            <w:pPr>
              <w:pStyle w:val="TableHead"/>
              <w:keepNext w:val="0"/>
            </w:pPr>
            <w:r>
              <w:rPr>
                <w:b/>
                <w:i w:val="0"/>
                <w:color w:val="FFFFFF"/>
              </w:rPr>
              <w:t>Record</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Evidence and identity</w:t>
            </w:r>
          </w:p>
        </w:tc>
        <w:tc>
          <w:tcPr>
            <w:tcW w:type="dxa" w:w="7229"/>
            <w:vAlign w:val="center"/>
            <w:shd w:fill="F0F4F6"/>
            <w:tcMar>
              <w:top w:w="65" w:type="dxa"/>
              <w:bottom w:w="65" w:type="dxa"/>
              <w:left w:w="100" w:type="dxa"/>
              <w:right w:w="100" w:type="dxa"/>
            </w:tcMar>
          </w:tcPr>
          <w:p>
            <w:pPr>
              <w:pStyle w:val="TableBody"/>
              <w:keepNext w:val="0"/>
            </w:pPr>
            <w:r>
              <w:rPr>
                <w:b w:val="0"/>
                <w:i w:val="0"/>
              </w:rPr>
              <w:t>Analytical / simulated / calibrated / functional / physical; versions and seed</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Metric and sample</w:t>
            </w:r>
          </w:p>
        </w:tc>
        <w:tc>
          <w:tcPr>
            <w:tcW w:type="dxa" w:w="7229"/>
            <w:vAlign w:val="center"/>
            <w:shd w:fill="FFFFFF"/>
            <w:tcMar>
              <w:top w:w="65" w:type="dxa"/>
              <w:bottom w:w="65" w:type="dxa"/>
              <w:left w:w="100" w:type="dxa"/>
              <w:right w:w="100" w:type="dxa"/>
            </w:tcMar>
          </w:tcPr>
          <w:p>
            <w:pPr>
              <w:pStyle w:val="TableBody"/>
              <w:keepNext w:val="0"/>
            </w:pPr>
            <w:r>
              <w:rPr>
                <w:b w:val="0"/>
                <w:i w:val="0"/>
              </w:rPr>
              <w:t>Primary KPI, units, count, repetitions, and uncertainty</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Correctness and failures</w:t>
            </w:r>
          </w:p>
        </w:tc>
        <w:tc>
          <w:tcPr>
            <w:tcW w:type="dxa" w:w="7229"/>
            <w:vAlign w:val="center"/>
            <w:shd w:fill="F0F4F6"/>
            <w:tcMar>
              <w:top w:w="65" w:type="dxa"/>
              <w:bottom w:w="65" w:type="dxa"/>
              <w:left w:w="100" w:type="dxa"/>
              <w:right w:w="100" w:type="dxa"/>
            </w:tcMar>
          </w:tcPr>
          <w:p>
            <w:pPr>
              <w:pStyle w:val="TableBody"/>
              <w:keepNext w:val="0"/>
            </w:pPr>
            <w:r>
              <w:rPr>
                <w:b w:val="0"/>
                <w:i w:val="0"/>
              </w:rPr>
              <w:t>Data/output check, timing pass, errors, unsupported cells</w:t>
            </w:r>
          </w:p>
        </w:tc>
      </w:tr>
      <w:tr>
        <w:trPr>
          <w:cantSplit/>
        </w:trPr>
        <w:tc>
          <w:tcPr>
            <w:tcW w:type="dxa" w:w="3053"/>
            <w:vAlign w:val="center"/>
            <w:shd w:fill="FFFFFF"/>
            <w:tcMar>
              <w:top w:w="65" w:type="dxa"/>
              <w:bottom w:w="65" w:type="dxa"/>
              <w:left w:w="100" w:type="dxa"/>
              <w:right w:w="100" w:type="dxa"/>
            </w:tcMar>
          </w:tcPr>
          <w:p>
            <w:pPr>
              <w:pStyle w:val="TableBody"/>
              <w:keepNext w:val="0"/>
            </w:pPr>
            <w:r>
              <w:rPr>
                <w:b w:val="0"/>
                <w:i w:val="0"/>
              </w:rPr>
              <w:t>Interpretation</w:t>
            </w:r>
          </w:p>
        </w:tc>
        <w:tc>
          <w:tcPr>
            <w:tcW w:type="dxa" w:w="7229"/>
            <w:vAlign w:val="center"/>
            <w:shd w:fill="FFFFFF"/>
            <w:tcMar>
              <w:top w:w="65" w:type="dxa"/>
              <w:bottom w:w="65" w:type="dxa"/>
              <w:left w:w="100" w:type="dxa"/>
              <w:right w:w="100" w:type="dxa"/>
            </w:tcMar>
          </w:tcPr>
          <w:p>
            <w:pPr>
              <w:pStyle w:val="TableBody"/>
              <w:keepNext w:val="0"/>
            </w:pPr>
            <w:r>
              <w:rPr>
                <w:b w:val="0"/>
                <w:i w:val="0"/>
              </w:rPr>
              <w:t>Dominant wait, calibration envelope, what changes the decision</w:t>
            </w:r>
          </w:p>
        </w:tc>
      </w:tr>
      <w:tr>
        <w:trPr>
          <w:cantSplit/>
        </w:trPr>
        <w:tc>
          <w:tcPr>
            <w:tcW w:type="dxa" w:w="3053"/>
            <w:vAlign w:val="center"/>
            <w:shd w:fill="F0F4F6"/>
            <w:tcMar>
              <w:top w:w="65" w:type="dxa"/>
              <w:bottom w:w="65" w:type="dxa"/>
              <w:left w:w="100" w:type="dxa"/>
              <w:right w:w="100" w:type="dxa"/>
            </w:tcMar>
          </w:tcPr>
          <w:p>
            <w:pPr>
              <w:pStyle w:val="TableBody"/>
              <w:keepNext w:val="0"/>
            </w:pPr>
            <w:r>
              <w:rPr>
                <w:b w:val="0"/>
                <w:i w:val="0"/>
              </w:rPr>
              <w:t>Review and use</w:t>
            </w:r>
          </w:p>
        </w:tc>
        <w:tc>
          <w:tcPr>
            <w:tcW w:type="dxa" w:w="7229"/>
            <w:vAlign w:val="center"/>
            <w:shd w:fill="F0F4F6"/>
            <w:tcMar>
              <w:top w:w="65" w:type="dxa"/>
              <w:bottom w:w="65" w:type="dxa"/>
              <w:left w:w="100" w:type="dxa"/>
              <w:right w:w="100" w:type="dxa"/>
            </w:tcMar>
          </w:tcPr>
          <w:p>
            <w:pPr>
              <w:pStyle w:val="TableBody"/>
              <w:keepNext w:val="0"/>
            </w:pPr>
            <w:r>
              <w:rPr>
                <w:b w:val="0"/>
                <w:i w:val="0"/>
              </w:rPr>
              <w:t>Evidence link, reviewer, permitted claim, next action</w:t>
            </w:r>
          </w:p>
        </w:tc>
      </w:tr>
    </w:tbl>
    <w:p>
      <w:pPr>
        <w:spacing w:after="60" w:before="0" w:line="40" w:lineRule="exact"/>
      </w:pPr>
      <w:r>
        <w:rPr>
          <w:sz w:val="4"/>
        </w:rPr>
      </w:r>
    </w:p>
    <w:p>
      <w:r>
        <w:rPr>
          <w:b/>
          <w:i w:val="0"/>
        </w:rPr>
        <w:t>Units checks:</w:t>
      </w:r>
      <w:r>
        <w:rPr>
          <w:b w:val="0"/>
          <w:i w:val="0"/>
        </w:rPr>
        <w:t xml:space="preserve"> 8 bits = 1 byte; GB and GiB differ; bandwidth needs endpoints and direction; p99 needs sufficient representative observations. Aggregate capacity is not uniformly accessible memory. A stable-system rate×mean-duration relation does not convert peak concurrency or p99 into throughput. </w:t>
      </w:r>
      <w:r>
        <w:rPr>
          <w:b w:val="0"/>
          <w:i w:val="0"/>
        </w:rPr>
        <w:t>[</w:t>
      </w:r>
      <w:r>
        <w:rPr>
          <w:b w:val="0"/>
          <w:i w:val="0"/>
        </w:rPr>
        <w:t>R8; S2 §8]</w:t>
      </w:r>
    </w:p>
    <w:p>
      <w:r>
        <w:br w:type="page"/>
      </w:r>
    </w:p>
    <w:p>
      <w:pPr>
        <w:pStyle w:val="Kicker"/>
        <w:spacing w:after="140"/>
      </w:pPr>
      <w:r>
        <w:t>WORKING REFERENCE</w:t>
      </w:r>
    </w:p>
    <w:p>
      <w:bookmarkStart w:id="58" w:name="page_41"/>
      <w:pPr>
        <w:pStyle w:val="Heading1"/>
      </w:pPr>
      <w:r>
        <w:t>Appendix C. What changed from the original plan</w:t>
      </w:r>
      <w:bookmarkEnd w:id="58"/>
    </w:p>
    <w:p>
      <w:r>
        <w:rPr>
          <w:b w:val="0"/>
          <w:i w:val="0"/>
        </w:rPr>
        <w:t>This document preserves the original structure and annual goals while revising sequence, scope, and dependencies. It is not a claim that any draft has been formally superseded. Raj and the domain owners must approve the working baseline.</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2160"/>
        <w:gridCol w:w="3600"/>
        <w:gridCol w:w="4522"/>
      </w:tblGrid>
      <w:tr>
        <w:trPr>
          <w:cantSplit/>
          <w:tblHeader w:val="true"/>
        </w:trPr>
        <w:tc>
          <w:tcPr>
            <w:tcW w:type="dxa" w:w="2160"/>
            <w:vAlign w:val="center"/>
            <w:shd w:fill="173047"/>
            <w:tcMar>
              <w:top w:w="65" w:type="dxa"/>
              <w:bottom w:w="65" w:type="dxa"/>
              <w:left w:w="100" w:type="dxa"/>
              <w:right w:w="100" w:type="dxa"/>
            </w:tcMar>
          </w:tcPr>
          <w:p>
            <w:pPr>
              <w:pStyle w:val="TableHead"/>
              <w:keepNext w:val="0"/>
            </w:pPr>
            <w:r>
              <w:rPr>
                <w:b/>
                <w:i w:val="0"/>
                <w:color w:val="FFFFFF"/>
              </w:rPr>
              <w:t>Original section</w:t>
            </w:r>
          </w:p>
        </w:tc>
        <w:tc>
          <w:tcPr>
            <w:tcW w:type="dxa" w:w="3600"/>
            <w:vAlign w:val="center"/>
            <w:shd w:fill="173047"/>
            <w:tcMar>
              <w:top w:w="65" w:type="dxa"/>
              <w:bottom w:w="65" w:type="dxa"/>
              <w:left w:w="100" w:type="dxa"/>
              <w:right w:w="100" w:type="dxa"/>
            </w:tcMar>
          </w:tcPr>
          <w:p>
            <w:pPr>
              <w:pStyle w:val="TableHead"/>
              <w:keepNext w:val="0"/>
            </w:pPr>
            <w:r>
              <w:rPr>
                <w:b/>
                <w:i w:val="0"/>
                <w:color w:val="FFFFFF"/>
              </w:rPr>
              <w:t>Retained</w:t>
            </w:r>
          </w:p>
        </w:tc>
        <w:tc>
          <w:tcPr>
            <w:tcW w:type="dxa" w:w="4522"/>
            <w:vAlign w:val="center"/>
            <w:shd w:fill="173047"/>
            <w:tcMar>
              <w:top w:w="65" w:type="dxa"/>
              <w:bottom w:w="65" w:type="dxa"/>
              <w:left w:w="100" w:type="dxa"/>
              <w:right w:w="100" w:type="dxa"/>
            </w:tcMar>
          </w:tcPr>
          <w:p>
            <w:pPr>
              <w:pStyle w:val="TableHead"/>
              <w:keepNext w:val="0"/>
            </w:pPr>
            <w:r>
              <w:rPr>
                <w:b/>
                <w:i w:val="0"/>
                <w:color w:val="FFFFFF"/>
              </w:rPr>
              <w:t>New context incorporated</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1. North star</w:t>
            </w:r>
          </w:p>
        </w:tc>
        <w:tc>
          <w:tcPr>
            <w:tcW w:type="dxa" w:w="3600"/>
            <w:vAlign w:val="center"/>
            <w:shd w:fill="F0F4F6"/>
            <w:tcMar>
              <w:top w:w="65" w:type="dxa"/>
              <w:bottom w:w="65" w:type="dxa"/>
              <w:left w:w="100" w:type="dxa"/>
              <w:right w:w="100" w:type="dxa"/>
            </w:tcMar>
          </w:tcPr>
          <w:p>
            <w:pPr>
              <w:pStyle w:val="TableBody"/>
              <w:keepNext w:val="0"/>
            </w:pPr>
            <w:r>
              <w:rPr>
                <w:b w:val="0"/>
                <w:i w:val="0"/>
              </w:rPr>
              <w:t>Workload → evidence → adoption</w:t>
            </w:r>
          </w:p>
        </w:tc>
        <w:tc>
          <w:tcPr>
            <w:tcW w:type="dxa" w:w="4522"/>
            <w:vAlign w:val="center"/>
            <w:shd w:fill="F0F4F6"/>
            <w:tcMar>
              <w:top w:w="65" w:type="dxa"/>
              <w:bottom w:w="65" w:type="dxa"/>
              <w:left w:w="100" w:type="dxa"/>
              <w:right w:w="100" w:type="dxa"/>
            </w:tcMar>
          </w:tcPr>
          <w:p>
            <w:pPr>
              <w:pStyle w:val="TableBody"/>
              <w:keepNext w:val="0"/>
            </w:pPr>
            <w:r>
              <w:rPr>
                <w:b w:val="0"/>
                <w:i w:val="0"/>
              </w:rPr>
              <w:t>Product, physical topology, and evidence decisions separated</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2. Success contract</w:t>
            </w:r>
          </w:p>
        </w:tc>
        <w:tc>
          <w:tcPr>
            <w:tcW w:type="dxa" w:w="3600"/>
            <w:vAlign w:val="center"/>
            <w:shd w:fill="FFFFFF"/>
            <w:tcMar>
              <w:top w:w="65" w:type="dxa"/>
              <w:bottom w:w="65" w:type="dxa"/>
              <w:left w:w="100" w:type="dxa"/>
              <w:right w:w="100" w:type="dxa"/>
            </w:tcMar>
          </w:tcPr>
          <w:p>
            <w:pPr>
              <w:pStyle w:val="TableBody"/>
              <w:keepNext w:val="0"/>
            </w:pPr>
            <w:r>
              <w:rPr>
                <w:b w:val="0"/>
                <w:i w:val="0"/>
              </w:rPr>
              <w:t>August outcomes and operating rules</w:t>
            </w:r>
          </w:p>
        </w:tc>
        <w:tc>
          <w:tcPr>
            <w:tcW w:type="dxa" w:w="4522"/>
            <w:vAlign w:val="center"/>
            <w:shd w:fill="FFFFFF"/>
            <w:tcMar>
              <w:top w:w="65" w:type="dxa"/>
              <w:bottom w:w="65" w:type="dxa"/>
              <w:left w:w="100" w:type="dxa"/>
              <w:right w:w="100" w:type="dxa"/>
            </w:tcMar>
          </w:tcPr>
          <w:p>
            <w:pPr>
              <w:pStyle w:val="TableBody"/>
              <w:keepNext w:val="0"/>
            </w:pPr>
            <w:r>
              <w:rPr>
                <w:b w:val="0"/>
                <w:i w:val="0"/>
              </w:rPr>
              <w:t>1/3/6-month capability and artifact gates</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3. Time budget</w:t>
            </w:r>
          </w:p>
        </w:tc>
        <w:tc>
          <w:tcPr>
            <w:tcW w:type="dxa" w:w="3600"/>
            <w:vAlign w:val="center"/>
            <w:shd w:fill="F0F4F6"/>
            <w:tcMar>
              <w:top w:w="65" w:type="dxa"/>
              <w:bottom w:w="65" w:type="dxa"/>
              <w:left w:w="100" w:type="dxa"/>
              <w:right w:w="100" w:type="dxa"/>
            </w:tcMar>
          </w:tcPr>
          <w:p>
            <w:pPr>
              <w:pStyle w:val="TableBody"/>
              <w:keepNext w:val="0"/>
            </w:pPr>
            <w:r>
              <w:rPr>
                <w:b w:val="0"/>
                <w:i w:val="0"/>
              </w:rPr>
              <w:t>Six portfolios; three active outcomes</w:t>
            </w:r>
          </w:p>
        </w:tc>
        <w:tc>
          <w:tcPr>
            <w:tcW w:type="dxa" w:w="4522"/>
            <w:vAlign w:val="center"/>
            <w:shd w:fill="F0F4F6"/>
            <w:tcMar>
              <w:top w:w="65" w:type="dxa"/>
              <w:bottom w:w="65" w:type="dxa"/>
              <w:left w:w="100" w:type="dxa"/>
              <w:right w:w="100" w:type="dxa"/>
            </w:tcMar>
          </w:tcPr>
          <w:p>
            <w:pPr>
              <w:pStyle w:val="TableBody"/>
              <w:keepNext w:val="0"/>
            </w:pPr>
            <w:r>
              <w:rPr>
                <w:b w:val="0"/>
                <w:i w:val="0"/>
              </w:rPr>
              <w:t>Temporary learning allocation; supported and solo routes</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4. Everyday system</w:t>
            </w:r>
          </w:p>
        </w:tc>
        <w:tc>
          <w:tcPr>
            <w:tcW w:type="dxa" w:w="3600"/>
            <w:vAlign w:val="center"/>
            <w:shd w:fill="FFFFFF"/>
            <w:tcMar>
              <w:top w:w="65" w:type="dxa"/>
              <w:bottom w:w="65" w:type="dxa"/>
              <w:left w:w="100" w:type="dxa"/>
              <w:right w:w="100" w:type="dxa"/>
            </w:tcMar>
          </w:tcPr>
          <w:p>
            <w:pPr>
              <w:pStyle w:val="TableBody"/>
              <w:keepNext w:val="0"/>
            </w:pPr>
            <w:r>
              <w:rPr>
                <w:b w:val="0"/>
                <w:i w:val="0"/>
              </w:rPr>
              <w:t>Daily blocks and weekly synthesis</w:t>
            </w:r>
          </w:p>
        </w:tc>
        <w:tc>
          <w:tcPr>
            <w:tcW w:type="dxa" w:w="4522"/>
            <w:vAlign w:val="center"/>
            <w:shd w:fill="FFFFFF"/>
            <w:tcMar>
              <w:top w:w="65" w:type="dxa"/>
              <w:bottom w:w="65" w:type="dxa"/>
              <w:left w:w="100" w:type="dxa"/>
              <w:right w:w="100" w:type="dxa"/>
            </w:tcMar>
          </w:tcPr>
          <w:p>
            <w:pPr>
              <w:pStyle w:val="TableBody"/>
              <w:keepNext w:val="0"/>
            </w:pPr>
            <w:r>
              <w:rPr>
                <w:b w:val="0"/>
                <w:i w:val="0"/>
              </w:rPr>
              <w:t>Applied learning, recovery rule, protected scope</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5. Stakeholders</w:t>
            </w:r>
          </w:p>
        </w:tc>
        <w:tc>
          <w:tcPr>
            <w:tcW w:type="dxa" w:w="3600"/>
            <w:vAlign w:val="center"/>
            <w:shd w:fill="F0F4F6"/>
            <w:tcMar>
              <w:top w:w="65" w:type="dxa"/>
              <w:bottom w:w="65" w:type="dxa"/>
              <w:left w:w="100" w:type="dxa"/>
              <w:right w:w="100" w:type="dxa"/>
            </w:tcMar>
          </w:tcPr>
          <w:p>
            <w:pPr>
              <w:pStyle w:val="TableBody"/>
              <w:keepNext w:val="0"/>
            </w:pPr>
            <w:r>
              <w:rPr>
                <w:b w:val="0"/>
                <w:i w:val="0"/>
              </w:rPr>
              <w:t>Sponsor and engineering map</w:t>
            </w:r>
          </w:p>
        </w:tc>
        <w:tc>
          <w:tcPr>
            <w:tcW w:type="dxa" w:w="4522"/>
            <w:vAlign w:val="center"/>
            <w:shd w:fill="F0F4F6"/>
            <w:tcMar>
              <w:top w:w="65" w:type="dxa"/>
              <w:bottom w:w="65" w:type="dxa"/>
              <w:left w:w="100" w:type="dxa"/>
              <w:right w:w="100" w:type="dxa"/>
            </w:tcMar>
          </w:tcPr>
          <w:p>
            <w:pPr>
              <w:pStyle w:val="TableBody"/>
              <w:keepNext w:val="0"/>
            </w:pPr>
            <w:r>
              <w:rPr>
                <w:b w:val="0"/>
                <w:i w:val="0"/>
              </w:rPr>
              <w:t>Hardware mentor, modeling reviewer, partner liaison</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6. Meetings</w:t>
            </w:r>
          </w:p>
        </w:tc>
        <w:tc>
          <w:tcPr>
            <w:tcW w:type="dxa" w:w="3600"/>
            <w:vAlign w:val="center"/>
            <w:shd w:fill="FFFFFF"/>
            <w:tcMar>
              <w:top w:w="65" w:type="dxa"/>
              <w:bottom w:w="65" w:type="dxa"/>
              <w:left w:w="100" w:type="dxa"/>
              <w:right w:w="100" w:type="dxa"/>
            </w:tcMar>
          </w:tcPr>
          <w:p>
            <w:pPr>
              <w:pStyle w:val="TableBody"/>
              <w:keepNext w:val="0"/>
            </w:pPr>
            <w:r>
              <w:rPr>
                <w:b w:val="0"/>
                <w:i w:val="0"/>
              </w:rPr>
              <w:t>Seven playbooks and explicit outcomes</w:t>
            </w:r>
          </w:p>
        </w:tc>
        <w:tc>
          <w:tcPr>
            <w:tcW w:type="dxa" w:w="4522"/>
            <w:vAlign w:val="center"/>
            <w:shd w:fill="FFFFFF"/>
            <w:tcMar>
              <w:top w:w="65" w:type="dxa"/>
              <w:bottom w:w="65" w:type="dxa"/>
              <w:left w:w="100" w:type="dxa"/>
              <w:right w:w="100" w:type="dxa"/>
            </w:tcMar>
          </w:tcPr>
          <w:p>
            <w:pPr>
              <w:pStyle w:val="TableBody"/>
              <w:keepNext w:val="0"/>
            </w:pPr>
            <w:r>
              <w:rPr>
                <w:b w:val="0"/>
                <w:i w:val="0"/>
              </w:rPr>
              <w:t>Raj reset and physical-path questions</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7. Artifacts</w:t>
            </w:r>
          </w:p>
        </w:tc>
        <w:tc>
          <w:tcPr>
            <w:tcW w:type="dxa" w:w="3600"/>
            <w:vAlign w:val="center"/>
            <w:shd w:fill="F0F4F6"/>
            <w:tcMar>
              <w:top w:w="65" w:type="dxa"/>
              <w:bottom w:w="65" w:type="dxa"/>
              <w:left w:w="100" w:type="dxa"/>
              <w:right w:w="100" w:type="dxa"/>
            </w:tcMar>
          </w:tcPr>
          <w:p>
            <w:pPr>
              <w:pStyle w:val="TableBody"/>
              <w:keepNext w:val="0"/>
            </w:pPr>
            <w:r>
              <w:rPr>
                <w:b w:val="0"/>
                <w:i w:val="0"/>
              </w:rPr>
              <w:t>Registers, memos, reports, references</w:t>
            </w:r>
          </w:p>
        </w:tc>
        <w:tc>
          <w:tcPr>
            <w:tcW w:type="dxa" w:w="4522"/>
            <w:vAlign w:val="center"/>
            <w:shd w:fill="F0F4F6"/>
            <w:tcMar>
              <w:top w:w="65" w:type="dxa"/>
              <w:bottom w:w="65" w:type="dxa"/>
              <w:left w:w="100" w:type="dxa"/>
              <w:right w:w="100" w:type="dxa"/>
            </w:tcMar>
          </w:tcPr>
          <w:p>
            <w:pPr>
              <w:pStyle w:val="TableBody"/>
              <w:keepNext w:val="0"/>
            </w:pPr>
            <w:r>
              <w:rPr>
                <w:b w:val="0"/>
                <w:i w:val="0"/>
              </w:rPr>
              <w:t>Source arbitration and draft-conflict control</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8. Curriculum</w:t>
            </w:r>
          </w:p>
        </w:tc>
        <w:tc>
          <w:tcPr>
            <w:tcW w:type="dxa" w:w="3600"/>
            <w:vAlign w:val="center"/>
            <w:shd w:fill="FFFFFF"/>
            <w:tcMar>
              <w:top w:w="65" w:type="dxa"/>
              <w:bottom w:w="65" w:type="dxa"/>
              <w:left w:w="100" w:type="dxa"/>
              <w:right w:w="100" w:type="dxa"/>
            </w:tcMar>
          </w:tcPr>
          <w:p>
            <w:pPr>
              <w:pStyle w:val="TableBody"/>
              <w:keepNext w:val="0"/>
            </w:pPr>
            <w:r>
              <w:rPr>
                <w:b w:val="0"/>
                <w:i w:val="0"/>
              </w:rPr>
              <w:t>GAIA, runtime, deployment, ecosystem depth</w:t>
            </w:r>
          </w:p>
        </w:tc>
        <w:tc>
          <w:tcPr>
            <w:tcW w:type="dxa" w:w="4522"/>
            <w:vAlign w:val="center"/>
            <w:shd w:fill="FFFFFF"/>
            <w:tcMar>
              <w:top w:w="65" w:type="dxa"/>
              <w:bottom w:w="65" w:type="dxa"/>
              <w:left w:w="100" w:type="dxa"/>
              <w:right w:w="100" w:type="dxa"/>
            </w:tcMar>
          </w:tcPr>
          <w:p>
            <w:pPr>
              <w:pStyle w:val="TableBody"/>
              <w:keepNext w:val="0"/>
            </w:pPr>
            <w:r>
              <w:rPr>
                <w:b w:val="0"/>
                <w:i w:val="0"/>
              </w:rPr>
              <w:t>Level-zero videos, exercises, 0–4 proficiency rubric</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9. Code/POCs</w:t>
            </w:r>
          </w:p>
        </w:tc>
        <w:tc>
          <w:tcPr>
            <w:tcW w:type="dxa" w:w="3600"/>
            <w:vAlign w:val="center"/>
            <w:shd w:fill="F0F4F6"/>
            <w:tcMar>
              <w:top w:w="65" w:type="dxa"/>
              <w:bottom w:w="65" w:type="dxa"/>
              <w:left w:w="100" w:type="dxa"/>
              <w:right w:w="100" w:type="dxa"/>
            </w:tcMar>
          </w:tcPr>
          <w:p>
            <w:pPr>
              <w:pStyle w:val="TableBody"/>
              <w:keepNext w:val="0"/>
            </w:pPr>
            <w:r>
              <w:rPr>
                <w:b w:val="0"/>
                <w:i w:val="0"/>
              </w:rPr>
              <w:t>Harness, policy, integration, evidence ladder</w:t>
            </w:r>
          </w:p>
        </w:tc>
        <w:tc>
          <w:tcPr>
            <w:tcW w:type="dxa" w:w="4522"/>
            <w:vAlign w:val="center"/>
            <w:shd w:fill="F0F4F6"/>
            <w:tcMar>
              <w:top w:w="65" w:type="dxa"/>
              <w:bottom w:w="65" w:type="dxa"/>
              <w:left w:w="100" w:type="dxa"/>
              <w:right w:w="100" w:type="dxa"/>
            </w:tcMar>
          </w:tcPr>
          <w:p>
            <w:pPr>
              <w:pStyle w:val="TableBody"/>
              <w:keepNext w:val="0"/>
            </w:pPr>
            <w:r>
              <w:rPr>
                <w:b w:val="0"/>
                <w:i w:val="0"/>
              </w:rPr>
              <w:t>Bridge scope, OEM/NUMA, HBF-active retrieval, partner tests</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10. Roadmap</w:t>
            </w:r>
          </w:p>
        </w:tc>
        <w:tc>
          <w:tcPr>
            <w:tcW w:type="dxa" w:w="3600"/>
            <w:vAlign w:val="center"/>
            <w:shd w:fill="FFFFFF"/>
            <w:tcMar>
              <w:top w:w="65" w:type="dxa"/>
              <w:bottom w:w="65" w:type="dxa"/>
              <w:left w:w="100" w:type="dxa"/>
              <w:right w:w="100" w:type="dxa"/>
            </w:tcMar>
          </w:tcPr>
          <w:p>
            <w:pPr>
              <w:pStyle w:val="TableBody"/>
              <w:keepNext w:val="0"/>
            </w:pPr>
            <w:r>
              <w:rPr>
                <w:b w:val="0"/>
                <w:i w:val="0"/>
              </w:rPr>
              <w:t>Baseline, POCs, calibration, field adoption</w:t>
            </w:r>
          </w:p>
        </w:tc>
        <w:tc>
          <w:tcPr>
            <w:tcW w:type="dxa" w:w="4522"/>
            <w:vAlign w:val="center"/>
            <w:shd w:fill="FFFFFF"/>
            <w:tcMar>
              <w:top w:w="65" w:type="dxa"/>
              <w:bottom w:w="65" w:type="dxa"/>
              <w:left w:w="100" w:type="dxa"/>
              <w:right w:w="100" w:type="dxa"/>
            </w:tcMar>
          </w:tcPr>
          <w:p>
            <w:pPr>
              <w:pStyle w:val="TableBody"/>
              <w:keepNext w:val="0"/>
            </w:pPr>
            <w:r>
              <w:rPr>
                <w:b w:val="0"/>
                <w:i w:val="0"/>
              </w:rPr>
              <w:t>Rebased near term; first-month overload removed</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11. Pipeline</w:t>
            </w:r>
          </w:p>
        </w:tc>
        <w:tc>
          <w:tcPr>
            <w:tcW w:type="dxa" w:w="3600"/>
            <w:vAlign w:val="center"/>
            <w:shd w:fill="F0F4F6"/>
            <w:tcMar>
              <w:top w:w="65" w:type="dxa"/>
              <w:bottom w:w="65" w:type="dxa"/>
              <w:left w:w="100" w:type="dxa"/>
              <w:right w:w="100" w:type="dxa"/>
            </w:tcMar>
          </w:tcPr>
          <w:p>
            <w:pPr>
              <w:pStyle w:val="TableBody"/>
              <w:keepNext w:val="0"/>
            </w:pPr>
            <w:r>
              <w:rPr>
                <w:b w:val="0"/>
                <w:i w:val="0"/>
              </w:rPr>
              <w:t>Qualification through design partner</w:t>
            </w:r>
          </w:p>
        </w:tc>
        <w:tc>
          <w:tcPr>
            <w:tcW w:type="dxa" w:w="4522"/>
            <w:vAlign w:val="center"/>
            <w:shd w:fill="F0F4F6"/>
            <w:tcMar>
              <w:top w:w="65" w:type="dxa"/>
              <w:bottom w:w="65" w:type="dxa"/>
              <w:left w:w="100" w:type="dxa"/>
              <w:right w:w="100" w:type="dxa"/>
            </w:tcMar>
          </w:tcPr>
          <w:p>
            <w:pPr>
              <w:pStyle w:val="TableBody"/>
              <w:keepNext w:val="0"/>
            </w:pPr>
            <w:r>
              <w:rPr>
                <w:b w:val="0"/>
                <w:i w:val="0"/>
              </w:rPr>
              <w:t>Operator/ISV/OEM engagement and full economics</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12. Dashboard</w:t>
            </w:r>
          </w:p>
        </w:tc>
        <w:tc>
          <w:tcPr>
            <w:tcW w:type="dxa" w:w="3600"/>
            <w:vAlign w:val="center"/>
            <w:shd w:fill="FFFFFF"/>
            <w:tcMar>
              <w:top w:w="65" w:type="dxa"/>
              <w:bottom w:w="65" w:type="dxa"/>
              <w:left w:w="100" w:type="dxa"/>
              <w:right w:w="100" w:type="dxa"/>
            </w:tcMar>
          </w:tcPr>
          <w:p>
            <w:pPr>
              <w:pStyle w:val="TableBody"/>
              <w:keepNext w:val="0"/>
            </w:pPr>
            <w:r>
              <w:rPr>
                <w:b w:val="0"/>
                <w:i w:val="0"/>
              </w:rPr>
              <w:t>Leading, outcome, and quality measures</w:t>
            </w:r>
          </w:p>
        </w:tc>
        <w:tc>
          <w:tcPr>
            <w:tcW w:type="dxa" w:w="4522"/>
            <w:vAlign w:val="center"/>
            <w:shd w:fill="FFFFFF"/>
            <w:tcMar>
              <w:top w:w="65" w:type="dxa"/>
              <w:bottom w:w="65" w:type="dxa"/>
              <w:left w:w="100" w:type="dxa"/>
              <w:right w:w="100" w:type="dxa"/>
            </w:tcMar>
          </w:tcPr>
          <w:p>
            <w:pPr>
              <w:pStyle w:val="TableBody"/>
              <w:keepNext w:val="0"/>
            </w:pPr>
            <w:r>
              <w:rPr>
                <w:b w:val="0"/>
                <w:i w:val="0"/>
              </w:rPr>
              <w:t>Evidence-linked skills, support/blocked status</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13. Development</w:t>
            </w:r>
          </w:p>
        </w:tc>
        <w:tc>
          <w:tcPr>
            <w:tcW w:type="dxa" w:w="3600"/>
            <w:vAlign w:val="center"/>
            <w:shd w:fill="F0F4F6"/>
            <w:tcMar>
              <w:top w:w="65" w:type="dxa"/>
              <w:bottom w:w="65" w:type="dxa"/>
              <w:left w:w="100" w:type="dxa"/>
              <w:right w:w="100" w:type="dxa"/>
            </w:tcMar>
          </w:tcPr>
          <w:p>
            <w:pPr>
              <w:pStyle w:val="TableBody"/>
              <w:keepNext w:val="0"/>
            </w:pPr>
            <w:r>
              <w:rPr>
                <w:b w:val="0"/>
                <w:i w:val="0"/>
              </w:rPr>
              <w:t>Mentoring, feedback, approved external work</w:t>
            </w:r>
          </w:p>
        </w:tc>
        <w:tc>
          <w:tcPr>
            <w:tcW w:type="dxa" w:w="4522"/>
            <w:vAlign w:val="center"/>
            <w:shd w:fill="F0F4F6"/>
            <w:tcMar>
              <w:top w:w="65" w:type="dxa"/>
              <w:bottom w:w="65" w:type="dxa"/>
              <w:left w:w="100" w:type="dxa"/>
              <w:right w:w="100" w:type="dxa"/>
            </w:tcMar>
          </w:tcPr>
          <w:p>
            <w:pPr>
              <w:pStyle w:val="TableBody"/>
              <w:keepNext w:val="0"/>
            </w:pPr>
            <w:r>
              <w:rPr>
                <w:b w:val="0"/>
                <w:i w:val="0"/>
              </w:rPr>
              <w:t>Pair-learning and confidence through application</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14. Risks</w:t>
            </w:r>
          </w:p>
        </w:tc>
        <w:tc>
          <w:tcPr>
            <w:tcW w:type="dxa" w:w="3600"/>
            <w:vAlign w:val="center"/>
            <w:shd w:fill="FFFFFF"/>
            <w:tcMar>
              <w:top w:w="65" w:type="dxa"/>
              <w:bottom w:w="65" w:type="dxa"/>
              <w:left w:w="100" w:type="dxa"/>
              <w:right w:w="100" w:type="dxa"/>
            </w:tcMar>
          </w:tcPr>
          <w:p>
            <w:pPr>
              <w:pStyle w:val="TableBody"/>
              <w:keepNext w:val="0"/>
            </w:pPr>
            <w:r>
              <w:rPr>
                <w:b w:val="0"/>
                <w:i w:val="0"/>
              </w:rPr>
              <w:t>Delay, ambiguity, bias, dependency, overload</w:t>
            </w:r>
          </w:p>
        </w:tc>
        <w:tc>
          <w:tcPr>
            <w:tcW w:type="dxa" w:w="4522"/>
            <w:vAlign w:val="center"/>
            <w:shd w:fill="FFFFFF"/>
            <w:tcMar>
              <w:top w:w="65" w:type="dxa"/>
              <w:bottom w:w="65" w:type="dxa"/>
              <w:left w:w="100" w:type="dxa"/>
              <w:right w:w="100" w:type="dxa"/>
            </w:tcMar>
          </w:tcPr>
          <w:p>
            <w:pPr>
              <w:pStyle w:val="TableBody"/>
              <w:keepNext w:val="0"/>
            </w:pPr>
            <w:r>
              <w:rPr>
                <w:b w:val="0"/>
                <w:i w:val="0"/>
              </w:rPr>
              <w:t>Learning, duplicate implementation, OEM compatibility</w:t>
            </w:r>
          </w:p>
        </w:tc>
      </w:tr>
      <w:tr>
        <w:trPr>
          <w:cantSplit/>
        </w:trPr>
        <w:tc>
          <w:tcPr>
            <w:tcW w:type="dxa" w:w="2160"/>
            <w:vAlign w:val="center"/>
            <w:shd w:fill="F0F4F6"/>
            <w:tcMar>
              <w:top w:w="65" w:type="dxa"/>
              <w:bottom w:w="65" w:type="dxa"/>
              <w:left w:w="100" w:type="dxa"/>
              <w:right w:w="100" w:type="dxa"/>
            </w:tcMar>
          </w:tcPr>
          <w:p>
            <w:pPr>
              <w:pStyle w:val="TableBody"/>
              <w:keepNext w:val="0"/>
            </w:pPr>
            <w:r>
              <w:rPr>
                <w:b w:val="0"/>
                <w:i w:val="0"/>
              </w:rPr>
              <w:t>15–16. Reviews</w:t>
            </w:r>
          </w:p>
        </w:tc>
        <w:tc>
          <w:tcPr>
            <w:tcW w:type="dxa" w:w="3600"/>
            <w:vAlign w:val="center"/>
            <w:shd w:fill="F0F4F6"/>
            <w:tcMar>
              <w:top w:w="65" w:type="dxa"/>
              <w:bottom w:w="65" w:type="dxa"/>
              <w:left w:w="100" w:type="dxa"/>
              <w:right w:w="100" w:type="dxa"/>
            </w:tcMar>
          </w:tcPr>
          <w:p>
            <w:pPr>
              <w:pStyle w:val="TableBody"/>
              <w:keepNext w:val="0"/>
            </w:pPr>
            <w:r>
              <w:rPr>
                <w:b w:val="0"/>
                <w:i w:val="0"/>
              </w:rPr>
              <w:t>Monthly and weekly templates</w:t>
            </w:r>
          </w:p>
        </w:tc>
        <w:tc>
          <w:tcPr>
            <w:tcW w:type="dxa" w:w="4522"/>
            <w:vAlign w:val="center"/>
            <w:shd w:fill="F0F4F6"/>
            <w:tcMar>
              <w:top w:w="65" w:type="dxa"/>
              <w:bottom w:w="65" w:type="dxa"/>
              <w:left w:w="100" w:type="dxa"/>
              <w:right w:w="100" w:type="dxa"/>
            </w:tcMar>
          </w:tcPr>
          <w:p>
            <w:pPr>
              <w:pStyle w:val="TableBody"/>
              <w:keepNext w:val="0"/>
            </w:pPr>
            <w:r>
              <w:rPr>
                <w:b w:val="0"/>
                <w:i w:val="0"/>
              </w:rPr>
              <w:t>Hardware/partner/evidence fields and first-week example</w:t>
            </w:r>
          </w:p>
        </w:tc>
      </w:tr>
      <w:tr>
        <w:trPr>
          <w:cantSplit/>
        </w:trPr>
        <w:tc>
          <w:tcPr>
            <w:tcW w:type="dxa" w:w="2160"/>
            <w:vAlign w:val="center"/>
            <w:shd w:fill="FFFFFF"/>
            <w:tcMar>
              <w:top w:w="65" w:type="dxa"/>
              <w:bottom w:w="65" w:type="dxa"/>
              <w:left w:w="100" w:type="dxa"/>
              <w:right w:w="100" w:type="dxa"/>
            </w:tcMar>
          </w:tcPr>
          <w:p>
            <w:pPr>
              <w:pStyle w:val="TableBody"/>
              <w:keepNext w:val="0"/>
            </w:pPr>
            <w:r>
              <w:rPr>
                <w:b w:val="0"/>
                <w:i w:val="0"/>
              </w:rPr>
              <w:t>17. Good year</w:t>
            </w:r>
          </w:p>
        </w:tc>
        <w:tc>
          <w:tcPr>
            <w:tcW w:type="dxa" w:w="3600"/>
            <w:vAlign w:val="center"/>
            <w:shd w:fill="FFFFFF"/>
            <w:tcMar>
              <w:top w:w="65" w:type="dxa"/>
              <w:bottom w:w="65" w:type="dxa"/>
              <w:left w:w="100" w:type="dxa"/>
              <w:right w:w="100" w:type="dxa"/>
            </w:tcMar>
          </w:tcPr>
          <w:p>
            <w:pPr>
              <w:pStyle w:val="TableBody"/>
              <w:keepNext w:val="0"/>
            </w:pPr>
            <w:r>
              <w:rPr>
                <w:b w:val="0"/>
                <w:i w:val="0"/>
              </w:rPr>
              <w:t>Reusable decision capability</w:t>
            </w:r>
          </w:p>
        </w:tc>
        <w:tc>
          <w:tcPr>
            <w:tcW w:type="dxa" w:w="4522"/>
            <w:vAlign w:val="center"/>
            <w:shd w:fill="FFFFFF"/>
            <w:tcMar>
              <w:top w:w="65" w:type="dxa"/>
              <w:bottom w:w="65" w:type="dxa"/>
              <w:left w:w="100" w:type="dxa"/>
              <w:right w:w="100" w:type="dxa"/>
            </w:tcMar>
          </w:tcPr>
          <w:p>
            <w:pPr>
              <w:pStyle w:val="TableBody"/>
              <w:keepNext w:val="0"/>
            </w:pPr>
            <w:r>
              <w:rPr>
                <w:b w:val="0"/>
                <w:i w:val="0"/>
              </w:rPr>
              <w:t>Explicit ownership and sustainable follow-through</w:t>
            </w:r>
          </w:p>
        </w:tc>
      </w:tr>
    </w:tbl>
    <w:p>
      <w:pPr>
        <w:spacing w:after="60" w:before="0" w:line="40" w:lineRule="exact"/>
      </w:pPr>
      <w:r>
        <w:rPr>
          <w:sz w:val="4"/>
        </w:rPr>
      </w:r>
    </w:p>
    <w:p>
      <w:r>
        <w:rPr>
          <w:b/>
          <w:i w:val="0"/>
        </w:rPr>
        <w:t>Scope reconciliation:</w:t>
      </w:r>
      <w:r>
        <w:rPr>
          <w:b w:val="0"/>
          <w:i w:val="0"/>
        </w:rPr>
        <w:t xml:space="preserve"> recommend Python/SimPy bridge first, optional TokenSim for LLM, measured controls, and selected partner adapters </w:t>
      </w:r>
      <w:r>
        <w:rPr>
          <w:b w:val="0"/>
          <w:i w:val="0"/>
        </w:rPr>
        <w:t>[</w:t>
      </w:r>
      <w:r>
        <w:rPr>
          <w:b w:val="0"/>
          <w:i w:val="0"/>
        </w:rPr>
        <w:t xml:space="preserve">S2]. Keep the Rust/C++ proposal as an alternative </w:t>
      </w:r>
      <w:r>
        <w:rPr>
          <w:b w:val="0"/>
          <w:i w:val="0"/>
        </w:rPr>
        <w:t>[</w:t>
      </w:r>
      <w:r>
        <w:rPr>
          <w:b w:val="0"/>
          <w:i w:val="0"/>
        </w:rPr>
        <w:t xml:space="preserve">S8]. Retain LLM-only versus RAG separation </w:t>
      </w:r>
      <w:r>
        <w:rPr>
          <w:b w:val="0"/>
          <w:i w:val="0"/>
        </w:rPr>
        <w:t>[</w:t>
      </w:r>
      <w:r>
        <w:rPr>
          <w:b w:val="0"/>
          <w:i w:val="0"/>
        </w:rPr>
        <w:t xml:space="preserve">S3], while prioritizing HBF-active E3.S retrieval only after Raj resolves the lead-product decision </w:t>
      </w:r>
      <w:r>
        <w:rPr>
          <w:b w:val="0"/>
          <w:i w:val="0"/>
        </w:rPr>
        <w:t>[</w:t>
      </w:r>
      <w:r>
        <w:rPr>
          <w:b w:val="0"/>
          <w:i w:val="0"/>
        </w:rPr>
        <w:t>S2 §11.5]. CXL is a learning/optional control topic, not reintroduced into the customer’s RTX-versus-ATMOS chart by default.</w:t>
      </w:r>
    </w:p>
    <w:p>
      <w:r>
        <w:br w:type="page"/>
      </w:r>
    </w:p>
    <w:p>
      <w:pPr>
        <w:pStyle w:val="Kicker"/>
        <w:spacing w:after="140"/>
      </w:pPr>
      <w:r>
        <w:t>WORKING REFERENCE</w:t>
      </w:r>
    </w:p>
    <w:p>
      <w:bookmarkStart w:id="59" w:name="page_42"/>
      <w:pPr>
        <w:pStyle w:val="Heading1"/>
      </w:pPr>
      <w:r>
        <w:t>Appendix D. Source register and technical references</w:t>
      </w:r>
      <w:bookmarkEnd w:id="59"/>
    </w:p>
    <w:p>
      <w:pPr>
        <w:pStyle w:val="Heading2"/>
      </w:pPr>
      <w:r>
        <w:rPr>
          <w:b w:val="0"/>
          <w:i w:val="0"/>
        </w:rPr>
        <w:t>Internal source basis</w:t>
      </w:r>
    </w:p>
    <w:tbl>
      <w:tblPr>
        <w:tblW w:type="auto" w:w="0"/>
        <w:jc w:val="center"/>
        <w:tblLayout w:type="fixed"/>
        <w:tblLook w:firstColumn="1" w:firstRow="1" w:lastColumn="0" w:lastRow="0" w:noHBand="0" w:noVBand="1" w:val="04A0"/>
        <w:tblBorders>
          <w:top w:val="single" w:sz="3" w:color="D6E0E5"/>
          <w:left w:val="single" w:sz="3" w:color="D6E0E5"/>
          <w:bottom w:val="single" w:sz="3" w:color="D6E0E5"/>
          <w:right w:val="single" w:sz="3" w:color="D6E0E5"/>
          <w:insideH w:val="single" w:sz="3" w:color="D6E0E5"/>
          <w:insideV w:val="single" w:sz="3" w:color="D6E0E5"/>
        </w:tblBorders>
      </w:tblPr>
      <w:tblGrid>
        <w:gridCol w:w="749"/>
        <w:gridCol w:w="9533"/>
      </w:tblGrid>
      <w:tr>
        <w:trPr>
          <w:cantSplit/>
          <w:tblHeader w:val="true"/>
        </w:trPr>
        <w:tc>
          <w:tcPr>
            <w:tcW w:type="dxa" w:w="749"/>
            <w:vAlign w:val="center"/>
            <w:shd w:fill="173047"/>
            <w:tcMar>
              <w:top w:w="65" w:type="dxa"/>
              <w:bottom w:w="65" w:type="dxa"/>
              <w:left w:w="100" w:type="dxa"/>
              <w:right w:w="100" w:type="dxa"/>
            </w:tcMar>
          </w:tcPr>
          <w:p>
            <w:pPr>
              <w:pStyle w:val="TableHead"/>
              <w:keepNext w:val="0"/>
            </w:pPr>
            <w:r>
              <w:rPr>
                <w:b/>
                <w:i w:val="0"/>
                <w:color w:val="FFFFFF"/>
              </w:rPr>
              <w:t>ID</w:t>
            </w:r>
          </w:p>
        </w:tc>
        <w:tc>
          <w:tcPr>
            <w:tcW w:type="dxa" w:w="9533"/>
            <w:vAlign w:val="center"/>
            <w:shd w:fill="173047"/>
            <w:tcMar>
              <w:top w:w="65" w:type="dxa"/>
              <w:bottom w:w="65" w:type="dxa"/>
              <w:left w:w="100" w:type="dxa"/>
              <w:right w:w="100" w:type="dxa"/>
            </w:tcMar>
          </w:tcPr>
          <w:p>
            <w:pPr>
              <w:pStyle w:val="TableHead"/>
              <w:keepNext w:val="0"/>
            </w:pPr>
            <w:r>
              <w:rPr>
                <w:b/>
                <w:i w:val="0"/>
                <w:color w:val="FFFFFF"/>
              </w:rPr>
              <w:t>Source and use</w:t>
            </w:r>
          </w:p>
        </w:tc>
      </w:tr>
      <w:tr>
        <w:trPr>
          <w:cantSplit/>
        </w:trPr>
        <w:tc>
          <w:tcPr>
            <w:tcW w:type="dxa" w:w="749"/>
            <w:vAlign w:val="center"/>
            <w:shd w:fill="F0F4F6"/>
            <w:tcMar>
              <w:top w:w="65" w:type="dxa"/>
              <w:bottom w:w="65" w:type="dxa"/>
              <w:left w:w="100" w:type="dxa"/>
              <w:right w:w="100" w:type="dxa"/>
            </w:tcMar>
          </w:tcPr>
          <w:p>
            <w:pPr>
              <w:pStyle w:val="TableBody"/>
              <w:keepNext w:val="0"/>
            </w:pPr>
            <w:r>
              <w:rPr>
                <w:b/>
                <w:i w:val="0"/>
              </w:rPr>
              <w:t>S1</w:t>
            </w:r>
          </w:p>
        </w:tc>
        <w:tc>
          <w:tcPr>
            <w:tcW w:type="dxa" w:w="9533"/>
            <w:vAlign w:val="center"/>
            <w:shd w:fill="F0F4F6"/>
            <w:tcMar>
              <w:top w:w="65" w:type="dxa"/>
              <w:bottom w:w="65" w:type="dxa"/>
              <w:left w:w="100" w:type="dxa"/>
              <w:right w:w="100" w:type="dxa"/>
            </w:tcMar>
          </w:tcPr>
          <w:p>
            <w:pPr>
              <w:pStyle w:val="TableBody"/>
              <w:keepNext w:val="0"/>
            </w:pPr>
            <w:r>
              <w:rPr>
                <w:b w:val="0"/>
                <w:i w:val="0"/>
              </w:rPr>
              <w:t>shailesh-12-month-operating-plan(3).md — all 17 sections, annual goals, stakeholder assumptions, routines, roadmap, and templates.</w:t>
            </w:r>
          </w:p>
        </w:tc>
      </w:tr>
      <w:tr>
        <w:trPr>
          <w:cantSplit/>
        </w:trPr>
        <w:tc>
          <w:tcPr>
            <w:tcW w:type="dxa" w:w="749"/>
            <w:vAlign w:val="center"/>
            <w:shd w:fill="FFFFFF"/>
            <w:tcMar>
              <w:top w:w="65" w:type="dxa"/>
              <w:bottom w:w="65" w:type="dxa"/>
              <w:left w:w="100" w:type="dxa"/>
              <w:right w:w="100" w:type="dxa"/>
            </w:tcMar>
          </w:tcPr>
          <w:p>
            <w:pPr>
              <w:pStyle w:val="TableBody"/>
              <w:keepNext w:val="0"/>
            </w:pPr>
            <w:r>
              <w:rPr>
                <w:b/>
                <w:i w:val="0"/>
              </w:rPr>
              <w:t>S2</w:t>
            </w:r>
          </w:p>
        </w:tc>
        <w:tc>
          <w:tcPr>
            <w:tcW w:type="dxa" w:w="9533"/>
            <w:vAlign w:val="center"/>
            <w:shd w:fill="FFFFFF"/>
            <w:tcMar>
              <w:top w:w="65" w:type="dxa"/>
              <w:bottom w:w="65" w:type="dxa"/>
              <w:left w:w="100" w:type="dxa"/>
              <w:right w:w="100" w:type="dxa"/>
            </w:tcMar>
          </w:tcPr>
          <w:p>
            <w:pPr>
              <w:pStyle w:val="TableBody"/>
              <w:keepNext w:val="0"/>
            </w:pPr>
            <w:r>
              <w:rPr>
                <w:b w:val="0"/>
                <w:i w:val="0"/>
              </w:rPr>
              <w:t>ATMOS_Bridge_Emulator_Implementation_Proposal.docx — reviewed 22-page draft; implementation choice, evidence, staffing, partner boundaries, and §11.5 priorities.</w:t>
            </w:r>
          </w:p>
        </w:tc>
      </w:tr>
      <w:tr>
        <w:trPr>
          <w:cantSplit/>
        </w:trPr>
        <w:tc>
          <w:tcPr>
            <w:tcW w:type="dxa" w:w="749"/>
            <w:vAlign w:val="center"/>
            <w:shd w:fill="F0F4F6"/>
            <w:tcMar>
              <w:top w:w="65" w:type="dxa"/>
              <w:bottom w:w="65" w:type="dxa"/>
              <w:left w:w="100" w:type="dxa"/>
              <w:right w:w="100" w:type="dxa"/>
            </w:tcMar>
          </w:tcPr>
          <w:p>
            <w:pPr>
              <w:pStyle w:val="TableBody"/>
              <w:keepNext w:val="0"/>
            </w:pPr>
            <w:r>
              <w:rPr>
                <w:b/>
                <w:i w:val="0"/>
              </w:rPr>
              <w:t>S3</w:t>
            </w:r>
          </w:p>
        </w:tc>
        <w:tc>
          <w:tcPr>
            <w:tcW w:type="dxa" w:w="9533"/>
            <w:vAlign w:val="center"/>
            <w:shd w:fill="F0F4F6"/>
            <w:tcMar>
              <w:top w:w="65" w:type="dxa"/>
              <w:bottom w:w="65" w:type="dxa"/>
              <w:left w:w="100" w:type="dxa"/>
              <w:right w:w="100" w:type="dxa"/>
            </w:tcMar>
          </w:tcPr>
          <w:p>
            <w:pPr>
              <w:pStyle w:val="TableBody"/>
              <w:keepNext w:val="0"/>
            </w:pPr>
            <w:r>
              <w:rPr>
                <w:b w:val="0"/>
                <w:i w:val="0"/>
              </w:rPr>
              <w:t>ATMOS_HBF_OEM_Platform_and_LLM_Evaluation_Plan_Draft.docx — 21-page OEM, replacement, NUMA, workload, and parallelism plan.</w:t>
            </w:r>
          </w:p>
        </w:tc>
      </w:tr>
      <w:tr>
        <w:trPr>
          <w:cantSplit/>
        </w:trPr>
        <w:tc>
          <w:tcPr>
            <w:tcW w:type="dxa" w:w="749"/>
            <w:vAlign w:val="center"/>
            <w:shd w:fill="FFFFFF"/>
            <w:tcMar>
              <w:top w:w="65" w:type="dxa"/>
              <w:bottom w:w="65" w:type="dxa"/>
              <w:left w:w="100" w:type="dxa"/>
              <w:right w:w="100" w:type="dxa"/>
            </w:tcMar>
          </w:tcPr>
          <w:p>
            <w:pPr>
              <w:pStyle w:val="TableBody"/>
              <w:keepNext w:val="0"/>
            </w:pPr>
            <w:r>
              <w:rPr>
                <w:b/>
                <w:i w:val="0"/>
              </w:rPr>
              <w:t>S4</w:t>
            </w:r>
          </w:p>
        </w:tc>
        <w:tc>
          <w:tcPr>
            <w:tcW w:type="dxa" w:w="9533"/>
            <w:vAlign w:val="center"/>
            <w:shd w:fill="FFFFFF"/>
            <w:tcMar>
              <w:top w:w="65" w:type="dxa"/>
              <w:bottom w:w="65" w:type="dxa"/>
              <w:left w:w="100" w:type="dxa"/>
              <w:right w:w="100" w:type="dxa"/>
            </w:tcMar>
          </w:tcPr>
          <w:p>
            <w:pPr>
              <w:pStyle w:val="TableBody"/>
              <w:keepNext w:val="0"/>
            </w:pPr>
            <w:r>
              <w:rPr>
                <w:b w:val="0"/>
                <w:i w:val="0"/>
              </w:rPr>
              <w:t>ATMOS_E3S_Product_and_Workstream_Proposal(1).docx — one-module E3.S versus full-card product, interfaces, engineering responsibilities.</w:t>
            </w:r>
          </w:p>
        </w:tc>
      </w:tr>
      <w:tr>
        <w:trPr>
          <w:cantSplit/>
        </w:trPr>
        <w:tc>
          <w:tcPr>
            <w:tcW w:type="dxa" w:w="749"/>
            <w:vAlign w:val="center"/>
            <w:shd w:fill="F0F4F6"/>
            <w:tcMar>
              <w:top w:w="65" w:type="dxa"/>
              <w:bottom w:w="65" w:type="dxa"/>
              <w:left w:w="100" w:type="dxa"/>
              <w:right w:w="100" w:type="dxa"/>
            </w:tcMar>
          </w:tcPr>
          <w:p>
            <w:pPr>
              <w:pStyle w:val="TableBody"/>
              <w:keepNext w:val="0"/>
            </w:pPr>
            <w:r>
              <w:rPr>
                <w:b/>
                <w:i w:val="0"/>
              </w:rPr>
              <w:t>S5</w:t>
            </w:r>
          </w:p>
        </w:tc>
        <w:tc>
          <w:tcPr>
            <w:tcW w:type="dxa" w:w="9533"/>
            <w:vAlign w:val="center"/>
            <w:shd w:fill="F0F4F6"/>
            <w:tcMar>
              <w:top w:w="65" w:type="dxa"/>
              <w:bottom w:w="65" w:type="dxa"/>
              <w:left w:w="100" w:type="dxa"/>
              <w:right w:w="100" w:type="dxa"/>
            </w:tcMar>
          </w:tcPr>
          <w:p>
            <w:pPr>
              <w:pStyle w:val="TableBody"/>
              <w:keepNext w:val="0"/>
            </w:pPr>
            <w:r>
              <w:rPr>
                <w:b w:val="0"/>
                <w:i w:val="0"/>
              </w:rPr>
              <w:t>ATMOS_E3S_HBF_Use_Case_Strategy_and_POC_Roadmap(1).docx — near-data workloads, memory-path requirements, and retrieval tests.</w:t>
            </w:r>
          </w:p>
        </w:tc>
      </w:tr>
      <w:tr>
        <w:trPr>
          <w:cantSplit/>
        </w:trPr>
        <w:tc>
          <w:tcPr>
            <w:tcW w:type="dxa" w:w="749"/>
            <w:vAlign w:val="center"/>
            <w:shd w:fill="FFFFFF"/>
            <w:tcMar>
              <w:top w:w="65" w:type="dxa"/>
              <w:bottom w:w="65" w:type="dxa"/>
              <w:left w:w="100" w:type="dxa"/>
              <w:right w:w="100" w:type="dxa"/>
            </w:tcMar>
          </w:tcPr>
          <w:p>
            <w:pPr>
              <w:pStyle w:val="TableBody"/>
              <w:keepNext w:val="0"/>
            </w:pPr>
            <w:r>
              <w:rPr>
                <w:b/>
                <w:i w:val="0"/>
              </w:rPr>
              <w:t>S6</w:t>
            </w:r>
          </w:p>
        </w:tc>
        <w:tc>
          <w:tcPr>
            <w:tcW w:type="dxa" w:w="9533"/>
            <w:vAlign w:val="center"/>
            <w:shd w:fill="FFFFFF"/>
            <w:tcMar>
              <w:top w:w="65" w:type="dxa"/>
              <w:bottom w:w="65" w:type="dxa"/>
              <w:left w:w="100" w:type="dxa"/>
              <w:right w:w="100" w:type="dxa"/>
            </w:tcMar>
          </w:tcPr>
          <w:p>
            <w:pPr>
              <w:pStyle w:val="TableBody"/>
              <w:keepNext w:val="0"/>
            </w:pPr>
            <w:r>
              <w:rPr>
                <w:b w:val="0"/>
                <w:i w:val="0"/>
              </w:rPr>
              <w:t>ATMOS_E3S_Executive_Product_and_Partner_Proposal(1).docx — buyer, partner, full-cost economics, and adoption framework.</w:t>
            </w:r>
          </w:p>
        </w:tc>
      </w:tr>
      <w:tr>
        <w:trPr>
          <w:cantSplit/>
        </w:trPr>
        <w:tc>
          <w:tcPr>
            <w:tcW w:type="dxa" w:w="749"/>
            <w:vAlign w:val="center"/>
            <w:shd w:fill="F0F4F6"/>
            <w:tcMar>
              <w:top w:w="65" w:type="dxa"/>
              <w:bottom w:w="65" w:type="dxa"/>
              <w:left w:w="100" w:type="dxa"/>
              <w:right w:w="100" w:type="dxa"/>
            </w:tcMar>
          </w:tcPr>
          <w:p>
            <w:pPr>
              <w:pStyle w:val="TableBody"/>
              <w:keepNext w:val="0"/>
            </w:pPr>
            <w:r>
              <w:rPr>
                <w:b/>
                <w:i w:val="0"/>
              </w:rPr>
              <w:t>S7</w:t>
            </w:r>
          </w:p>
        </w:tc>
        <w:tc>
          <w:tcPr>
            <w:tcW w:type="dxa" w:w="9533"/>
            <w:vAlign w:val="center"/>
            <w:shd w:fill="F0F4F6"/>
            <w:tcMar>
              <w:top w:w="65" w:type="dxa"/>
              <w:bottom w:w="65" w:type="dxa"/>
              <w:left w:w="100" w:type="dxa"/>
              <w:right w:w="100" w:type="dxa"/>
            </w:tcMar>
          </w:tcPr>
          <w:p>
            <w:pPr>
              <w:pStyle w:val="TableBody"/>
              <w:keepNext w:val="0"/>
            </w:pPr>
            <w:r>
              <w:rPr>
                <w:b w:val="0"/>
                <w:i w:val="0"/>
              </w:rPr>
              <w:t>IMG_1041.jpeg — supplied passive-backplane / MCIO / separate-switch-card illustration; unconfirmed implementation details.</w:t>
            </w:r>
          </w:p>
        </w:tc>
      </w:tr>
      <w:tr>
        <w:trPr>
          <w:cantSplit/>
        </w:trPr>
        <w:tc>
          <w:tcPr>
            <w:tcW w:type="dxa" w:w="749"/>
            <w:vAlign w:val="center"/>
            <w:shd w:fill="FFFFFF"/>
            <w:tcMar>
              <w:top w:w="65" w:type="dxa"/>
              <w:bottom w:w="65" w:type="dxa"/>
              <w:left w:w="100" w:type="dxa"/>
              <w:right w:w="100" w:type="dxa"/>
            </w:tcMar>
          </w:tcPr>
          <w:p>
            <w:pPr>
              <w:pStyle w:val="TableBody"/>
              <w:keepNext w:val="0"/>
            </w:pPr>
            <w:r>
              <w:rPr>
                <w:b/>
                <w:i w:val="0"/>
              </w:rPr>
              <w:t>S8</w:t>
            </w:r>
          </w:p>
        </w:tc>
        <w:tc>
          <w:tcPr>
            <w:tcW w:type="dxa" w:w="9533"/>
            <w:vAlign w:val="center"/>
            <w:shd w:fill="FFFFFF"/>
            <w:tcMar>
              <w:top w:w="65" w:type="dxa"/>
              <w:bottom w:w="65" w:type="dxa"/>
              <w:left w:w="100" w:type="dxa"/>
              <w:right w:w="100" w:type="dxa"/>
            </w:tcMar>
          </w:tcPr>
          <w:p>
            <w:pPr>
              <w:pStyle w:val="TableBody"/>
              <w:keepNext w:val="0"/>
            </w:pPr>
            <w:r>
              <w:rPr>
                <w:b w:val="0"/>
                <w:i w:val="0"/>
              </w:rPr>
              <w:t>PROPOSAL.md — previously discussed Rust/C++ digital-twin design; reusable concepts, not assumed approved alongside S2.</w:t>
            </w:r>
          </w:p>
        </w:tc>
      </w:tr>
      <w:tr>
        <w:trPr>
          <w:cantSplit/>
        </w:trPr>
        <w:tc>
          <w:tcPr>
            <w:tcW w:type="dxa" w:w="749"/>
            <w:vAlign w:val="center"/>
            <w:shd w:fill="F0F4F6"/>
            <w:tcMar>
              <w:top w:w="65" w:type="dxa"/>
              <w:bottom w:w="65" w:type="dxa"/>
              <w:left w:w="100" w:type="dxa"/>
              <w:right w:w="100" w:type="dxa"/>
            </w:tcMar>
          </w:tcPr>
          <w:p>
            <w:pPr>
              <w:pStyle w:val="TableBody"/>
              <w:keepNext w:val="0"/>
            </w:pPr>
            <w:r>
              <w:rPr>
                <w:b/>
                <w:i w:val="0"/>
              </w:rPr>
              <w:t>S9</w:t>
            </w:r>
          </w:p>
        </w:tc>
        <w:tc>
          <w:tcPr>
            <w:tcW w:type="dxa" w:w="9533"/>
            <w:vAlign w:val="center"/>
            <w:shd w:fill="F0F4F6"/>
            <w:tcMar>
              <w:top w:w="65" w:type="dxa"/>
              <w:bottom w:w="65" w:type="dxa"/>
              <w:left w:w="100" w:type="dxa"/>
              <w:right w:w="100" w:type="dxa"/>
            </w:tcMar>
          </w:tcPr>
          <w:p>
            <w:pPr>
              <w:pStyle w:val="TableBody"/>
              <w:keepNext w:val="0"/>
            </w:pPr>
            <w:r>
              <w:rPr>
                <w:b w:val="0"/>
                <w:i w:val="0"/>
              </w:rPr>
              <w:t>README_ATMOS_Final_Deck_Review_and_Slides_04-12(1).md — evidence/axis/claim corrections.</w:t>
            </w:r>
          </w:p>
        </w:tc>
      </w:tr>
      <w:tr>
        <w:trPr>
          <w:cantSplit/>
        </w:trPr>
        <w:tc>
          <w:tcPr>
            <w:tcW w:type="dxa" w:w="749"/>
            <w:vAlign w:val="center"/>
            <w:shd w:fill="FFFFFF"/>
            <w:tcMar>
              <w:top w:w="65" w:type="dxa"/>
              <w:bottom w:w="65" w:type="dxa"/>
              <w:left w:w="100" w:type="dxa"/>
              <w:right w:w="100" w:type="dxa"/>
            </w:tcMar>
          </w:tcPr>
          <w:p>
            <w:pPr>
              <w:pStyle w:val="TableBody"/>
              <w:keepNext w:val="0"/>
            </w:pPr>
            <w:r>
              <w:rPr>
                <w:b/>
                <w:i w:val="0"/>
              </w:rPr>
              <w:t>S10</w:t>
            </w:r>
          </w:p>
        </w:tc>
        <w:tc>
          <w:tcPr>
            <w:tcW w:type="dxa" w:w="9533"/>
            <w:vAlign w:val="center"/>
            <w:shd w:fill="FFFFFF"/>
            <w:tcMar>
              <w:top w:w="65" w:type="dxa"/>
              <w:bottom w:w="65" w:type="dxa"/>
              <w:left w:w="100" w:type="dxa"/>
              <w:right w:w="100" w:type="dxa"/>
            </w:tcMar>
          </w:tcPr>
          <w:p>
            <w:pPr>
              <w:pStyle w:val="TableBody"/>
              <w:keepNext w:val="0"/>
            </w:pPr>
            <w:r>
              <w:rPr>
                <w:b w:val="0"/>
                <w:i w:val="0"/>
              </w:rPr>
              <w:t>ATMOS_Two_Worked_Scenarios.md and package — educational replay, not TokenSim or physical ATMOS measurements.</w:t>
            </w:r>
          </w:p>
        </w:tc>
      </w:tr>
    </w:tbl>
    <w:p>
      <w:pPr>
        <w:spacing w:after="60" w:before="0" w:line="40" w:lineRule="exact"/>
      </w:pPr>
      <w:r>
        <w:rPr>
          <w:sz w:val="4"/>
        </w:rPr>
      </w:r>
    </w:p>
    <w:p>
      <w:pPr>
        <w:pStyle w:val="Heading2"/>
      </w:pPr>
      <w:r>
        <w:rPr>
          <w:b w:val="0"/>
          <w:i w:val="0"/>
        </w:rPr>
        <w:t>Public references</w:t>
      </w:r>
    </w:p>
    <w:p>
      <w:r>
        <w:rPr>
          <w:b/>
          <w:i w:val="0"/>
        </w:rPr>
        <w:t>R1:</w:t>
      </w:r>
      <w:r>
        <w:rPr>
          <w:b w:val="0"/>
          <w:i w:val="0"/>
        </w:rPr>
        <w:t xml:space="preserve"> </w:t>
      </w:r>
      <w:hyperlink r:id="rId40">
        <w:r>
          <w:rPr>
            <w:color w:val="0D7477"/>
            <w:u w:val="single"/>
          </w:rPr>
          <w:t xml:space="preserve">Dell R770 service manual</w:t>
        </w:r>
      </w:hyperlink>
      <w:r>
        <w:rPr>
          <w:b w:val="0"/>
          <w:i w:val="0"/>
        </w:rPr>
        <w:t xml:space="preserve">. </w:t>
      </w:r>
      <w:r>
        <w:rPr>
          <w:b/>
          <w:i w:val="0"/>
        </w:rPr>
        <w:t>R2:</w:t>
      </w:r>
      <w:r>
        <w:rPr>
          <w:b w:val="0"/>
          <w:i w:val="0"/>
        </w:rPr>
        <w:t xml:space="preserve"> </w:t>
      </w:r>
      <w:hyperlink r:id="rId23">
        <w:r>
          <w:rPr>
            <w:color w:val="0D7477"/>
            <w:u w:val="single"/>
          </w:rPr>
          <w:t xml:space="preserve">SNIA form factors</w:t>
        </w:r>
      </w:hyperlink>
      <w:r>
        <w:rPr>
          <w:b w:val="0"/>
          <w:i w:val="0"/>
        </w:rPr>
        <w:t xml:space="preserve">. </w:t>
      </w:r>
      <w:r>
        <w:rPr>
          <w:b/>
          <w:i w:val="0"/>
        </w:rPr>
        <w:t>R3:</w:t>
      </w:r>
      <w:r>
        <w:rPr>
          <w:b w:val="0"/>
          <w:i w:val="0"/>
        </w:rPr>
        <w:t xml:space="preserve"> </w:t>
      </w:r>
      <w:hyperlink r:id="rId41">
        <w:r>
          <w:rPr>
            <w:color w:val="0D7477"/>
            <w:u w:val="single"/>
          </w:rPr>
          <w:t xml:space="preserve">Linux PCI peer-to-peer DMA</w:t>
        </w:r>
      </w:hyperlink>
      <w:r>
        <w:rPr>
          <w:b w:val="0"/>
          <w:i w:val="0"/>
        </w:rPr>
        <w:t xml:space="preserve">. </w:t>
      </w:r>
      <w:r>
        <w:rPr>
          <w:b/>
          <w:i w:val="0"/>
        </w:rPr>
        <w:t>R4:</w:t>
      </w:r>
      <w:r>
        <w:rPr>
          <w:b w:val="0"/>
          <w:i w:val="0"/>
        </w:rPr>
        <w:t xml:space="preserve"> </w:t>
      </w:r>
      <w:hyperlink r:id="rId42">
        <w:r>
          <w:rPr>
            <w:color w:val="0D7477"/>
            <w:u w:val="single"/>
          </w:rPr>
          <w:t xml:space="preserve">NVIDIA GDS design guide</w:t>
        </w:r>
      </w:hyperlink>
      <w:r>
        <w:rPr>
          <w:b w:val="0"/>
          <w:i w:val="0"/>
        </w:rPr>
        <w:t>.</w:t>
      </w:r>
    </w:p>
    <w:p>
      <w:r>
        <w:rPr>
          <w:b/>
          <w:i w:val="0"/>
        </w:rPr>
        <w:t>R5–R7:</w:t>
      </w:r>
      <w:r>
        <w:rPr>
          <w:b w:val="0"/>
          <w:i w:val="0"/>
        </w:rPr>
        <w:t xml:space="preserve"> lesson 17 networking, lesson 18 MoE, lesson 19 NCCL. </w:t>
      </w:r>
      <w:r>
        <w:rPr>
          <w:b/>
          <w:i w:val="0"/>
        </w:rPr>
        <w:t>R8:</w:t>
      </w:r>
      <w:r>
        <w:rPr>
          <w:b w:val="0"/>
          <w:i w:val="0"/>
        </w:rPr>
        <w:t xml:space="preserve"> </w:t>
      </w:r>
      <w:hyperlink r:id="rId36">
        <w:r>
          <w:rPr>
            <w:color w:val="0D7477"/>
            <w:u w:val="single"/>
          </w:rPr>
          <w:t xml:space="preserve">NVIDIA benchmarking fundamentals</w:t>
        </w:r>
      </w:hyperlink>
      <w:r>
        <w:rPr>
          <w:b w:val="0"/>
          <w:i w:val="0"/>
        </w:rPr>
        <w:t xml:space="preserve">. </w:t>
      </w:r>
      <w:r>
        <w:rPr>
          <w:b/>
          <w:i w:val="0"/>
        </w:rPr>
        <w:t>R9:</w:t>
      </w:r>
      <w:r>
        <w:rPr>
          <w:b w:val="0"/>
          <w:i w:val="0"/>
        </w:rPr>
        <w:t xml:space="preserve"> </w:t>
      </w:r>
      <w:hyperlink r:id="rId37">
        <w:r>
          <w:rPr>
            <w:color w:val="0D7477"/>
            <w:u w:val="single"/>
          </w:rPr>
          <w:t xml:space="preserve">vLLM parallelism</w:t>
        </w:r>
      </w:hyperlink>
      <w:r>
        <w:rPr>
          <w:b w:val="0"/>
          <w:i w:val="0"/>
        </w:rPr>
        <w:t xml:space="preserve"> and </w:t>
      </w:r>
      <w:hyperlink r:id="rId38">
        <w:r>
          <w:rPr>
            <w:color w:val="0D7477"/>
            <w:u w:val="single"/>
          </w:rPr>
          <w:t xml:space="preserve">EP</w:t>
        </w:r>
      </w:hyperlink>
      <w:r>
        <w:rPr>
          <w:b w:val="0"/>
          <w:i w:val="0"/>
        </w:rPr>
        <w:t xml:space="preserve">. </w:t>
      </w:r>
      <w:r>
        <w:rPr>
          <w:b/>
          <w:i w:val="0"/>
        </w:rPr>
        <w:t>R10:</w:t>
      </w:r>
      <w:r>
        <w:rPr>
          <w:b w:val="0"/>
          <w:i w:val="0"/>
        </w:rPr>
        <w:t xml:space="preserve"> </w:t>
      </w:r>
      <w:hyperlink r:id="rId39">
        <w:r>
          <w:rPr>
            <w:color w:val="0D7477"/>
            <w:u w:val="single"/>
          </w:rPr>
          <w:t xml:space="preserve">Kubernetes architecture</w:t>
        </w:r>
      </w:hyperlink>
      <w:r>
        <w:rPr>
          <w:b w:val="0"/>
          <w:i w:val="0"/>
        </w:rPr>
        <w:t xml:space="preserve">. </w:t>
      </w:r>
      <w:r>
        <w:rPr>
          <w:b/>
          <w:i w:val="0"/>
        </w:rPr>
        <w:t>V1–V16:</w:t>
      </w:r>
      <w:r>
        <w:rPr>
          <w:b w:val="0"/>
          <w:i w:val="0"/>
        </w:rPr>
        <w:t xml:space="preserve"> direct lesson and publisher links in §8.</w:t>
      </w:r>
    </w:p>
    <w:p>
      <w:r>
        <w:rPr>
          <w:b/>
          <w:i w:val="0"/>
        </w:rPr>
        <w:t>Source status:</w:t>
      </w:r>
      <w:r>
        <w:rPr>
          <w:b w:val="0"/>
          <w:i w:val="0"/>
        </w:rPr>
        <w:t xml:space="preserve"> source files are supplied planning material, not independently verified releases. New prioritization, allocations, checkpoint dates, exercises, and scope substitutions are this revision’s recommendations. Use current controlled sources before external claims or physical changes. Public link access is described in §8; no claim of complete video playback review is made.</w:t>
      </w:r>
    </w:p>
    <w:sectPr w:rsidR="00FC693F" w:rsidRPr="0006063C" w:rsidSect="00034616">
      <w:headerReference w:type="default" r:id="rId9"/>
      <w:footerReference w:type="default" r:id="rId10"/>
      <w:pgSz w:w="12240" w:h="15840"/>
      <w:pgMar w:top="893" w:right="979" w:bottom="893" w:left="979"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line"/>
      <w:tabs>
        <w:tab w:pos="10282" w:val="right"/>
      </w:tabs>
    </w:pPr>
    <w:r>
      <w:t>Proposed v2.0  •  23 September 2026  •  Targets require agreement</w:t>
    </w:r>
    <w:r>
      <w:tab/>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line"/>
      <w:tabs>
        <w:tab w:pos="10282" w:val="right"/>
      </w:tabs>
      <w:pBdr>
        <w:bottom w:val="single" w:sz="5" w:color="D6E0E5"/>
      </w:pBdr>
    </w:pPr>
    <w:r>
      <w:rPr>
        <w:b/>
      </w:rPr>
      <w:t>ATMOS  /  OPERATING &amp; LEARNING PLAN</w:t>
    </w:r>
    <w:r>
      <w:tab/>
      <w:t>INTERNAL WORKING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2" w:lineRule="auto"/>
    </w:pPr>
    <w:rPr>
      <w:rFonts w:ascii="Calibri" w:hAnsi="Calibri"/>
      <w:color w:val="293A48"/>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73047"/>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8C2335"/>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D74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0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62" w:lineRule="auto"/>
    </w:pPr>
    <w:rPr>
      <w:rFonts w:ascii="Calibri" w:hAnsi="Calibri"/>
      <w:color w:val="293A48"/>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62" w:lineRule="auto"/>
      <w:contextualSpacing/>
    </w:pPr>
    <w:rPr>
      <w:rFonts w:ascii="Calibri" w:hAnsi="Calibri"/>
      <w:color w:val="293A4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line="262" w:lineRule="auto"/>
      <w:contextualSpacing/>
    </w:pPr>
    <w:rPr>
      <w:rFonts w:ascii="Calibri" w:hAnsi="Calibri"/>
      <w:color w:val="293A4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widowControl/>
      <w:spacing w:after="0" w:line="245" w:lineRule="auto"/>
    </w:pPr>
    <w:rPr>
      <w:rFonts w:ascii="Calibri" w:hAnsi="Calibri"/>
      <w:color w:val="293A48"/>
      <w:sz w:val="21"/>
    </w:rPr>
  </w:style>
  <w:style w:type="paragraph" w:customStyle="1" w:styleId="TableHead">
    <w:name w:val="Table Head"/>
    <w:pPr>
      <w:spacing w:after="0" w:line="245" w:lineRule="auto"/>
    </w:pPr>
    <w:rPr>
      <w:rFonts w:ascii="Calibri" w:hAnsi="Calibri"/>
      <w:b/>
      <w:color w:val="FFFFFF"/>
      <w:sz w:val="21"/>
    </w:rPr>
  </w:style>
  <w:style w:type="paragraph" w:customStyle="1" w:styleId="Kicker">
    <w:name w:val="Kicker"/>
    <w:pPr>
      <w:spacing w:after="0" w:line="245" w:lineRule="auto"/>
    </w:pPr>
    <w:rPr>
      <w:rFonts w:ascii="Calibri" w:hAnsi="Calibri"/>
      <w:b/>
      <w:color w:val="8C2335"/>
      <w:sz w:val="18"/>
    </w:rPr>
  </w:style>
  <w:style w:type="paragraph" w:customStyle="1" w:styleId="Footline">
    <w:name w:val="Footline"/>
    <w:pPr>
      <w:spacing w:after="0" w:line="245" w:lineRule="auto"/>
    </w:pPr>
    <w:rPr>
      <w:rFonts w:ascii="Calibri" w:hAnsi="Calibri"/>
      <w:color w:val="627180"/>
      <w:sz w:val="16"/>
    </w:rPr>
  </w:style>
  <w:style w:type="paragraph" w:customStyle="1" w:styleId="TOCEntry">
    <w:name w:val="TOCEntry"/>
    <w:pPr>
      <w:spacing w:after="0" w:line="245" w:lineRule="auto"/>
    </w:pPr>
    <w:rPr>
      <w:rFonts w:ascii="Calibri" w:hAnsi="Calibri"/>
      <w:color w:val="293A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nTtdEYRh8WI" TargetMode="External"/><Relationship Id="rId12" Type="http://schemas.openxmlformats.org/officeDocument/2006/relationships/hyperlink" Target="https://www.explainingcomputers.com/hardware_guides_videos.html" TargetMode="External"/><Relationship Id="rId13" Type="http://schemas.openxmlformats.org/officeDocument/2006/relationships/hyperlink" Target="https://www.youtube.com/watch?v=jx-w2o-Lj8g" TargetMode="External"/><Relationship Id="rId14" Type="http://schemas.openxmlformats.org/officeDocument/2006/relationships/hyperlink" Target="https://www.youtube.com/watch?v=qmJWkfOTOPg" TargetMode="External"/><Relationship Id="rId15" Type="http://schemas.openxmlformats.org/officeDocument/2006/relationships/hyperlink" Target="https://www.youtube.com/watch?v=W7sIU8UoTpA" TargetMode="External"/><Relationship Id="rId16" Type="http://schemas.openxmlformats.org/officeDocument/2006/relationships/hyperlink" Target="https://www.professormesser.com/free-a-plus-training/220-1101/220-1101-video/memory-technologies-220-1101/" TargetMode="External"/><Relationship Id="rId17" Type="http://schemas.openxmlformats.org/officeDocument/2006/relationships/hyperlink" Target="https://www.dell.com/support/contents/en-us/videos/videoplayer/how-to-replace-ram-for-poweredge-r520/6079803323001" TargetMode="External"/><Relationship Id="rId18" Type="http://schemas.openxmlformats.org/officeDocument/2006/relationships/hyperlink" Target="https://www.youtube.com/watch?v=psQa3dSk4JY" TargetMode="External"/><Relationship Id="rId19" Type="http://schemas.openxmlformats.org/officeDocument/2006/relationships/hyperlink" Target="https://www.youtube.com/watch?v=PrXwe21biJo" TargetMode="External"/><Relationship Id="rId20" Type="http://schemas.openxmlformats.org/officeDocument/2006/relationships/hyperlink" Target="https://www.youtube.com/watch?v=Ce-y_vT0N4o" TargetMode="External"/><Relationship Id="rId21" Type="http://schemas.openxmlformats.org/officeDocument/2006/relationships/hyperlink" Target="https://www.youtube.com/watch?v=EXLfErPEYiw" TargetMode="External"/><Relationship Id="rId22" Type="http://schemas.openxmlformats.org/officeDocument/2006/relationships/hyperlink" Target="https://www.youtube.com/watch?v=AuYL4UQ2qzw" TargetMode="External"/><Relationship Id="rId23" Type="http://schemas.openxmlformats.org/officeDocument/2006/relationships/hyperlink" Target="https://www.snia.org/forums/cmsi/knowledge/formfactors" TargetMode="External"/><Relationship Id="rId24" Type="http://schemas.openxmlformats.org/officeDocument/2006/relationships/hyperlink" Target="https://www.dell.com/support/contents/en-us/videos/videoplayer/how-to-replace-the-edsff-backplane-on-a-poweredge-r570/6373640669112" TargetMode="External"/><Relationship Id="rId25" Type="http://schemas.openxmlformats.org/officeDocument/2006/relationships/hyperlink" Target="https://www.youtube.com/watch?v=RhQyIIsCeSM" TargetMode="External"/><Relationship Id="rId26" Type="http://schemas.openxmlformats.org/officeDocument/2006/relationships/hyperlink" Target="https://www.amphenol-cs.com/product-series/mini-cool-edge-io.html" TargetMode="External"/><Relationship Id="rId27" Type="http://schemas.openxmlformats.org/officeDocument/2006/relationships/hyperlink" Target="https://www.youtube.com/watch?v=VnfFk1W1MqE" TargetMode="External"/><Relationship Id="rId28" Type="http://schemas.openxmlformats.org/officeDocument/2006/relationships/hyperlink" Target="https://www.youtube.com/watch?v=h9Z4oGN89MU" TargetMode="External"/><Relationship Id="rId29" Type="http://schemas.openxmlformats.org/officeDocument/2006/relationships/hyperlink" Target="https://www.youtube.com/watch?v=jSAJQiTOIPk" TargetMode="External"/><Relationship Id="rId30" Type="http://schemas.openxmlformats.org/officeDocument/2006/relationships/hyperlink" Target="https://www.professormesser.com/free-a-plus-training/220-1101/220-1101-video/the-bios-220-1101/" TargetMode="External"/><Relationship Id="rId31" Type="http://schemas.openxmlformats.org/officeDocument/2006/relationships/hyperlink" Target="https://www.youtube.com/watch?v=xXTadDEf1F0" TargetMode="External"/><Relationship Id="rId32" Type="http://schemas.openxmlformats.org/officeDocument/2006/relationships/hyperlink" Target="https://www.professormesser.com/free-a-plus-training/220-1101/220-1101-video/cooling-220-1101/" TargetMode="External"/><Relationship Id="rId33" Type="http://schemas.openxmlformats.org/officeDocument/2006/relationships/hyperlink" Target="https://www.professormesser.com/network-plus/n10-009/n10-009-video/networking-devices-n10-009/" TargetMode="External"/><Relationship Id="rId34" Type="http://schemas.openxmlformats.org/officeDocument/2006/relationships/hyperlink" Target="https://www.nvidia.com/en-us/glossary/mixture-of-experts/" TargetMode="External"/><Relationship Id="rId35" Type="http://schemas.openxmlformats.org/officeDocument/2006/relationships/hyperlink" Target="https://www.nvidia.com/en-us/on-demand/session/gtc25-s72583/" TargetMode="External"/><Relationship Id="rId36" Type="http://schemas.openxmlformats.org/officeDocument/2006/relationships/hyperlink" Target="https://developer.nvidia.com/blog/llm-benchmarking-fundamental-concepts/" TargetMode="External"/><Relationship Id="rId37" Type="http://schemas.openxmlformats.org/officeDocument/2006/relationships/hyperlink" Target="https://docs.vllm.ai/en/latest/serving/parallelism_scaling/" TargetMode="External"/><Relationship Id="rId38" Type="http://schemas.openxmlformats.org/officeDocument/2006/relationships/hyperlink" Target="https://docs.vllm.ai/en/latest/serving/expert_parallel_deployment/" TargetMode="External"/><Relationship Id="rId39" Type="http://schemas.openxmlformats.org/officeDocument/2006/relationships/hyperlink" Target="https://kubernetes.io/docs/concepts/architecture/" TargetMode="External"/><Relationship Id="rId40" Type="http://schemas.openxmlformats.org/officeDocument/2006/relationships/hyperlink" Target="https://www.dell.com/support/manuals/en-us/poweredge-r770/r770_ism_pub/Introduction?guid=guid-92f4ae28-dee6-4ba1-96c2-64326abb8d51&amp;lang=en-us" TargetMode="External"/><Relationship Id="rId41" Type="http://schemas.openxmlformats.org/officeDocument/2006/relationships/hyperlink" Target="https://docs.kernel.org/driver-api/pci/p2pdma.html" TargetMode="External"/><Relationship Id="rId42" Type="http://schemas.openxmlformats.org/officeDocument/2006/relationships/hyperlink" Target="https://docs.nvidia.com/gpudirect-storage/design-guid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Operating &amp; Learning Plan — 1, 3, and 6 Months</dc:title>
  <dc:subject>Shailesh Pilare: hardware learning, evidence, OEM and partner execution, annual continuation</dc:subject>
  <dc:creator>ATMOS Planning</dc:creator>
  <cp:keywords>ATMOS; HBF; E3.S; learning; operating plan; OEM; simulation; partner</cp:keywords>
  <dc:description>generated by python-docx</dc:description>
  <cp:lastModifiedBy/>
  <cp:revision>1</cp:revision>
  <dcterms:created xsi:type="dcterms:W3CDTF">2013-12-23T23:15:00Z</dcterms:created>
  <dcterms:modified xsi:type="dcterms:W3CDTF">2013-12-23T23:15:00Z</dcterms:modified>
  <cp:category/>
</cp:coreProperties>
</file>