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D3C562" w14:textId="77777777" w:rsidR="0085422C" w:rsidRDefault="00000000">
      <w:pPr>
        <w:spacing w:line="259" w:lineRule="auto"/>
      </w:pPr>
      <w:r>
        <w:rPr>
          <w:b/>
          <w:color w:val="A73545"/>
          <w:sz w:val="18"/>
        </w:rPr>
        <w:t>RACK-SCALE TARGET • RTX POC/MVP • MoE ONLY • SWITCHED E3.S</w:t>
      </w:r>
    </w:p>
    <w:p w14:paraId="6948053C" w14:textId="49199BC2" w:rsidR="0085422C" w:rsidRDefault="00000000">
      <w:pPr>
        <w:spacing w:after="120"/>
      </w:pPr>
      <w:r>
        <w:rPr>
          <w:b/>
          <w:color w:val="16324F"/>
          <w:sz w:val="60"/>
        </w:rPr>
        <w:t xml:space="preserve">ATMOS E3.S for </w:t>
      </w:r>
      <w:proofErr w:type="spellStart"/>
      <w:r>
        <w:rPr>
          <w:b/>
          <w:color w:val="16324F"/>
          <w:sz w:val="60"/>
        </w:rPr>
        <w:t>MoE</w:t>
      </w:r>
      <w:proofErr w:type="spellEnd"/>
      <w:r>
        <w:rPr>
          <w:b/>
          <w:color w:val="16324F"/>
          <w:sz w:val="60"/>
        </w:rPr>
        <w:t xml:space="preserve"> Serving</w:t>
      </w:r>
    </w:p>
    <w:p w14:paraId="0AFDB753" w14:textId="77777777" w:rsidR="0085422C" w:rsidRPr="006002B0" w:rsidRDefault="00427847">
      <w:pPr>
        <w:spacing w:after="280"/>
        <w:rPr>
          <w:sz w:val="15"/>
          <w:szCs w:val="18"/>
        </w:rPr>
      </w:pPr>
      <w:r>
        <w:rPr>
          <w:i/>
          <w:color w:val="66727D"/>
          <w:sz w:val="26"/>
        </w:rPr>
        <w:t>Hybrid expert acceleration for NVIDIA NVL and AMD Helios • RTX as POC/MVP reference</w:t>
      </w:r>
    </w:p>
    <w:p w14:paraId="426EAD8A" w14:textId="77777777" w:rsidR="0085422C" w:rsidRDefault="00000000" w:rsidP="00582286">
      <w:r>
        <w:rPr>
          <w:rFonts w:eastAsia="Noto Sans"/>
          <w:b/>
          <w:color w:val="16324F"/>
          <w:sz w:val="36"/>
        </w:rPr>
        <w:t>Executive summary</w:t>
      </w:r>
    </w:p>
    <w:p w14:paraId="61A74686" w14:textId="76793EDF" w:rsidR="0085422C" w:rsidRPr="00FB525F" w:rsidRDefault="00582286">
      <w:pPr>
        <w:spacing w:after="100" w:line="259" w:lineRule="auto"/>
        <w:rPr>
          <w:rFonts w:eastAsia="Noto Sans"/>
          <w:color w:val="24313D"/>
          <w:sz w:val="20"/>
        </w:rPr>
      </w:pPr>
      <w:r>
        <w:rPr>
          <w:sz w:val="18"/>
        </w:rPr>
        <w:t>This proposal defines a phased path for transforming ATMOS from a pre-silicon concept into a qualified MoE inference accelerator. The real product target is rack-scale serving on NVIDIA NVL and AMD Helios; an eight-RTX + eight-ATMOS configuration is used only as the POC/MVP vehicle to prove the heterogeneous expert ABI, switched E3.S subsystem, runtime/DMA path and economic threshold. Across platforms, the native GPU tier keeps attention, active KV and the learned router while ATMOS keeps routed-expert weights in HBF and executes their FFNs.</w:t>
      </w:r>
    </w:p>
    <w:p w14:paraId="69497518" w14:textId="77777777" w:rsidR="0085422C" w:rsidRDefault="00000000">
      <w:pPr>
        <w:pStyle w:val="ListBullet"/>
        <w:spacing w:after="60" w:line="252" w:lineRule="auto"/>
        <w:ind w:left="259" w:hanging="173"/>
      </w:pPr>
      <w:r w:rsidRPr="003431E3">
        <w:rPr>
          <w:b/>
          <w:bCs/>
        </w:rPr>
        <w:t>Product target</w:t>
      </w:r>
      <w:r>
        <w:t>: earn the product on NVIDIA NVL and/or AMD Helios; RTX is evidence, not the final ROI claim.</w:t>
      </w:r>
    </w:p>
    <w:p w14:paraId="421E0192" w14:textId="77777777" w:rsidR="0085422C" w:rsidRDefault="00000000">
      <w:pPr>
        <w:pStyle w:val="ListBullet"/>
        <w:spacing w:after="60" w:line="252" w:lineRule="auto"/>
        <w:ind w:left="259" w:hanging="173"/>
      </w:pPr>
      <w:r w:rsidRPr="003431E3">
        <w:rPr>
          <w:b/>
          <w:bCs/>
        </w:rPr>
        <w:t>Economic thesis</w:t>
      </w:r>
      <w:r>
        <w:t>: increase accepted MoE work per unit of GPU infrastructure, then spend the headroom on throughput, KV/concurrency, fewer active GPU units, or lower scale-out traffic while preserving quality, TTFT and TPOT.</w:t>
      </w:r>
    </w:p>
    <w:p w14:paraId="142F0E71" w14:textId="77777777" w:rsidR="0085422C" w:rsidRDefault="00000000">
      <w:pPr>
        <w:pStyle w:val="ListBullet"/>
        <w:spacing w:after="60" w:line="252" w:lineRule="auto"/>
        <w:ind w:left="259" w:hanging="173"/>
      </w:pPr>
      <w:r w:rsidRPr="003431E3">
        <w:rPr>
          <w:b/>
          <w:bCs/>
        </w:rPr>
        <w:t>Portability rule</w:t>
      </w:r>
      <w:r>
        <w:t xml:space="preserve">: use stock CUDA/NCCL or ROCm/HIP/RCCL; </w:t>
      </w:r>
      <w:r w:rsidRPr="003431E3">
        <w:rPr>
          <w:b/>
          <w:bCs/>
        </w:rPr>
        <w:t>do not modify proprietary GPU firmware/drivers; keep ATMOS outside NVLink/NVSwitch and UALink</w:t>
      </w:r>
      <w:r>
        <w:t>. Host staging is the guaranteed transport baseline.</w:t>
      </w:r>
    </w:p>
    <w:p w14:paraId="6C49B4B4" w14:textId="77777777" w:rsidR="0085422C" w:rsidRDefault="00000000">
      <w:pPr>
        <w:pStyle w:val="ListBullet"/>
        <w:spacing w:after="60" w:line="252" w:lineRule="auto"/>
        <w:ind w:left="259" w:hanging="173"/>
      </w:pPr>
      <w:r w:rsidRPr="003431E3">
        <w:rPr>
          <w:b/>
          <w:bCs/>
        </w:rPr>
        <w:t>Validation discipline</w:t>
      </w:r>
      <w:r>
        <w:t>: four grouped POCs progress from a vendor-neutral expert primitive to the switched E3.S subsystem, RTX MVP, and independent rack-scale qualification on NVIDIA NVL and AMD Helios.</w:t>
      </w:r>
    </w:p>
    <w:p w14:paraId="62A64B4F" w14:textId="77777777" w:rsidR="0085422C" w:rsidRDefault="0085422C">
      <w:pPr>
        <w:spacing w:after="20"/>
      </w:pPr>
    </w:p>
    <w:p w14:paraId="20A40186" w14:textId="77777777" w:rsidR="0085422C" w:rsidRDefault="00000000">
      <w:pPr>
        <w:keepNext/>
        <w:spacing w:before="60" w:after="60"/>
      </w:pPr>
      <w:r>
        <w:rPr>
          <w:rFonts w:eastAsia="Noto Sans"/>
          <w:b/>
          <w:color w:val="16324F"/>
          <w:sz w:val="25"/>
        </w:rPr>
        <w:t>Reading map</w:t>
      </w:r>
    </w:p>
    <w:tbl>
      <w:tblPr>
        <w:tblStyle w:val="TableGrid"/>
        <w:tblW w:w="0" w:type="auto"/>
        <w:jc w:val="center"/>
        <w:tblLayout w:type="fixed"/>
        <w:tblLook w:val="04A0" w:firstRow="1" w:lastRow="0" w:firstColumn="1" w:lastColumn="0" w:noHBand="0" w:noVBand="1"/>
      </w:tblPr>
      <w:tblGrid>
        <w:gridCol w:w="1440"/>
        <w:gridCol w:w="3960"/>
        <w:gridCol w:w="4608"/>
      </w:tblGrid>
      <w:tr w:rsidR="0085422C" w14:paraId="18954CEC" w14:textId="77777777">
        <w:trPr>
          <w:tblHeader/>
          <w:jc w:val="center"/>
        </w:trPr>
        <w:tc>
          <w:tcPr>
            <w:tcW w:w="1440" w:type="dxa"/>
            <w:shd w:val="clear" w:color="auto" w:fill="16324F"/>
            <w:tcMar>
              <w:top w:w="80" w:type="dxa"/>
              <w:left w:w="90" w:type="dxa"/>
              <w:bottom w:w="80" w:type="dxa"/>
              <w:right w:w="90" w:type="dxa"/>
            </w:tcMar>
            <w:vAlign w:val="center"/>
          </w:tcPr>
          <w:p w14:paraId="4EDB33C4" w14:textId="77777777" w:rsidR="00846FAB" w:rsidRDefault="00000000">
            <w:r>
              <w:rPr>
                <w:b/>
                <w:color w:val="FFFFFF"/>
                <w:sz w:val="16"/>
              </w:rPr>
              <w:t>Part</w:t>
            </w:r>
          </w:p>
        </w:tc>
        <w:tc>
          <w:tcPr>
            <w:tcW w:w="3960" w:type="dxa"/>
            <w:shd w:val="clear" w:color="auto" w:fill="16324F"/>
            <w:tcMar>
              <w:top w:w="80" w:type="dxa"/>
              <w:left w:w="90" w:type="dxa"/>
              <w:bottom w:w="80" w:type="dxa"/>
              <w:right w:w="90" w:type="dxa"/>
            </w:tcMar>
            <w:vAlign w:val="center"/>
          </w:tcPr>
          <w:p w14:paraId="4A5DC7FC" w14:textId="77777777" w:rsidR="00846FAB" w:rsidRDefault="00000000">
            <w:r>
              <w:rPr>
                <w:b/>
                <w:color w:val="FFFFFF"/>
                <w:sz w:val="16"/>
              </w:rPr>
              <w:t>Question answered</w:t>
            </w:r>
          </w:p>
        </w:tc>
        <w:tc>
          <w:tcPr>
            <w:tcW w:w="4608" w:type="dxa"/>
            <w:shd w:val="clear" w:color="auto" w:fill="16324F"/>
            <w:tcMar>
              <w:top w:w="80" w:type="dxa"/>
              <w:left w:w="90" w:type="dxa"/>
              <w:bottom w:w="80" w:type="dxa"/>
              <w:right w:w="90" w:type="dxa"/>
            </w:tcMar>
            <w:vAlign w:val="center"/>
          </w:tcPr>
          <w:p w14:paraId="0ACDE9F7" w14:textId="77777777" w:rsidR="00846FAB" w:rsidRDefault="00000000">
            <w:r>
              <w:rPr>
                <w:b/>
                <w:color w:val="FFFFFF"/>
                <w:sz w:val="16"/>
              </w:rPr>
              <w:t>Outcome</w:t>
            </w:r>
          </w:p>
        </w:tc>
      </w:tr>
      <w:tr w:rsidR="0085422C" w14:paraId="1B5249B2" w14:textId="77777777">
        <w:trPr>
          <w:cantSplit/>
          <w:jc w:val="center"/>
        </w:trPr>
        <w:tc>
          <w:tcPr>
            <w:tcW w:w="1440" w:type="dxa"/>
            <w:tcMar>
              <w:top w:w="70" w:type="dxa"/>
              <w:left w:w="80" w:type="dxa"/>
              <w:bottom w:w="70" w:type="dxa"/>
              <w:right w:w="80" w:type="dxa"/>
            </w:tcMar>
            <w:vAlign w:val="center"/>
          </w:tcPr>
          <w:p w14:paraId="32B4C94F" w14:textId="77777777" w:rsidR="00846FAB" w:rsidRDefault="00000000">
            <w:r>
              <w:rPr>
                <w:sz w:val="16"/>
              </w:rPr>
              <w:t>Background</w:t>
            </w:r>
          </w:p>
        </w:tc>
        <w:tc>
          <w:tcPr>
            <w:tcW w:w="3960" w:type="dxa"/>
            <w:tcMar>
              <w:top w:w="70" w:type="dxa"/>
              <w:left w:w="80" w:type="dxa"/>
              <w:bottom w:w="70" w:type="dxa"/>
              <w:right w:w="80" w:type="dxa"/>
            </w:tcMar>
            <w:vAlign w:val="center"/>
          </w:tcPr>
          <w:p w14:paraId="5C9BB1CA" w14:textId="77777777" w:rsidR="00846FAB" w:rsidRDefault="00000000">
            <w:r>
              <w:rPr>
                <w:sz w:val="16"/>
              </w:rPr>
              <w:t>Why can an ATMOS expert tier matter?</w:t>
            </w:r>
          </w:p>
        </w:tc>
        <w:tc>
          <w:tcPr>
            <w:tcW w:w="4608" w:type="dxa"/>
            <w:tcMar>
              <w:top w:w="70" w:type="dxa"/>
              <w:left w:w="80" w:type="dxa"/>
              <w:bottom w:w="70" w:type="dxa"/>
              <w:right w:w="80" w:type="dxa"/>
            </w:tcMar>
            <w:vAlign w:val="center"/>
          </w:tcPr>
          <w:p w14:paraId="5C008745" w14:textId="77777777" w:rsidR="00846FAB" w:rsidRDefault="00000000">
            <w:r>
              <w:rPr>
                <w:sz w:val="16"/>
              </w:rPr>
              <w:t>Value hypothesis, claim boundary and common resource model.</w:t>
            </w:r>
          </w:p>
        </w:tc>
      </w:tr>
      <w:tr w:rsidR="00C52885" w14:paraId="792C5AFF" w14:textId="77777777">
        <w:trPr>
          <w:cantSplit/>
          <w:jc w:val="center"/>
        </w:trPr>
        <w:tc>
          <w:tcPr>
            <w:tcW w:w="1440" w:type="dxa"/>
            <w:shd w:val="clear" w:color="auto" w:fill="F3F6F8"/>
            <w:tcMar>
              <w:top w:w="70" w:type="dxa"/>
              <w:left w:w="80" w:type="dxa"/>
              <w:bottom w:w="70" w:type="dxa"/>
              <w:right w:w="80" w:type="dxa"/>
            </w:tcMar>
            <w:vAlign w:val="center"/>
          </w:tcPr>
          <w:p w14:paraId="3EE1ED28" w14:textId="77777777" w:rsidR="00846FAB" w:rsidRDefault="00000000">
            <w:r>
              <w:rPr>
                <w:sz w:val="16"/>
              </w:rPr>
              <w:t>Product target</w:t>
            </w:r>
          </w:p>
        </w:tc>
        <w:tc>
          <w:tcPr>
            <w:tcW w:w="3960" w:type="dxa"/>
            <w:shd w:val="clear" w:color="auto" w:fill="F3F6F8"/>
            <w:tcMar>
              <w:top w:w="70" w:type="dxa"/>
              <w:left w:w="80" w:type="dxa"/>
              <w:bottom w:w="70" w:type="dxa"/>
              <w:right w:w="80" w:type="dxa"/>
            </w:tcMar>
            <w:vAlign w:val="center"/>
          </w:tcPr>
          <w:p w14:paraId="7C53F9E9" w14:textId="77777777" w:rsidR="00846FAB" w:rsidRDefault="00000000">
            <w:r>
              <w:rPr>
                <w:sz w:val="16"/>
              </w:rPr>
              <w:t>How does the RTX POC/MVP lead to rack scale?</w:t>
            </w:r>
          </w:p>
        </w:tc>
        <w:tc>
          <w:tcPr>
            <w:tcW w:w="4608" w:type="dxa"/>
            <w:shd w:val="clear" w:color="auto" w:fill="F3F6F8"/>
            <w:tcMar>
              <w:top w:w="70" w:type="dxa"/>
              <w:left w:w="80" w:type="dxa"/>
              <w:bottom w:w="70" w:type="dxa"/>
              <w:right w:w="80" w:type="dxa"/>
            </w:tcMar>
            <w:vAlign w:val="center"/>
          </w:tcPr>
          <w:p w14:paraId="3CA74C71" w14:textId="77777777" w:rsidR="00846FAB" w:rsidRDefault="00000000">
            <w:r>
              <w:rPr>
                <w:sz w:val="16"/>
              </w:rPr>
              <w:t>NVIDIA NVL and AMD Helios are the production targets; RTX is the proving ground.</w:t>
            </w:r>
          </w:p>
        </w:tc>
      </w:tr>
      <w:tr w:rsidR="0085422C" w14:paraId="6DBB5C21" w14:textId="77777777">
        <w:trPr>
          <w:cantSplit/>
          <w:jc w:val="center"/>
        </w:trPr>
        <w:tc>
          <w:tcPr>
            <w:tcW w:w="1440" w:type="dxa"/>
            <w:shd w:val="clear" w:color="auto" w:fill="F6F8FA"/>
            <w:tcMar>
              <w:top w:w="70" w:type="dxa"/>
              <w:left w:w="80" w:type="dxa"/>
              <w:bottom w:w="70" w:type="dxa"/>
              <w:right w:w="80" w:type="dxa"/>
            </w:tcMar>
            <w:vAlign w:val="center"/>
          </w:tcPr>
          <w:p w14:paraId="35ABE192" w14:textId="77777777" w:rsidR="00846FAB" w:rsidRDefault="00000000">
            <w:r>
              <w:rPr>
                <w:sz w:val="16"/>
              </w:rPr>
              <w:t>Part I</w:t>
            </w:r>
          </w:p>
        </w:tc>
        <w:tc>
          <w:tcPr>
            <w:tcW w:w="3960" w:type="dxa"/>
            <w:shd w:val="clear" w:color="auto" w:fill="F6F8FA"/>
            <w:tcMar>
              <w:top w:w="70" w:type="dxa"/>
              <w:left w:w="80" w:type="dxa"/>
              <w:bottom w:w="70" w:type="dxa"/>
              <w:right w:w="80" w:type="dxa"/>
            </w:tcMar>
            <w:vAlign w:val="center"/>
          </w:tcPr>
          <w:p w14:paraId="1DF97E53" w14:textId="77777777" w:rsidR="00846FAB" w:rsidRDefault="00000000">
            <w:r>
              <w:rPr>
                <w:sz w:val="16"/>
              </w:rPr>
              <w:t>How does the switched E3.S subsystem attach?</w:t>
            </w:r>
          </w:p>
        </w:tc>
        <w:tc>
          <w:tcPr>
            <w:tcW w:w="4608" w:type="dxa"/>
            <w:shd w:val="clear" w:color="auto" w:fill="F6F8FA"/>
            <w:tcMar>
              <w:top w:w="70" w:type="dxa"/>
              <w:left w:w="80" w:type="dxa"/>
              <w:bottom w:w="70" w:type="dxa"/>
              <w:right w:w="80" w:type="dxa"/>
            </w:tcMar>
            <w:vAlign w:val="center"/>
          </w:tcPr>
          <w:p w14:paraId="076FF94B" w14:textId="77777777" w:rsidR="00846FAB" w:rsidRDefault="00000000">
            <w:r>
              <w:rPr>
                <w:sz w:val="16"/>
              </w:rPr>
              <w:t>Gen5 baseline, Gen6 path, DMA/peer rules and OEM/rack gates.</w:t>
            </w:r>
          </w:p>
        </w:tc>
      </w:tr>
      <w:tr w:rsidR="0085422C" w14:paraId="37741A81" w14:textId="77777777">
        <w:trPr>
          <w:cantSplit/>
          <w:jc w:val="center"/>
        </w:trPr>
        <w:tc>
          <w:tcPr>
            <w:tcW w:w="1440" w:type="dxa"/>
            <w:shd w:val="clear" w:color="auto" w:fill="F3F6F8"/>
            <w:tcMar>
              <w:top w:w="70" w:type="dxa"/>
              <w:left w:w="80" w:type="dxa"/>
              <w:bottom w:w="70" w:type="dxa"/>
              <w:right w:w="80" w:type="dxa"/>
            </w:tcMar>
            <w:vAlign w:val="center"/>
          </w:tcPr>
          <w:p w14:paraId="47CA4C6F" w14:textId="77777777" w:rsidR="00846FAB" w:rsidRDefault="00000000">
            <w:r>
              <w:rPr>
                <w:sz w:val="16"/>
              </w:rPr>
              <w:t>Part II</w:t>
            </w:r>
          </w:p>
        </w:tc>
        <w:tc>
          <w:tcPr>
            <w:tcW w:w="3960" w:type="dxa"/>
            <w:shd w:val="clear" w:color="auto" w:fill="F3F6F8"/>
            <w:tcMar>
              <w:top w:w="70" w:type="dxa"/>
              <w:left w:w="80" w:type="dxa"/>
              <w:bottom w:w="70" w:type="dxa"/>
              <w:right w:w="80" w:type="dxa"/>
            </w:tcMar>
            <w:vAlign w:val="center"/>
          </w:tcPr>
          <w:p w14:paraId="36E30E20" w14:textId="77777777" w:rsidR="00846FAB" w:rsidRDefault="00000000">
            <w:r>
              <w:rPr>
                <w:sz w:val="16"/>
              </w:rPr>
              <w:t>What changes in the serving stack?</w:t>
            </w:r>
          </w:p>
        </w:tc>
        <w:tc>
          <w:tcPr>
            <w:tcW w:w="4608" w:type="dxa"/>
            <w:shd w:val="clear" w:color="auto" w:fill="F3F6F8"/>
            <w:tcMar>
              <w:top w:w="70" w:type="dxa"/>
              <w:left w:w="80" w:type="dxa"/>
              <w:bottom w:w="70" w:type="dxa"/>
              <w:right w:w="80" w:type="dxa"/>
            </w:tcMar>
            <w:vAlign w:val="center"/>
          </w:tcPr>
          <w:p w14:paraId="3FA1A642" w14:textId="77777777" w:rsidR="00846FAB" w:rsidRDefault="00000000">
            <w:r>
              <w:rPr>
                <w:sz w:val="16"/>
              </w:rPr>
              <w:t>One vendor-neutral workstream with explicit NVIDIA and AMD seams.</w:t>
            </w:r>
          </w:p>
        </w:tc>
      </w:tr>
      <w:tr w:rsidR="0085422C" w14:paraId="249ACF86" w14:textId="77777777">
        <w:trPr>
          <w:cantSplit/>
          <w:jc w:val="center"/>
        </w:trPr>
        <w:tc>
          <w:tcPr>
            <w:tcW w:w="1440" w:type="dxa"/>
            <w:tcMar>
              <w:top w:w="70" w:type="dxa"/>
              <w:left w:w="80" w:type="dxa"/>
              <w:bottom w:w="70" w:type="dxa"/>
              <w:right w:w="80" w:type="dxa"/>
            </w:tcMar>
            <w:vAlign w:val="center"/>
          </w:tcPr>
          <w:p w14:paraId="7C29893F" w14:textId="77777777" w:rsidR="00846FAB" w:rsidRDefault="00000000">
            <w:r>
              <w:rPr>
                <w:sz w:val="16"/>
              </w:rPr>
              <w:t>Part III</w:t>
            </w:r>
          </w:p>
        </w:tc>
        <w:tc>
          <w:tcPr>
            <w:tcW w:w="3960" w:type="dxa"/>
            <w:tcMar>
              <w:top w:w="70" w:type="dxa"/>
              <w:left w:w="80" w:type="dxa"/>
              <w:bottom w:w="70" w:type="dxa"/>
              <w:right w:w="80" w:type="dxa"/>
            </w:tcMar>
            <w:vAlign w:val="center"/>
          </w:tcPr>
          <w:p w14:paraId="6083338A" w14:textId="77777777" w:rsidR="00846FAB" w:rsidRDefault="00000000">
            <w:r>
              <w:rPr>
                <w:sz w:val="16"/>
              </w:rPr>
              <w:t>What can the architecture mean economically?</w:t>
            </w:r>
          </w:p>
        </w:tc>
        <w:tc>
          <w:tcPr>
            <w:tcW w:w="4608" w:type="dxa"/>
            <w:tcMar>
              <w:top w:w="70" w:type="dxa"/>
              <w:left w:w="80" w:type="dxa"/>
              <w:bottom w:w="70" w:type="dxa"/>
              <w:right w:w="80" w:type="dxa"/>
            </w:tcMar>
            <w:vAlign w:val="center"/>
          </w:tcPr>
          <w:p w14:paraId="245D2680" w14:textId="77777777" w:rsidR="00846FAB" w:rsidRDefault="00000000">
            <w:r>
              <w:rPr>
                <w:sz w:val="16"/>
              </w:rPr>
              <w:t>RTX MVP insurance calibration plus a rack-scale translation rule.</w:t>
            </w:r>
          </w:p>
        </w:tc>
      </w:tr>
      <w:tr w:rsidR="00846FAB" w14:paraId="122DBE26" w14:textId="77777777">
        <w:trPr>
          <w:jc w:val="center"/>
        </w:trPr>
        <w:tc>
          <w:tcPr>
            <w:tcW w:w="1440" w:type="dxa"/>
            <w:shd w:val="clear" w:color="auto" w:fill="F3F6F8"/>
            <w:vAlign w:val="center"/>
          </w:tcPr>
          <w:p w14:paraId="6218050B" w14:textId="77777777" w:rsidR="00846FAB" w:rsidRDefault="00000000">
            <w:r>
              <w:rPr>
                <w:sz w:val="16"/>
              </w:rPr>
              <w:t>Part IV</w:t>
            </w:r>
          </w:p>
        </w:tc>
        <w:tc>
          <w:tcPr>
            <w:tcW w:w="3960" w:type="dxa"/>
            <w:shd w:val="clear" w:color="auto" w:fill="F3F6F8"/>
            <w:vAlign w:val="center"/>
          </w:tcPr>
          <w:p w14:paraId="4E866E22" w14:textId="77777777" w:rsidR="00846FAB" w:rsidRDefault="00000000">
            <w:r>
              <w:rPr>
                <w:sz w:val="16"/>
              </w:rPr>
              <w:t>What evidence is needed before product commitment?</w:t>
            </w:r>
          </w:p>
        </w:tc>
        <w:tc>
          <w:tcPr>
            <w:tcW w:w="4608" w:type="dxa"/>
            <w:shd w:val="clear" w:color="auto" w:fill="F3F6F8"/>
            <w:vAlign w:val="center"/>
          </w:tcPr>
          <w:p w14:paraId="163BE0DA" w14:textId="77777777" w:rsidR="00846FAB" w:rsidRDefault="00000000">
            <w:r>
              <w:rPr>
                <w:sz w:val="16"/>
              </w:rPr>
              <w:t>Four grouped POCs ending in NVL/Helios rack-scale qualification.</w:t>
            </w:r>
          </w:p>
        </w:tc>
      </w:tr>
    </w:tbl>
    <w:p w14:paraId="7FE47F0F" w14:textId="77777777" w:rsidR="0085422C" w:rsidRDefault="0085422C">
      <w:pPr>
        <w:spacing w:after="20"/>
      </w:pPr>
    </w:p>
    <w:p w14:paraId="7BEB58AF" w14:textId="77777777" w:rsidR="0085422C" w:rsidRDefault="0085422C"/>
    <w:p w14:paraId="28500237" w14:textId="77777777" w:rsidR="00FB525F" w:rsidRDefault="00FB525F">
      <w:pPr>
        <w:rPr>
          <w:b/>
          <w:color w:val="16324F"/>
          <w:sz w:val="36"/>
        </w:rPr>
      </w:pPr>
      <w:r>
        <w:rPr>
          <w:b/>
          <w:color w:val="16324F"/>
          <w:sz w:val="36"/>
        </w:rPr>
        <w:br w:type="page"/>
      </w:r>
    </w:p>
    <w:p w14:paraId="0EB6238B" w14:textId="246DEDFE" w:rsidR="0085422C" w:rsidRDefault="00000000">
      <w:pPr>
        <w:keepNext/>
        <w:spacing w:before="100" w:after="100"/>
      </w:pPr>
      <w:r>
        <w:rPr>
          <w:b/>
          <w:color w:val="16324F"/>
          <w:sz w:val="36"/>
        </w:rPr>
        <w:lastRenderedPageBreak/>
        <w:t>Background: Why an ATMOS expert tier can matter at rack scale</w:t>
      </w:r>
    </w:p>
    <w:p w14:paraId="7C7E499C" w14:textId="77777777" w:rsidR="0085422C" w:rsidRDefault="00000000">
      <w:pPr>
        <w:spacing w:after="100" w:line="259" w:lineRule="auto"/>
      </w:pPr>
      <w:r>
        <w:t>Large Mixture-of-Experts models create a useful asymmetry: every token activates only a subset of experts, yet the serving system must keep a much larger expert population resident and ready. On GPU systems, those expert tensors compete with attention weights, live KV, graph/workspace and batching headroom. At scale, Expert Parallelism can also add dispatch/combine traffic across GPUs and racks.</w:t>
      </w:r>
    </w:p>
    <w:p w14:paraId="13DAD5C5" w14:textId="77777777" w:rsidR="0085422C" w:rsidRDefault="00000000">
      <w:pPr>
        <w:spacing w:after="100" w:line="259" w:lineRule="auto"/>
      </w:pPr>
      <w:r>
        <w:t>ATMOS is not treated as a storage device. Each E3.S worker combines HBF, local LPDDR/SRAM working memory and an NPU. The architectural bet is to keep routed-expert weights beside the NPU that executes them, leaving the native GPU platform to do what it already does well. RTX is used to prove that split first; the production value must then be re-established against the much stronger memory, compute and scale-up fabrics of NVIDIA NVL and AMD Helios.</w:t>
      </w:r>
    </w:p>
    <w:tbl>
      <w:tblPr>
        <w:tblStyle w:val="TableGrid"/>
        <w:tblW w:w="0" w:type="auto"/>
        <w:tblLook w:val="04A0" w:firstRow="1" w:lastRow="0" w:firstColumn="1" w:lastColumn="0" w:noHBand="0" w:noVBand="1"/>
      </w:tblPr>
      <w:tblGrid>
        <w:gridCol w:w="10358"/>
      </w:tblGrid>
      <w:tr w:rsidR="005A5290" w14:paraId="010CEFEA" w14:textId="77777777" w:rsidTr="005A5290">
        <w:tc>
          <w:tcPr>
            <w:tcW w:w="10584" w:type="dxa"/>
          </w:tcPr>
          <w:p w14:paraId="6FAAA871" w14:textId="44AC3919" w:rsidR="005A5290" w:rsidRDefault="005A5290">
            <w:pPr>
              <w:spacing w:after="40"/>
              <w:jc w:val="center"/>
            </w:pPr>
            <w:r>
              <w:rPr>
                <w:noProof/>
              </w:rPr>
              <w:drawing>
                <wp:inline distT="0" distB="0" distL="0" distR="0" wp14:anchorId="1E17418F" wp14:editId="7D3ADDBE">
                  <wp:extent cx="5989320" cy="29774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urrent_vs_hybrid.png"/>
                          <pic:cNvPicPr/>
                        </pic:nvPicPr>
                        <pic:blipFill>
                          <a:blip r:embed="rId8"/>
                          <a:stretch>
                            <a:fillRect/>
                          </a:stretch>
                        </pic:blipFill>
                        <pic:spPr>
                          <a:xfrm>
                            <a:off x="0" y="0"/>
                            <a:ext cx="5989320" cy="2977416"/>
                          </a:xfrm>
                          <a:prstGeom prst="rect">
                            <a:avLst/>
                          </a:prstGeom>
                        </pic:spPr>
                      </pic:pic>
                    </a:graphicData>
                  </a:graphic>
                </wp:inline>
              </w:drawing>
            </w:r>
          </w:p>
        </w:tc>
      </w:tr>
    </w:tbl>
    <w:p w14:paraId="4D478FDA" w14:textId="383891DF" w:rsidR="0085422C" w:rsidRDefault="0085422C">
      <w:pPr>
        <w:spacing w:after="40"/>
        <w:jc w:val="center"/>
      </w:pPr>
    </w:p>
    <w:p w14:paraId="4D667B41" w14:textId="77777777" w:rsidR="0085422C" w:rsidRDefault="00000000">
      <w:pPr>
        <w:keepNext/>
        <w:spacing w:before="60" w:after="60"/>
      </w:pPr>
      <w:r>
        <w:rPr>
          <w:rFonts w:eastAsia="Noto Sans"/>
          <w:b/>
          <w:color w:val="16324F"/>
          <w:sz w:val="25"/>
        </w:rPr>
        <w:t>The reference resource envelope</w:t>
      </w:r>
    </w:p>
    <w:tbl>
      <w:tblPr>
        <w:tblStyle w:val="TableGrid"/>
        <w:tblW w:w="0" w:type="auto"/>
        <w:jc w:val="center"/>
        <w:tblLayout w:type="fixed"/>
        <w:tblLook w:val="04A0" w:firstRow="1" w:lastRow="0" w:firstColumn="1" w:lastColumn="0" w:noHBand="0" w:noVBand="1"/>
      </w:tblPr>
      <w:tblGrid>
        <w:gridCol w:w="1728"/>
        <w:gridCol w:w="4320"/>
        <w:gridCol w:w="4031"/>
      </w:tblGrid>
      <w:tr w:rsidR="00C52885" w14:paraId="05EC19EB" w14:textId="77777777" w:rsidTr="00C52885">
        <w:trPr>
          <w:tblHeader/>
          <w:jc w:val="center"/>
        </w:trPr>
        <w:tc>
          <w:tcPr>
            <w:tcW w:w="1728" w:type="dxa"/>
            <w:shd w:val="clear" w:color="auto" w:fill="16324F"/>
            <w:tcMar>
              <w:top w:w="80" w:type="dxa"/>
              <w:left w:w="90" w:type="dxa"/>
              <w:bottom w:w="80" w:type="dxa"/>
              <w:right w:w="90" w:type="dxa"/>
            </w:tcMar>
            <w:vAlign w:val="center"/>
          </w:tcPr>
          <w:p w14:paraId="6F935D61" w14:textId="77777777" w:rsidR="00C52885" w:rsidRDefault="00C52885">
            <w:r>
              <w:rPr>
                <w:rFonts w:eastAsia="Noto Sans"/>
                <w:b/>
                <w:color w:val="FFFFFF"/>
                <w:sz w:val="15"/>
              </w:rPr>
              <w:t>Resource</w:t>
            </w:r>
          </w:p>
        </w:tc>
        <w:tc>
          <w:tcPr>
            <w:tcW w:w="4320" w:type="dxa"/>
            <w:shd w:val="clear" w:color="auto" w:fill="16324F"/>
            <w:tcMar>
              <w:top w:w="80" w:type="dxa"/>
              <w:left w:w="90" w:type="dxa"/>
              <w:bottom w:w="80" w:type="dxa"/>
              <w:right w:w="90" w:type="dxa"/>
            </w:tcMar>
            <w:vAlign w:val="center"/>
          </w:tcPr>
          <w:p w14:paraId="03723A3E" w14:textId="77777777" w:rsidR="00846FAB" w:rsidRDefault="00000000">
            <w:r>
              <w:rPr>
                <w:b/>
                <w:color w:val="FFFFFF"/>
                <w:sz w:val="15"/>
              </w:rPr>
              <w:t>POC/MVP reference and ATMOS planning view</w:t>
            </w:r>
          </w:p>
        </w:tc>
        <w:tc>
          <w:tcPr>
            <w:tcW w:w="4031" w:type="dxa"/>
            <w:shd w:val="clear" w:color="auto" w:fill="16324F"/>
            <w:tcMar>
              <w:top w:w="80" w:type="dxa"/>
              <w:left w:w="90" w:type="dxa"/>
              <w:bottom w:w="80" w:type="dxa"/>
              <w:right w:w="90" w:type="dxa"/>
            </w:tcMar>
            <w:vAlign w:val="center"/>
          </w:tcPr>
          <w:p w14:paraId="5031147F" w14:textId="77777777" w:rsidR="00C52885" w:rsidRDefault="00C52885">
            <w:r>
              <w:rPr>
                <w:rFonts w:eastAsia="Noto Sans"/>
                <w:b/>
                <w:color w:val="FFFFFF"/>
                <w:sz w:val="15"/>
              </w:rPr>
              <w:t>How to interpret it</w:t>
            </w:r>
          </w:p>
        </w:tc>
      </w:tr>
      <w:tr w:rsidR="00C52885" w14:paraId="7A7F7363" w14:textId="77777777" w:rsidTr="00C52885">
        <w:trPr>
          <w:cantSplit/>
          <w:jc w:val="center"/>
        </w:trPr>
        <w:tc>
          <w:tcPr>
            <w:tcW w:w="1728" w:type="dxa"/>
            <w:tcMar>
              <w:top w:w="70" w:type="dxa"/>
              <w:left w:w="80" w:type="dxa"/>
              <w:bottom w:w="70" w:type="dxa"/>
              <w:right w:w="80" w:type="dxa"/>
            </w:tcMar>
          </w:tcPr>
          <w:p w14:paraId="4DAAEE50" w14:textId="77777777" w:rsidR="00C52885" w:rsidRDefault="00C52885">
            <w:r>
              <w:rPr>
                <w:rFonts w:eastAsia="Noto Sans"/>
                <w:b/>
                <w:color w:val="24313D"/>
                <w:sz w:val="15"/>
              </w:rPr>
              <w:t>GPU memory</w:t>
            </w:r>
          </w:p>
        </w:tc>
        <w:tc>
          <w:tcPr>
            <w:tcW w:w="4320" w:type="dxa"/>
            <w:tcMar>
              <w:top w:w="70" w:type="dxa"/>
              <w:left w:w="80" w:type="dxa"/>
              <w:bottom w:w="70" w:type="dxa"/>
              <w:right w:w="80" w:type="dxa"/>
            </w:tcMar>
            <w:vAlign w:val="center"/>
          </w:tcPr>
          <w:p w14:paraId="318557C4" w14:textId="77777777" w:rsidR="00846FAB" w:rsidRDefault="00000000">
            <w:r>
              <w:rPr>
                <w:sz w:val="15"/>
              </w:rPr>
              <w:t>RTX POC/MVP: RTX PRO 6000 Blackwell Server Edition, 96 GB GDDR7 per GPU; 8 GPUs = 768 GB nominal distributed GDDR. Rack-scale GPU memory is platform-specific.</w:t>
            </w:r>
          </w:p>
        </w:tc>
        <w:tc>
          <w:tcPr>
            <w:tcW w:w="4031" w:type="dxa"/>
            <w:tcMar>
              <w:top w:w="70" w:type="dxa"/>
              <w:left w:w="80" w:type="dxa"/>
              <w:bottom w:w="70" w:type="dxa"/>
              <w:right w:w="80" w:type="dxa"/>
            </w:tcMar>
            <w:vAlign w:val="center"/>
          </w:tcPr>
          <w:p w14:paraId="6384D8D6" w14:textId="77777777" w:rsidR="00846FAB" w:rsidRDefault="00000000">
            <w:r>
              <w:rPr>
                <w:sz w:val="15"/>
              </w:rPr>
              <w:t>GPU memory remains the home of attention, active KV, router/shared state and runtime workspace. Re-run the capacity balance on NVL/Helios; do not transfer RTX ratios.</w:t>
            </w:r>
          </w:p>
        </w:tc>
      </w:tr>
      <w:tr w:rsidR="00C52885" w14:paraId="7D5D7B16" w14:textId="77777777" w:rsidTr="00C52885">
        <w:trPr>
          <w:cantSplit/>
          <w:jc w:val="center"/>
        </w:trPr>
        <w:tc>
          <w:tcPr>
            <w:tcW w:w="1728" w:type="dxa"/>
            <w:shd w:val="clear" w:color="auto" w:fill="F3F6F8"/>
            <w:tcMar>
              <w:top w:w="70" w:type="dxa"/>
              <w:left w:w="80" w:type="dxa"/>
              <w:bottom w:w="70" w:type="dxa"/>
              <w:right w:w="80" w:type="dxa"/>
            </w:tcMar>
          </w:tcPr>
          <w:p w14:paraId="067AA184" w14:textId="77777777" w:rsidR="00C52885" w:rsidRDefault="00C52885">
            <w:r>
              <w:rPr>
                <w:rFonts w:eastAsia="Noto Sans"/>
                <w:b/>
                <w:color w:val="24313D"/>
                <w:sz w:val="15"/>
              </w:rPr>
              <w:t>HBF</w:t>
            </w:r>
          </w:p>
        </w:tc>
        <w:tc>
          <w:tcPr>
            <w:tcW w:w="4320" w:type="dxa"/>
            <w:shd w:val="clear" w:color="auto" w:fill="F3F6F8"/>
            <w:tcMar>
              <w:top w:w="70" w:type="dxa"/>
              <w:left w:w="80" w:type="dxa"/>
              <w:bottom w:w="70" w:type="dxa"/>
              <w:right w:w="80" w:type="dxa"/>
            </w:tcMar>
          </w:tcPr>
          <w:p w14:paraId="299304DE" w14:textId="77777777" w:rsidR="00C52885" w:rsidRDefault="00C52885">
            <w:r>
              <w:rPr>
                <w:rFonts w:eastAsia="Noto Sans"/>
                <w:color w:val="24313D"/>
                <w:sz w:val="15"/>
              </w:rPr>
              <w:t>Up to 128 GB nominal per E3.S; 1,024 GB nominal across eight. Use 100 GB/application/device = 800 GB study budget.</w:t>
            </w:r>
          </w:p>
        </w:tc>
        <w:tc>
          <w:tcPr>
            <w:tcW w:w="4031" w:type="dxa"/>
            <w:shd w:val="clear" w:color="auto" w:fill="F3F6F8"/>
            <w:tcMar>
              <w:top w:w="70" w:type="dxa"/>
              <w:left w:w="80" w:type="dxa"/>
              <w:bottom w:w="70" w:type="dxa"/>
              <w:right w:w="80" w:type="dxa"/>
            </w:tcMar>
          </w:tcPr>
          <w:p w14:paraId="082E902B" w14:textId="77777777" w:rsidR="00C52885" w:rsidRDefault="00C52885">
            <w:r>
              <w:rPr>
                <w:rFonts w:eastAsia="Noto Sans"/>
                <w:color w:val="24313D"/>
                <w:sz w:val="15"/>
              </w:rPr>
              <w:t>Distributed expert capacity, not a unified 1-TB GPU memory pool.</w:t>
            </w:r>
          </w:p>
        </w:tc>
      </w:tr>
      <w:tr w:rsidR="00C52885" w14:paraId="2DA144A1" w14:textId="77777777" w:rsidTr="00C52885">
        <w:trPr>
          <w:cantSplit/>
          <w:jc w:val="center"/>
        </w:trPr>
        <w:tc>
          <w:tcPr>
            <w:tcW w:w="1728" w:type="dxa"/>
            <w:tcMar>
              <w:top w:w="70" w:type="dxa"/>
              <w:left w:w="80" w:type="dxa"/>
              <w:bottom w:w="70" w:type="dxa"/>
              <w:right w:w="80" w:type="dxa"/>
            </w:tcMar>
          </w:tcPr>
          <w:p w14:paraId="06480769" w14:textId="77777777" w:rsidR="00C52885" w:rsidRDefault="00C52885">
            <w:r>
              <w:rPr>
                <w:rFonts w:eastAsia="Noto Sans"/>
                <w:b/>
                <w:color w:val="24313D"/>
                <w:sz w:val="15"/>
              </w:rPr>
              <w:t>HBF read</w:t>
            </w:r>
          </w:p>
        </w:tc>
        <w:tc>
          <w:tcPr>
            <w:tcW w:w="4320" w:type="dxa"/>
            <w:tcMar>
              <w:top w:w="70" w:type="dxa"/>
              <w:left w:w="80" w:type="dxa"/>
              <w:bottom w:w="70" w:type="dxa"/>
              <w:right w:w="80" w:type="dxa"/>
            </w:tcMar>
          </w:tcPr>
          <w:p w14:paraId="145109C2" w14:textId="77777777" w:rsidR="00C52885" w:rsidRDefault="00C52885">
            <w:r>
              <w:rPr>
                <w:rFonts w:eastAsia="Noto Sans"/>
                <w:color w:val="24313D"/>
                <w:sz w:val="15"/>
              </w:rPr>
              <w:t>200 GB/s source target per module; 1.6 TB/s arithmetic sum for simultaneous local reads.</w:t>
            </w:r>
          </w:p>
        </w:tc>
        <w:tc>
          <w:tcPr>
            <w:tcW w:w="4031" w:type="dxa"/>
            <w:tcMar>
              <w:top w:w="70" w:type="dxa"/>
              <w:left w:w="80" w:type="dxa"/>
              <w:bottom w:w="70" w:type="dxa"/>
              <w:right w:w="80" w:type="dxa"/>
            </w:tcMar>
          </w:tcPr>
          <w:p w14:paraId="03F01D50" w14:textId="77777777" w:rsidR="00C52885" w:rsidRDefault="00C52885">
            <w:r>
              <w:rPr>
                <w:rFonts w:eastAsia="Noto Sans"/>
                <w:color w:val="24313D"/>
                <w:sz w:val="15"/>
              </w:rPr>
              <w:t>Local NPU feed potential only; not host, GPU or network bandwidth.</w:t>
            </w:r>
          </w:p>
        </w:tc>
      </w:tr>
      <w:tr w:rsidR="00C52885" w14:paraId="2405BD88" w14:textId="77777777" w:rsidTr="00C52885">
        <w:trPr>
          <w:cantSplit/>
          <w:jc w:val="center"/>
        </w:trPr>
        <w:tc>
          <w:tcPr>
            <w:tcW w:w="1728" w:type="dxa"/>
            <w:shd w:val="clear" w:color="auto" w:fill="F3F6F8"/>
            <w:tcMar>
              <w:top w:w="70" w:type="dxa"/>
              <w:left w:w="80" w:type="dxa"/>
              <w:bottom w:w="70" w:type="dxa"/>
              <w:right w:w="80" w:type="dxa"/>
            </w:tcMar>
          </w:tcPr>
          <w:p w14:paraId="1ED2A1AB" w14:textId="77777777" w:rsidR="00C52885" w:rsidRDefault="00C52885">
            <w:r>
              <w:rPr>
                <w:rFonts w:eastAsia="Noto Sans"/>
                <w:b/>
                <w:color w:val="24313D"/>
                <w:sz w:val="15"/>
              </w:rPr>
              <w:t>Working memory</w:t>
            </w:r>
          </w:p>
        </w:tc>
        <w:tc>
          <w:tcPr>
            <w:tcW w:w="4320" w:type="dxa"/>
            <w:shd w:val="clear" w:color="auto" w:fill="F3F6F8"/>
            <w:tcMar>
              <w:top w:w="70" w:type="dxa"/>
              <w:left w:w="80" w:type="dxa"/>
              <w:bottom w:w="70" w:type="dxa"/>
              <w:right w:w="80" w:type="dxa"/>
            </w:tcMar>
          </w:tcPr>
          <w:p w14:paraId="1190D40C" w14:textId="77777777" w:rsidR="00C52885" w:rsidRDefault="00C52885">
            <w:pPr>
              <w:rPr>
                <w:rFonts w:eastAsia="Noto Sans"/>
                <w:color w:val="24313D"/>
                <w:sz w:val="15"/>
              </w:rPr>
            </w:pPr>
            <w:r>
              <w:rPr>
                <w:rFonts w:eastAsia="Noto Sans"/>
                <w:color w:val="24313D"/>
                <w:sz w:val="15"/>
              </w:rPr>
              <w:t>GPU GDDR + on-chip caches</w:t>
            </w:r>
          </w:p>
          <w:p w14:paraId="7C23894D" w14:textId="77777777" w:rsidR="00C52885" w:rsidRDefault="00C52885">
            <w:pPr>
              <w:rPr>
                <w:rFonts w:eastAsia="Noto Sans"/>
                <w:color w:val="24313D"/>
                <w:sz w:val="15"/>
              </w:rPr>
            </w:pPr>
          </w:p>
          <w:p w14:paraId="7A5750F8" w14:textId="77777777" w:rsidR="00C52885" w:rsidRDefault="00C52885">
            <w:r>
              <w:rPr>
                <w:rFonts w:eastAsia="Noto Sans"/>
                <w:color w:val="24313D"/>
                <w:sz w:val="15"/>
              </w:rPr>
              <w:t>8–16 GB LPDDR per module plus local SRAM.</w:t>
            </w:r>
          </w:p>
        </w:tc>
        <w:tc>
          <w:tcPr>
            <w:tcW w:w="4031" w:type="dxa"/>
            <w:shd w:val="clear" w:color="auto" w:fill="F3F6F8"/>
            <w:tcMar>
              <w:top w:w="70" w:type="dxa"/>
              <w:left w:w="80" w:type="dxa"/>
              <w:bottom w:w="70" w:type="dxa"/>
              <w:right w:w="80" w:type="dxa"/>
            </w:tcMar>
          </w:tcPr>
          <w:p w14:paraId="02CA3FFF" w14:textId="77777777" w:rsidR="00C52885" w:rsidRDefault="00C52885">
            <w:r>
              <w:rPr>
                <w:rFonts w:eastAsia="Noto Sans"/>
                <w:color w:val="24313D"/>
                <w:sz w:val="15"/>
              </w:rPr>
              <w:t>Must separately fit activation tiles, DMA buffers and NPU workspace.</w:t>
            </w:r>
          </w:p>
        </w:tc>
      </w:tr>
      <w:tr w:rsidR="00C52885" w14:paraId="24796E0F" w14:textId="77777777" w:rsidTr="00C52885">
        <w:trPr>
          <w:cantSplit/>
          <w:jc w:val="center"/>
        </w:trPr>
        <w:tc>
          <w:tcPr>
            <w:tcW w:w="1728" w:type="dxa"/>
            <w:tcMar>
              <w:top w:w="70" w:type="dxa"/>
              <w:left w:w="80" w:type="dxa"/>
              <w:bottom w:w="70" w:type="dxa"/>
              <w:right w:w="80" w:type="dxa"/>
            </w:tcMar>
          </w:tcPr>
          <w:p w14:paraId="0B44BE1D" w14:textId="77777777" w:rsidR="00C52885" w:rsidRDefault="00C52885">
            <w:r>
              <w:rPr>
                <w:rFonts w:eastAsia="Noto Sans"/>
                <w:b/>
                <w:color w:val="24313D"/>
                <w:sz w:val="15"/>
              </w:rPr>
              <w:t>Host link</w:t>
            </w:r>
          </w:p>
        </w:tc>
        <w:tc>
          <w:tcPr>
            <w:tcW w:w="4320" w:type="dxa"/>
            <w:tcMar>
              <w:top w:w="70" w:type="dxa"/>
              <w:left w:w="80" w:type="dxa"/>
              <w:bottom w:w="70" w:type="dxa"/>
              <w:right w:w="80" w:type="dxa"/>
            </w:tcMar>
            <w:vAlign w:val="center"/>
          </w:tcPr>
          <w:p w14:paraId="673E0F63" w14:textId="77777777" w:rsidR="00846FAB" w:rsidRDefault="00000000">
            <w:r>
              <w:rPr>
                <w:sz w:val="15"/>
              </w:rPr>
              <w:t>RTX POC/MVP uses the selected server path. ATMOS endpoint target is PCIe Gen5/Gen6 x4; rack-scale attachment is OEM/platform specific.</w:t>
            </w:r>
          </w:p>
        </w:tc>
        <w:tc>
          <w:tcPr>
            <w:tcW w:w="4031" w:type="dxa"/>
            <w:tcMar>
              <w:top w:w="70" w:type="dxa"/>
              <w:left w:w="80" w:type="dxa"/>
              <w:bottom w:w="70" w:type="dxa"/>
              <w:right w:w="80" w:type="dxa"/>
            </w:tcMar>
            <w:vAlign w:val="center"/>
          </w:tcPr>
          <w:p w14:paraId="52E1334A" w14:textId="77777777" w:rsidR="00846FAB" w:rsidRDefault="00000000">
            <w:r>
              <w:rPr>
                <w:sz w:val="15"/>
              </w:rPr>
              <w:t>Local PCIe branch where approved; otherwise a companion ATMOS tray/service is a separate topology with its own latency and bandwidth budget.</w:t>
            </w:r>
          </w:p>
        </w:tc>
      </w:tr>
      <w:tr w:rsidR="00C52885" w14:paraId="1B3DF523" w14:textId="77777777" w:rsidTr="00C52885">
        <w:trPr>
          <w:cantSplit/>
          <w:jc w:val="center"/>
        </w:trPr>
        <w:tc>
          <w:tcPr>
            <w:tcW w:w="1728" w:type="dxa"/>
            <w:shd w:val="clear" w:color="auto" w:fill="F3F6F8"/>
            <w:tcMar>
              <w:top w:w="70" w:type="dxa"/>
              <w:left w:w="80" w:type="dxa"/>
              <w:bottom w:w="70" w:type="dxa"/>
              <w:right w:w="80" w:type="dxa"/>
            </w:tcMar>
          </w:tcPr>
          <w:p w14:paraId="617FF68F" w14:textId="77777777" w:rsidR="00C52885" w:rsidRDefault="00C52885">
            <w:r>
              <w:rPr>
                <w:rFonts w:eastAsia="Noto Sans"/>
                <w:b/>
                <w:color w:val="24313D"/>
                <w:sz w:val="15"/>
              </w:rPr>
              <w:t>Compute</w:t>
            </w:r>
          </w:p>
        </w:tc>
        <w:tc>
          <w:tcPr>
            <w:tcW w:w="4320" w:type="dxa"/>
            <w:shd w:val="clear" w:color="auto" w:fill="F3F6F8"/>
            <w:tcMar>
              <w:top w:w="70" w:type="dxa"/>
              <w:left w:w="80" w:type="dxa"/>
              <w:bottom w:w="70" w:type="dxa"/>
              <w:right w:w="80" w:type="dxa"/>
            </w:tcMar>
          </w:tcPr>
          <w:p w14:paraId="0522C63C" w14:textId="77777777" w:rsidR="00C52885" w:rsidRDefault="00C52885">
            <w:r>
              <w:rPr>
                <w:rFonts w:eastAsia="Noto Sans"/>
                <w:color w:val="24313D"/>
                <w:sz w:val="15"/>
              </w:rPr>
              <w:t>ATMOS source uses a mixed 64 TOPS/TFLOPS INT8/FP8 label per module.</w:t>
            </w:r>
          </w:p>
        </w:tc>
        <w:tc>
          <w:tcPr>
            <w:tcW w:w="4031" w:type="dxa"/>
            <w:shd w:val="clear" w:color="auto" w:fill="F3F6F8"/>
            <w:tcMar>
              <w:top w:w="70" w:type="dxa"/>
              <w:left w:w="80" w:type="dxa"/>
              <w:bottom w:w="70" w:type="dxa"/>
              <w:right w:w="80" w:type="dxa"/>
            </w:tcMar>
          </w:tcPr>
          <w:p w14:paraId="221BB00F" w14:textId="77777777" w:rsidR="00C52885" w:rsidRDefault="00C52885">
            <w:r>
              <w:rPr>
                <w:rFonts w:eastAsia="Noto Sans"/>
                <w:color w:val="24313D"/>
                <w:sz w:val="15"/>
              </w:rPr>
              <w:t>No tokens/s follows until the exact FFN operator and memory path are qualified.</w:t>
            </w:r>
          </w:p>
        </w:tc>
      </w:tr>
    </w:tbl>
    <w:p w14:paraId="32F1F058" w14:textId="77777777" w:rsidR="0085422C" w:rsidRDefault="0085422C">
      <w:pPr>
        <w:spacing w:after="20"/>
      </w:pPr>
    </w:p>
    <w:p w14:paraId="7E72F37F" w14:textId="77777777" w:rsidR="0085422C" w:rsidRDefault="00000000">
      <w:pPr>
        <w:keepNext/>
        <w:spacing w:before="60" w:after="60"/>
      </w:pPr>
      <w:r>
        <w:rPr>
          <w:rFonts w:eastAsia="Noto Sans"/>
          <w:b/>
          <w:color w:val="16324F"/>
          <w:sz w:val="25"/>
        </w:rPr>
        <w:t>What we can claim — and what we cannot</w:t>
      </w:r>
    </w:p>
    <w:tbl>
      <w:tblPr>
        <w:tblStyle w:val="TableGrid"/>
        <w:tblW w:w="0" w:type="auto"/>
        <w:jc w:val="center"/>
        <w:tblLayout w:type="fixed"/>
        <w:tblLook w:val="04A0" w:firstRow="1" w:lastRow="0" w:firstColumn="1" w:lastColumn="0" w:noHBand="0" w:noVBand="1"/>
      </w:tblPr>
      <w:tblGrid>
        <w:gridCol w:w="1944"/>
        <w:gridCol w:w="4320"/>
        <w:gridCol w:w="3816"/>
      </w:tblGrid>
      <w:tr w:rsidR="0085422C" w14:paraId="5A6C1229" w14:textId="77777777">
        <w:trPr>
          <w:tblHeader/>
          <w:jc w:val="center"/>
        </w:trPr>
        <w:tc>
          <w:tcPr>
            <w:tcW w:w="1944" w:type="dxa"/>
            <w:shd w:val="clear" w:color="auto" w:fill="16324F"/>
            <w:tcMar>
              <w:top w:w="80" w:type="dxa"/>
              <w:left w:w="90" w:type="dxa"/>
              <w:bottom w:w="80" w:type="dxa"/>
              <w:right w:w="90" w:type="dxa"/>
            </w:tcMar>
            <w:vAlign w:val="center"/>
          </w:tcPr>
          <w:p w14:paraId="1AF45BDB" w14:textId="77777777" w:rsidR="0085422C" w:rsidRDefault="00000000">
            <w:r>
              <w:rPr>
                <w:rFonts w:eastAsia="Noto Sans"/>
                <w:b/>
                <w:color w:val="FFFFFF"/>
                <w:sz w:val="15"/>
              </w:rPr>
              <w:t>Expected mechanism</w:t>
            </w:r>
          </w:p>
        </w:tc>
        <w:tc>
          <w:tcPr>
            <w:tcW w:w="4320" w:type="dxa"/>
            <w:shd w:val="clear" w:color="auto" w:fill="16324F"/>
            <w:tcMar>
              <w:top w:w="80" w:type="dxa"/>
              <w:left w:w="90" w:type="dxa"/>
              <w:bottom w:w="80" w:type="dxa"/>
              <w:right w:w="90" w:type="dxa"/>
            </w:tcMar>
            <w:vAlign w:val="center"/>
          </w:tcPr>
          <w:p w14:paraId="2B7498AE" w14:textId="77777777" w:rsidR="0085422C" w:rsidRDefault="00000000">
            <w:r>
              <w:rPr>
                <w:rFonts w:eastAsia="Noto Sans"/>
                <w:b/>
                <w:color w:val="FFFFFF"/>
                <w:sz w:val="15"/>
              </w:rPr>
              <w:t>Defensible target</w:t>
            </w:r>
          </w:p>
        </w:tc>
        <w:tc>
          <w:tcPr>
            <w:tcW w:w="3816" w:type="dxa"/>
            <w:shd w:val="clear" w:color="auto" w:fill="16324F"/>
            <w:tcMar>
              <w:top w:w="80" w:type="dxa"/>
              <w:left w:w="90" w:type="dxa"/>
              <w:bottom w:w="80" w:type="dxa"/>
              <w:right w:w="90" w:type="dxa"/>
            </w:tcMar>
            <w:vAlign w:val="center"/>
          </w:tcPr>
          <w:p w14:paraId="331226ED" w14:textId="77777777" w:rsidR="0085422C" w:rsidRDefault="00000000">
            <w:r>
              <w:rPr>
                <w:rFonts w:eastAsia="Noto Sans"/>
                <w:b/>
                <w:color w:val="FFFFFF"/>
                <w:sz w:val="15"/>
              </w:rPr>
              <w:t>Not assumed</w:t>
            </w:r>
          </w:p>
        </w:tc>
      </w:tr>
      <w:tr w:rsidR="0085422C" w14:paraId="063336A6" w14:textId="77777777">
        <w:trPr>
          <w:cantSplit/>
          <w:jc w:val="center"/>
        </w:trPr>
        <w:tc>
          <w:tcPr>
            <w:tcW w:w="1944" w:type="dxa"/>
            <w:tcMar>
              <w:top w:w="70" w:type="dxa"/>
              <w:left w:w="80" w:type="dxa"/>
              <w:bottom w:w="70" w:type="dxa"/>
              <w:right w:w="80" w:type="dxa"/>
            </w:tcMar>
          </w:tcPr>
          <w:p w14:paraId="7F019458" w14:textId="77777777" w:rsidR="0085422C" w:rsidRDefault="00000000">
            <w:r>
              <w:rPr>
                <w:rFonts w:eastAsia="Noto Sans"/>
                <w:b/>
                <w:color w:val="24313D"/>
                <w:sz w:val="15"/>
              </w:rPr>
              <w:t>GPU memory relief</w:t>
            </w:r>
          </w:p>
        </w:tc>
        <w:tc>
          <w:tcPr>
            <w:tcW w:w="4320" w:type="dxa"/>
            <w:tcMar>
              <w:top w:w="70" w:type="dxa"/>
              <w:left w:w="80" w:type="dxa"/>
              <w:bottom w:w="70" w:type="dxa"/>
              <w:right w:w="80" w:type="dxa"/>
            </w:tcMar>
          </w:tcPr>
          <w:p w14:paraId="7AA4F1EC" w14:textId="77777777" w:rsidR="0085422C" w:rsidRDefault="00000000">
            <w:r>
              <w:rPr>
                <w:rFonts w:eastAsia="Noto Sans"/>
                <w:color w:val="24313D"/>
                <w:sz w:val="15"/>
              </w:rPr>
              <w:t>ATMOS-owned expert tensors are omitted from GPU residency, creating useful GDDR headroom.</w:t>
            </w:r>
          </w:p>
        </w:tc>
        <w:tc>
          <w:tcPr>
            <w:tcW w:w="3816" w:type="dxa"/>
            <w:tcMar>
              <w:top w:w="70" w:type="dxa"/>
              <w:left w:w="80" w:type="dxa"/>
              <w:bottom w:w="70" w:type="dxa"/>
              <w:right w:w="80" w:type="dxa"/>
            </w:tcMar>
          </w:tcPr>
          <w:p w14:paraId="24E1D19D" w14:textId="77777777" w:rsidR="0085422C" w:rsidRDefault="00000000">
            <w:r>
              <w:rPr>
                <w:rFonts w:eastAsia="Noto Sans"/>
                <w:color w:val="24313D"/>
                <w:sz w:val="15"/>
              </w:rPr>
              <w:t>That every freed GB converts directly into cash savings.</w:t>
            </w:r>
          </w:p>
        </w:tc>
      </w:tr>
      <w:tr w:rsidR="0085422C" w14:paraId="79CA160D" w14:textId="77777777">
        <w:trPr>
          <w:cantSplit/>
          <w:jc w:val="center"/>
        </w:trPr>
        <w:tc>
          <w:tcPr>
            <w:tcW w:w="1944" w:type="dxa"/>
            <w:shd w:val="clear" w:color="auto" w:fill="F3F6F8"/>
            <w:tcMar>
              <w:top w:w="70" w:type="dxa"/>
              <w:left w:w="80" w:type="dxa"/>
              <w:bottom w:w="70" w:type="dxa"/>
              <w:right w:w="80" w:type="dxa"/>
            </w:tcMar>
          </w:tcPr>
          <w:p w14:paraId="75C44423" w14:textId="77777777" w:rsidR="0085422C" w:rsidRDefault="00000000">
            <w:r>
              <w:rPr>
                <w:rFonts w:eastAsia="Noto Sans"/>
                <w:b/>
                <w:color w:val="24313D"/>
                <w:sz w:val="15"/>
              </w:rPr>
              <w:t>Additional compute</w:t>
            </w:r>
          </w:p>
        </w:tc>
        <w:tc>
          <w:tcPr>
            <w:tcW w:w="4320" w:type="dxa"/>
            <w:shd w:val="clear" w:color="auto" w:fill="F3F6F8"/>
            <w:tcMar>
              <w:top w:w="70" w:type="dxa"/>
              <w:left w:w="80" w:type="dxa"/>
              <w:bottom w:w="70" w:type="dxa"/>
              <w:right w:w="80" w:type="dxa"/>
            </w:tcMar>
          </w:tcPr>
          <w:p w14:paraId="0576D7A6" w14:textId="77777777" w:rsidR="0085422C" w:rsidRDefault="00000000">
            <w:r>
              <w:rPr>
                <w:rFonts w:eastAsia="Noto Sans"/>
                <w:color w:val="24313D"/>
                <w:sz w:val="15"/>
              </w:rPr>
              <w:t>ATMOS NPU performs the expert FFN instead of returning weights to a GPU for execution.</w:t>
            </w:r>
          </w:p>
        </w:tc>
        <w:tc>
          <w:tcPr>
            <w:tcW w:w="3816" w:type="dxa"/>
            <w:shd w:val="clear" w:color="auto" w:fill="F3F6F8"/>
            <w:tcMar>
              <w:top w:w="70" w:type="dxa"/>
              <w:left w:w="80" w:type="dxa"/>
              <w:bottom w:w="70" w:type="dxa"/>
              <w:right w:w="80" w:type="dxa"/>
            </w:tcMar>
          </w:tcPr>
          <w:p w14:paraId="3B3BA231" w14:textId="77777777" w:rsidR="0085422C" w:rsidRDefault="00000000">
            <w:r>
              <w:rPr>
                <w:rFonts w:eastAsia="Noto Sans"/>
                <w:color w:val="24313D"/>
                <w:sz w:val="15"/>
              </w:rPr>
              <w:t>That NPU peak TOPS maps directly to token throughput.</w:t>
            </w:r>
          </w:p>
        </w:tc>
      </w:tr>
      <w:tr w:rsidR="0085422C" w14:paraId="071225C6" w14:textId="77777777">
        <w:trPr>
          <w:cantSplit/>
          <w:jc w:val="center"/>
        </w:trPr>
        <w:tc>
          <w:tcPr>
            <w:tcW w:w="1944" w:type="dxa"/>
            <w:tcMar>
              <w:top w:w="70" w:type="dxa"/>
              <w:left w:w="80" w:type="dxa"/>
              <w:bottom w:w="70" w:type="dxa"/>
              <w:right w:w="80" w:type="dxa"/>
            </w:tcMar>
          </w:tcPr>
          <w:p w14:paraId="58BCF246" w14:textId="77777777" w:rsidR="0085422C" w:rsidRDefault="00000000">
            <w:r>
              <w:rPr>
                <w:rFonts w:eastAsia="Noto Sans"/>
                <w:b/>
                <w:color w:val="24313D"/>
                <w:sz w:val="15"/>
              </w:rPr>
              <w:t>Throughput / node count</w:t>
            </w:r>
          </w:p>
        </w:tc>
        <w:tc>
          <w:tcPr>
            <w:tcW w:w="4320" w:type="dxa"/>
            <w:tcMar>
              <w:top w:w="70" w:type="dxa"/>
              <w:left w:w="80" w:type="dxa"/>
              <w:bottom w:w="70" w:type="dxa"/>
              <w:right w:w="80" w:type="dxa"/>
            </w:tcMar>
            <w:vAlign w:val="center"/>
          </w:tcPr>
          <w:p w14:paraId="63A74384" w14:textId="77777777" w:rsidR="00846FAB" w:rsidRDefault="00000000">
            <w:r>
              <w:rPr>
                <w:sz w:val="15"/>
              </w:rPr>
              <w:t>At fixed SLO, accepted work per GPU service unit increases enough to serve more demand or reduce required GPU nodes/trays/racks.</w:t>
            </w:r>
          </w:p>
        </w:tc>
        <w:tc>
          <w:tcPr>
            <w:tcW w:w="3816" w:type="dxa"/>
            <w:tcMar>
              <w:top w:w="70" w:type="dxa"/>
              <w:left w:w="80" w:type="dxa"/>
              <w:bottom w:w="70" w:type="dxa"/>
              <w:right w:w="80" w:type="dxa"/>
            </w:tcMar>
            <w:vAlign w:val="center"/>
          </w:tcPr>
          <w:p w14:paraId="22D601DC" w14:textId="77777777" w:rsidR="00846FAB" w:rsidRDefault="00000000">
            <w:r>
              <w:rPr>
                <w:sz w:val="15"/>
              </w:rPr>
              <w:t>A universal node- or rack-reduction ratio, or transfer of the RTX MVP result to NVL/Helios.</w:t>
            </w:r>
          </w:p>
        </w:tc>
      </w:tr>
      <w:tr w:rsidR="0085422C" w14:paraId="1D77FC9F" w14:textId="77777777">
        <w:trPr>
          <w:cantSplit/>
          <w:jc w:val="center"/>
        </w:trPr>
        <w:tc>
          <w:tcPr>
            <w:tcW w:w="1944" w:type="dxa"/>
            <w:shd w:val="clear" w:color="auto" w:fill="F3F6F8"/>
            <w:tcMar>
              <w:top w:w="70" w:type="dxa"/>
              <w:left w:w="80" w:type="dxa"/>
              <w:bottom w:w="70" w:type="dxa"/>
              <w:right w:w="80" w:type="dxa"/>
            </w:tcMar>
          </w:tcPr>
          <w:p w14:paraId="5E3FD007" w14:textId="77777777" w:rsidR="0085422C" w:rsidRDefault="00000000">
            <w:r>
              <w:rPr>
                <w:rFonts w:eastAsia="Noto Sans"/>
                <w:b/>
                <w:color w:val="24313D"/>
                <w:sz w:val="15"/>
              </w:rPr>
              <w:t>TTFT / TPOT</w:t>
            </w:r>
          </w:p>
        </w:tc>
        <w:tc>
          <w:tcPr>
            <w:tcW w:w="4320" w:type="dxa"/>
            <w:shd w:val="clear" w:color="auto" w:fill="F3F6F8"/>
            <w:tcMar>
              <w:top w:w="70" w:type="dxa"/>
              <w:left w:w="80" w:type="dxa"/>
              <w:bottom w:w="70" w:type="dxa"/>
              <w:right w:w="80" w:type="dxa"/>
            </w:tcMar>
          </w:tcPr>
          <w:p w14:paraId="511C9819" w14:textId="77777777" w:rsidR="0085422C" w:rsidRDefault="00000000">
            <w:r>
              <w:rPr>
                <w:rFonts w:eastAsia="Noto Sans"/>
                <w:color w:val="24313D"/>
                <w:sz w:val="15"/>
              </w:rPr>
              <w:t>Preserve the existing SLO; improve tails if reduced queueing/expert work is on the critical path.</w:t>
            </w:r>
          </w:p>
        </w:tc>
        <w:tc>
          <w:tcPr>
            <w:tcW w:w="3816" w:type="dxa"/>
            <w:shd w:val="clear" w:color="auto" w:fill="F3F6F8"/>
            <w:tcMar>
              <w:top w:w="70" w:type="dxa"/>
              <w:left w:w="80" w:type="dxa"/>
              <w:bottom w:w="70" w:type="dxa"/>
              <w:right w:w="80" w:type="dxa"/>
            </w:tcMar>
          </w:tcPr>
          <w:p w14:paraId="5103E513" w14:textId="77777777" w:rsidR="0085422C" w:rsidRDefault="00000000">
            <w:r>
              <w:rPr>
                <w:rFonts w:eastAsia="Noto Sans"/>
                <w:color w:val="24313D"/>
                <w:sz w:val="15"/>
              </w:rPr>
              <w:t>Automatic per-request latency improvement.</w:t>
            </w:r>
          </w:p>
        </w:tc>
      </w:tr>
      <w:tr w:rsidR="0085422C" w14:paraId="2B2DFD53" w14:textId="77777777">
        <w:trPr>
          <w:cantSplit/>
          <w:jc w:val="center"/>
        </w:trPr>
        <w:tc>
          <w:tcPr>
            <w:tcW w:w="1944" w:type="dxa"/>
            <w:tcMar>
              <w:top w:w="70" w:type="dxa"/>
              <w:left w:w="80" w:type="dxa"/>
              <w:bottom w:w="70" w:type="dxa"/>
              <w:right w:w="80" w:type="dxa"/>
            </w:tcMar>
          </w:tcPr>
          <w:p w14:paraId="1F2316C3" w14:textId="77777777" w:rsidR="0085422C" w:rsidRDefault="00000000">
            <w:r>
              <w:rPr>
                <w:rFonts w:eastAsia="Noto Sans"/>
                <w:b/>
                <w:color w:val="24313D"/>
                <w:sz w:val="15"/>
              </w:rPr>
              <w:t>Network locality</w:t>
            </w:r>
          </w:p>
        </w:tc>
        <w:tc>
          <w:tcPr>
            <w:tcW w:w="4320" w:type="dxa"/>
            <w:tcMar>
              <w:top w:w="70" w:type="dxa"/>
              <w:left w:w="80" w:type="dxa"/>
              <w:bottom w:w="70" w:type="dxa"/>
              <w:right w:w="80" w:type="dxa"/>
            </w:tcMar>
            <w:vAlign w:val="center"/>
          </w:tcPr>
          <w:p w14:paraId="202CF6C2" w14:textId="77777777" w:rsidR="00846FAB" w:rsidRDefault="00000000">
            <w:r>
              <w:rPr>
                <w:sz w:val="15"/>
              </w:rPr>
              <w:t>A larger local expert bank can reduce remote expert edges when the complete execution graph and transport path are actually local.</w:t>
            </w:r>
          </w:p>
        </w:tc>
        <w:tc>
          <w:tcPr>
            <w:tcW w:w="3816" w:type="dxa"/>
            <w:tcMar>
              <w:top w:w="70" w:type="dxa"/>
              <w:left w:w="80" w:type="dxa"/>
              <w:bottom w:w="70" w:type="dxa"/>
              <w:right w:w="80" w:type="dxa"/>
            </w:tcMar>
            <w:vAlign w:val="center"/>
          </w:tcPr>
          <w:p w14:paraId="780321A0" w14:textId="77777777" w:rsidR="00846FAB" w:rsidRDefault="00000000">
            <w:r>
              <w:rPr>
                <w:sz w:val="15"/>
              </w:rPr>
              <w:t>That an E3.S switch joins NVLink/NVSwitch or UALink, or eliminates scale-out communication by itself.</w:t>
            </w:r>
          </w:p>
        </w:tc>
      </w:tr>
    </w:tbl>
    <w:p w14:paraId="474970F5" w14:textId="77777777" w:rsidR="00FB525F" w:rsidRDefault="00FB525F">
      <w:pPr>
        <w:rPr>
          <w:b/>
          <w:color w:val="16324F"/>
          <w:sz w:val="36"/>
        </w:rPr>
      </w:pPr>
    </w:p>
    <w:p w14:paraId="57A82A5A" w14:textId="157D6BF3" w:rsidR="00846FAB" w:rsidRDefault="00000000">
      <w:r>
        <w:rPr>
          <w:b/>
          <w:color w:val="16324F"/>
          <w:sz w:val="36"/>
        </w:rPr>
        <w:t>Rack-scale is the product; RTX is the proving ground</w:t>
      </w:r>
      <w:r w:rsidR="00FB525F">
        <w:br/>
      </w:r>
      <w:r>
        <w:rPr>
          <w:sz w:val="18"/>
        </w:rPr>
        <w:t xml:space="preserve">The common </w:t>
      </w:r>
      <w:proofErr w:type="spellStart"/>
      <w:r>
        <w:rPr>
          <w:sz w:val="18"/>
        </w:rPr>
        <w:t>Sandisk</w:t>
      </w:r>
      <w:proofErr w:type="spellEnd"/>
      <w:r>
        <w:rPr>
          <w:sz w:val="18"/>
        </w:rPr>
        <w:t xml:space="preserve"> contract is intentionally independent of one GPU vendor: vLLM selects the same neural experts, the Sandisk adapter maps those experts to ATMOS workers, and the ATMOS runtime executes them. What changes by platform is the GPU framework seam, transport path, host architecture, rack topology and lifecycle integration.</w:t>
      </w:r>
    </w:p>
    <w:tbl>
      <w:tblPr>
        <w:tblStyle w:val="TableGrid"/>
        <w:tblW w:w="0" w:type="auto"/>
        <w:jc w:val="center"/>
        <w:tblLayout w:type="fixed"/>
        <w:tblLook w:val="04A0" w:firstRow="1" w:lastRow="0" w:firstColumn="1" w:lastColumn="0" w:noHBand="0" w:noVBand="1"/>
      </w:tblPr>
      <w:tblGrid>
        <w:gridCol w:w="1440"/>
        <w:gridCol w:w="2880"/>
        <w:gridCol w:w="2880"/>
        <w:gridCol w:w="3024"/>
      </w:tblGrid>
      <w:tr w:rsidR="00846FAB" w14:paraId="6EEDAD00" w14:textId="77777777">
        <w:trPr>
          <w:tblHeader/>
          <w:jc w:val="center"/>
        </w:trPr>
        <w:tc>
          <w:tcPr>
            <w:tcW w:w="1440" w:type="dxa"/>
            <w:shd w:val="clear" w:color="auto" w:fill="16324F"/>
            <w:vAlign w:val="center"/>
          </w:tcPr>
          <w:p w14:paraId="696DA3FF" w14:textId="77777777" w:rsidR="00846FAB" w:rsidRDefault="00000000">
            <w:r>
              <w:rPr>
                <w:b/>
                <w:color w:val="FFFFFF"/>
                <w:sz w:val="14"/>
              </w:rPr>
              <w:t>Stage</w:t>
            </w:r>
          </w:p>
        </w:tc>
        <w:tc>
          <w:tcPr>
            <w:tcW w:w="2880" w:type="dxa"/>
            <w:shd w:val="clear" w:color="auto" w:fill="16324F"/>
            <w:vAlign w:val="center"/>
          </w:tcPr>
          <w:p w14:paraId="2E395DA8" w14:textId="77777777" w:rsidR="00846FAB" w:rsidRDefault="00000000">
            <w:r>
              <w:rPr>
                <w:b/>
                <w:color w:val="FFFFFF"/>
                <w:sz w:val="14"/>
              </w:rPr>
              <w:t>Concrete reference</w:t>
            </w:r>
          </w:p>
        </w:tc>
        <w:tc>
          <w:tcPr>
            <w:tcW w:w="2880" w:type="dxa"/>
            <w:shd w:val="clear" w:color="auto" w:fill="16324F"/>
            <w:vAlign w:val="center"/>
          </w:tcPr>
          <w:p w14:paraId="69CABEB6" w14:textId="77777777" w:rsidR="00846FAB" w:rsidRDefault="00000000">
            <w:r>
              <w:rPr>
                <w:b/>
                <w:color w:val="FFFFFF"/>
                <w:sz w:val="14"/>
              </w:rPr>
              <w:t>Native GPU fabric / software</w:t>
            </w:r>
          </w:p>
        </w:tc>
        <w:tc>
          <w:tcPr>
            <w:tcW w:w="3024" w:type="dxa"/>
            <w:shd w:val="clear" w:color="auto" w:fill="16324F"/>
            <w:vAlign w:val="center"/>
          </w:tcPr>
          <w:p w14:paraId="22032D4D" w14:textId="77777777" w:rsidR="00846FAB" w:rsidRDefault="00000000">
            <w:r>
              <w:rPr>
                <w:b/>
                <w:color w:val="FFFFFF"/>
                <w:sz w:val="14"/>
              </w:rPr>
              <w:t>ATMOS integration rule</w:t>
            </w:r>
          </w:p>
        </w:tc>
      </w:tr>
      <w:tr w:rsidR="00846FAB" w14:paraId="227FAC83" w14:textId="77777777">
        <w:trPr>
          <w:jc w:val="center"/>
        </w:trPr>
        <w:tc>
          <w:tcPr>
            <w:tcW w:w="1440" w:type="dxa"/>
            <w:vAlign w:val="center"/>
          </w:tcPr>
          <w:p w14:paraId="2F12C486" w14:textId="77777777" w:rsidR="00846FAB" w:rsidRDefault="00000000">
            <w:r>
              <w:rPr>
                <w:sz w:val="14"/>
              </w:rPr>
              <w:t>POC / MVP</w:t>
            </w:r>
          </w:p>
        </w:tc>
        <w:tc>
          <w:tcPr>
            <w:tcW w:w="2880" w:type="dxa"/>
            <w:vAlign w:val="center"/>
          </w:tcPr>
          <w:p w14:paraId="7E0A1554" w14:textId="77777777" w:rsidR="00846FAB" w:rsidRDefault="00000000">
            <w:r>
              <w:rPr>
                <w:sz w:val="14"/>
              </w:rPr>
              <w:t>8 × RTX PRO 6000-class server + 8 ATMOS E3.S</w:t>
            </w:r>
          </w:p>
        </w:tc>
        <w:tc>
          <w:tcPr>
            <w:tcW w:w="2880" w:type="dxa"/>
            <w:vAlign w:val="center"/>
          </w:tcPr>
          <w:p w14:paraId="63E130BF" w14:textId="77777777" w:rsidR="00846FAB" w:rsidRDefault="00000000">
            <w:r>
              <w:rPr>
                <w:sz w:val="14"/>
              </w:rPr>
              <w:t>CUDA / NCCL on a conventional server topology</w:t>
            </w:r>
          </w:p>
        </w:tc>
        <w:tc>
          <w:tcPr>
            <w:tcW w:w="3024" w:type="dxa"/>
            <w:vAlign w:val="center"/>
          </w:tcPr>
          <w:p w14:paraId="51180B8B" w14:textId="77777777" w:rsidR="00846FAB" w:rsidRDefault="00000000">
            <w:r>
              <w:rPr>
                <w:sz w:val="14"/>
              </w:rPr>
              <w:t>Prove expert ABI, switched E3.S, DMA, vLLM integration and economic threshold. Not the final product claim.</w:t>
            </w:r>
          </w:p>
        </w:tc>
      </w:tr>
      <w:tr w:rsidR="00846FAB" w14:paraId="1AEC9586" w14:textId="77777777">
        <w:trPr>
          <w:jc w:val="center"/>
        </w:trPr>
        <w:tc>
          <w:tcPr>
            <w:tcW w:w="1440" w:type="dxa"/>
            <w:shd w:val="clear" w:color="auto" w:fill="F3F6F8"/>
            <w:vAlign w:val="center"/>
          </w:tcPr>
          <w:p w14:paraId="1709EF57" w14:textId="77777777" w:rsidR="00846FAB" w:rsidRDefault="00000000">
            <w:r>
              <w:rPr>
                <w:sz w:val="14"/>
              </w:rPr>
              <w:t>NVIDIA target</w:t>
            </w:r>
          </w:p>
        </w:tc>
        <w:tc>
          <w:tcPr>
            <w:tcW w:w="2880" w:type="dxa"/>
            <w:shd w:val="clear" w:color="auto" w:fill="F3F6F8"/>
            <w:vAlign w:val="center"/>
          </w:tcPr>
          <w:p w14:paraId="732F9699" w14:textId="77777777" w:rsidR="00846FAB" w:rsidRDefault="00000000">
            <w:r>
              <w:rPr>
                <w:sz w:val="14"/>
              </w:rPr>
              <w:t>NVIDIA NVL rack-scale family; GB300 NVL72 and Vera Rubin NVL72 are current concrete references</w:t>
            </w:r>
          </w:p>
        </w:tc>
        <w:tc>
          <w:tcPr>
            <w:tcW w:w="2880" w:type="dxa"/>
            <w:shd w:val="clear" w:color="auto" w:fill="F3F6F8"/>
            <w:vAlign w:val="center"/>
          </w:tcPr>
          <w:p w14:paraId="03B15C0E" w14:textId="77777777" w:rsidR="00846FAB" w:rsidRDefault="00000000">
            <w:r>
              <w:rPr>
                <w:sz w:val="14"/>
              </w:rPr>
              <w:t>CUDA / NCCL with NVLink/NVSwitch; Grace/Vera host architecture varies by generation</w:t>
            </w:r>
          </w:p>
        </w:tc>
        <w:tc>
          <w:tcPr>
            <w:tcW w:w="3024" w:type="dxa"/>
            <w:shd w:val="clear" w:color="auto" w:fill="F3F6F8"/>
            <w:vAlign w:val="center"/>
          </w:tcPr>
          <w:p w14:paraId="46252AED" w14:textId="77777777" w:rsidR="00846FAB" w:rsidRDefault="00000000">
            <w:r>
              <w:rPr>
                <w:sz w:val="14"/>
              </w:rPr>
              <w:t>Preserve the NVLink scale-up domain. Use only an OEM-approved PCIe branch or a separately costed companion ATMOS service/tray.</w:t>
            </w:r>
          </w:p>
        </w:tc>
      </w:tr>
      <w:tr w:rsidR="00846FAB" w14:paraId="6731BE69" w14:textId="77777777">
        <w:trPr>
          <w:jc w:val="center"/>
        </w:trPr>
        <w:tc>
          <w:tcPr>
            <w:tcW w:w="1440" w:type="dxa"/>
            <w:vAlign w:val="center"/>
          </w:tcPr>
          <w:p w14:paraId="0130FDD7" w14:textId="77777777" w:rsidR="00846FAB" w:rsidRDefault="00000000">
            <w:r>
              <w:rPr>
                <w:sz w:val="14"/>
              </w:rPr>
              <w:t>AMD target</w:t>
            </w:r>
          </w:p>
        </w:tc>
        <w:tc>
          <w:tcPr>
            <w:tcW w:w="2880" w:type="dxa"/>
            <w:vAlign w:val="center"/>
          </w:tcPr>
          <w:p w14:paraId="4F86D182" w14:textId="77777777" w:rsidR="00846FAB" w:rsidRDefault="00000000">
            <w:r>
              <w:rPr>
                <w:sz w:val="14"/>
              </w:rPr>
              <w:t>AMD Helios reference architecture with 72 Instinct MI455X GPUs and EPYC Venice hosts</w:t>
            </w:r>
          </w:p>
        </w:tc>
        <w:tc>
          <w:tcPr>
            <w:tcW w:w="2880" w:type="dxa"/>
            <w:vAlign w:val="center"/>
          </w:tcPr>
          <w:p w14:paraId="02204F1C" w14:textId="77777777" w:rsidR="00846FAB" w:rsidRDefault="00000000">
            <w:r>
              <w:rPr>
                <w:sz w:val="14"/>
              </w:rPr>
              <w:t>ROCm / HIP / RCCL with UALink-based scale-up</w:t>
            </w:r>
          </w:p>
        </w:tc>
        <w:tc>
          <w:tcPr>
            <w:tcW w:w="3024" w:type="dxa"/>
            <w:vAlign w:val="center"/>
          </w:tcPr>
          <w:p w14:paraId="2C878CCF" w14:textId="77777777" w:rsidR="00846FAB" w:rsidRDefault="00000000">
            <w:r>
              <w:rPr>
                <w:sz w:val="14"/>
              </w:rPr>
              <w:t>Preserve the UALink scale-up domain. Reuse the logical expert ABI; requalify HIP transport, rack attachment, operator and service economics.</w:t>
            </w:r>
          </w:p>
        </w:tc>
      </w:tr>
      <w:tr w:rsidR="00846FAB" w14:paraId="373FDF1A" w14:textId="77777777">
        <w:trPr>
          <w:tblHeader/>
          <w:jc w:val="center"/>
        </w:trPr>
        <w:tc>
          <w:tcPr>
            <w:tcW w:w="10224" w:type="dxa"/>
            <w:gridSpan w:val="4"/>
            <w:shd w:val="clear" w:color="auto" w:fill="F9ECEF"/>
            <w:vAlign w:val="center"/>
          </w:tcPr>
          <w:p w14:paraId="7A62B17C" w14:textId="77777777" w:rsidR="00846FAB" w:rsidRDefault="00000000">
            <w:r>
              <w:rPr>
                <w:b/>
                <w:color w:val="A73545"/>
                <w:sz w:val="16"/>
              </w:rPr>
              <w:t>ARCHITECTURE INVARIANT — ATMOS does not become an NVLink/NVSwitch or UALink endpoint, and the product does not require proprietary NVIDIA or AMD GPU firmware/driver modifications. Stock vendor stacks are the supported boundary.</w:t>
            </w:r>
          </w:p>
        </w:tc>
      </w:tr>
    </w:tbl>
    <w:p w14:paraId="285EC86E" w14:textId="77777777" w:rsidR="0085422C" w:rsidRDefault="0085422C">
      <w:pPr>
        <w:spacing w:after="20"/>
      </w:pPr>
    </w:p>
    <w:p w14:paraId="573BF196" w14:textId="77777777" w:rsidR="009E7494" w:rsidRDefault="009E7494">
      <w:r>
        <w:br w:type="page"/>
      </w:r>
    </w:p>
    <w:p w14:paraId="31AFE83A" w14:textId="77777777" w:rsidR="009E7494" w:rsidRDefault="009E7494" w:rsidP="009E7494">
      <w:pPr>
        <w:keepNext/>
        <w:spacing w:before="80" w:after="40"/>
      </w:pPr>
      <w:r>
        <w:rPr>
          <w:rFonts w:eastAsia="Noto Sans"/>
          <w:b/>
          <w:color w:val="A73545"/>
          <w:sz w:val="17"/>
        </w:rPr>
        <w:lastRenderedPageBreak/>
        <w:t>HARDWARE PLATFORM</w:t>
      </w:r>
    </w:p>
    <w:p w14:paraId="446CBFA7" w14:textId="77777777" w:rsidR="009E7494" w:rsidRDefault="009E7494" w:rsidP="009E7494">
      <w:pPr>
        <w:keepNext/>
        <w:spacing w:before="100" w:after="100"/>
        <w:rPr>
          <w:b/>
          <w:color w:val="16324F"/>
          <w:sz w:val="36"/>
        </w:rPr>
      </w:pPr>
      <w:r>
        <w:rPr>
          <w:b/>
          <w:color w:val="16324F"/>
          <w:sz w:val="36"/>
        </w:rPr>
        <w:t>Part I — Switched E3.S subsystem: one building block from RTX MVP to rack scale</w:t>
      </w:r>
    </w:p>
    <w:tbl>
      <w:tblPr>
        <w:tblStyle w:val="TableGrid"/>
        <w:tblW w:w="0" w:type="auto"/>
        <w:jc w:val="center"/>
        <w:tblLayout w:type="fixed"/>
        <w:tblLook w:val="04A0" w:firstRow="1" w:lastRow="0" w:firstColumn="1" w:lastColumn="0" w:noHBand="0" w:noVBand="1"/>
      </w:tblPr>
      <w:tblGrid>
        <w:gridCol w:w="1800"/>
        <w:gridCol w:w="4176"/>
        <w:gridCol w:w="4248"/>
      </w:tblGrid>
      <w:tr w:rsidR="00FB525F" w14:paraId="5FA6CD3D" w14:textId="77777777" w:rsidTr="002E7283">
        <w:trPr>
          <w:tblHeader/>
          <w:jc w:val="center"/>
        </w:trPr>
        <w:tc>
          <w:tcPr>
            <w:tcW w:w="1800" w:type="dxa"/>
            <w:shd w:val="clear" w:color="auto" w:fill="16324F"/>
            <w:tcMar>
              <w:top w:w="80" w:type="dxa"/>
              <w:left w:w="90" w:type="dxa"/>
              <w:bottom w:w="80" w:type="dxa"/>
              <w:right w:w="90" w:type="dxa"/>
            </w:tcMar>
            <w:vAlign w:val="center"/>
          </w:tcPr>
          <w:p w14:paraId="6EE97713" w14:textId="77777777" w:rsidR="00FB525F" w:rsidRDefault="00FB525F" w:rsidP="002E7283">
            <w:r>
              <w:rPr>
                <w:rFonts w:eastAsia="Noto Sans"/>
                <w:b/>
                <w:color w:val="FFFFFF"/>
                <w:sz w:val="15"/>
              </w:rPr>
              <w:t>Topology</w:t>
            </w:r>
          </w:p>
        </w:tc>
        <w:tc>
          <w:tcPr>
            <w:tcW w:w="4176" w:type="dxa"/>
            <w:shd w:val="clear" w:color="auto" w:fill="16324F"/>
            <w:tcMar>
              <w:top w:w="80" w:type="dxa"/>
              <w:left w:w="90" w:type="dxa"/>
              <w:bottom w:w="80" w:type="dxa"/>
              <w:right w:w="90" w:type="dxa"/>
            </w:tcMar>
            <w:vAlign w:val="center"/>
          </w:tcPr>
          <w:p w14:paraId="0D8A0D24" w14:textId="142C8254" w:rsidR="00FB525F" w:rsidRDefault="005835B4" w:rsidP="002E7283">
            <w:r>
              <w:rPr>
                <w:rFonts w:eastAsia="Noto Sans"/>
                <w:b/>
                <w:color w:val="FFFFFF"/>
                <w:sz w:val="15"/>
              </w:rPr>
              <w:t>Pros</w:t>
            </w:r>
          </w:p>
        </w:tc>
        <w:tc>
          <w:tcPr>
            <w:tcW w:w="4248" w:type="dxa"/>
            <w:shd w:val="clear" w:color="auto" w:fill="16324F"/>
            <w:tcMar>
              <w:top w:w="80" w:type="dxa"/>
              <w:left w:w="90" w:type="dxa"/>
              <w:bottom w:w="80" w:type="dxa"/>
              <w:right w:w="90" w:type="dxa"/>
            </w:tcMar>
            <w:vAlign w:val="center"/>
          </w:tcPr>
          <w:p w14:paraId="0426CD83" w14:textId="67D939D4" w:rsidR="00FB525F" w:rsidRDefault="005835B4" w:rsidP="002E7283">
            <w:r>
              <w:rPr>
                <w:rFonts w:eastAsia="Noto Sans"/>
                <w:b/>
                <w:color w:val="FFFFFF"/>
                <w:sz w:val="15"/>
              </w:rPr>
              <w:t>Cons</w:t>
            </w:r>
          </w:p>
        </w:tc>
      </w:tr>
      <w:tr w:rsidR="00FB525F" w14:paraId="6E222097" w14:textId="77777777" w:rsidTr="002E7283">
        <w:trPr>
          <w:cantSplit/>
          <w:jc w:val="center"/>
        </w:trPr>
        <w:tc>
          <w:tcPr>
            <w:tcW w:w="1800" w:type="dxa"/>
            <w:tcMar>
              <w:top w:w="70" w:type="dxa"/>
              <w:left w:w="80" w:type="dxa"/>
              <w:bottom w:w="70" w:type="dxa"/>
              <w:right w:w="80" w:type="dxa"/>
            </w:tcMar>
          </w:tcPr>
          <w:p w14:paraId="1D1C9546" w14:textId="77777777" w:rsidR="00FB525F" w:rsidRDefault="00FB525F" w:rsidP="002E7283">
            <w:r>
              <w:rPr>
                <w:rFonts w:eastAsia="Noto Sans"/>
                <w:b/>
                <w:color w:val="24313D"/>
                <w:sz w:val="15"/>
              </w:rPr>
              <w:t>Direct E3.S reference</w:t>
            </w:r>
          </w:p>
        </w:tc>
        <w:tc>
          <w:tcPr>
            <w:tcW w:w="4176" w:type="dxa"/>
            <w:tcMar>
              <w:top w:w="70" w:type="dxa"/>
              <w:left w:w="80" w:type="dxa"/>
              <w:bottom w:w="70" w:type="dxa"/>
              <w:right w:w="80" w:type="dxa"/>
            </w:tcMar>
            <w:vAlign w:val="center"/>
          </w:tcPr>
          <w:p w14:paraId="6C97586C" w14:textId="77777777" w:rsidR="00FB525F" w:rsidRDefault="00FB525F" w:rsidP="002E7283">
            <w:r>
              <w:rPr>
                <w:sz w:val="15"/>
              </w:rPr>
              <w:t>No shared switch/uplink; simple endpoint debugging; useful POC control when host lanes are readily available.</w:t>
            </w:r>
          </w:p>
        </w:tc>
        <w:tc>
          <w:tcPr>
            <w:tcW w:w="4248" w:type="dxa"/>
            <w:tcMar>
              <w:top w:w="70" w:type="dxa"/>
              <w:left w:w="80" w:type="dxa"/>
              <w:bottom w:w="70" w:type="dxa"/>
              <w:right w:w="80" w:type="dxa"/>
            </w:tcMar>
            <w:vAlign w:val="center"/>
          </w:tcPr>
          <w:p w14:paraId="052817B5" w14:textId="77777777" w:rsidR="00FB525F" w:rsidRDefault="00FB525F" w:rsidP="002E7283">
            <w:r>
              <w:rPr>
                <w:sz w:val="15"/>
              </w:rPr>
              <w:t>Within an eight-device local design, consumes 32 host lanes; not the production rack-scale baseline; no common managed fabric.</w:t>
            </w:r>
          </w:p>
        </w:tc>
      </w:tr>
      <w:tr w:rsidR="00FB525F" w14:paraId="015CACB6" w14:textId="77777777" w:rsidTr="002E7283">
        <w:trPr>
          <w:cantSplit/>
          <w:jc w:val="center"/>
        </w:trPr>
        <w:tc>
          <w:tcPr>
            <w:tcW w:w="1800" w:type="dxa"/>
            <w:shd w:val="clear" w:color="auto" w:fill="F3F6F8"/>
            <w:tcMar>
              <w:top w:w="70" w:type="dxa"/>
              <w:left w:w="80" w:type="dxa"/>
              <w:bottom w:w="70" w:type="dxa"/>
              <w:right w:w="80" w:type="dxa"/>
            </w:tcMar>
          </w:tcPr>
          <w:p w14:paraId="2E4936A5" w14:textId="77777777" w:rsidR="00FB525F" w:rsidRDefault="00FB525F" w:rsidP="002E7283">
            <w:r>
              <w:rPr>
                <w:rFonts w:eastAsia="Noto Sans"/>
                <w:b/>
                <w:color w:val="24313D"/>
                <w:sz w:val="15"/>
              </w:rPr>
              <w:t>Switched E3.S baseline</w:t>
            </w:r>
          </w:p>
        </w:tc>
        <w:tc>
          <w:tcPr>
            <w:tcW w:w="4176" w:type="dxa"/>
            <w:shd w:val="clear" w:color="auto" w:fill="F3F6F8"/>
            <w:tcMar>
              <w:top w:w="70" w:type="dxa"/>
              <w:left w:w="80" w:type="dxa"/>
              <w:bottom w:w="70" w:type="dxa"/>
              <w:right w:w="80" w:type="dxa"/>
            </w:tcMar>
            <w:vAlign w:val="center"/>
          </w:tcPr>
          <w:p w14:paraId="49C22019" w14:textId="77777777" w:rsidR="00FB525F" w:rsidRDefault="00FB525F" w:rsidP="002E7283">
            <w:r>
              <w:rPr>
                <w:sz w:val="15"/>
              </w:rPr>
              <w:t>One host-facing uplink fans out to eight x4 ATMOS devices; common diagnostics/reset domain; manageable E3.S subsystem for MVP and rack integration.</w:t>
            </w:r>
          </w:p>
        </w:tc>
        <w:tc>
          <w:tcPr>
            <w:tcW w:w="4248" w:type="dxa"/>
            <w:shd w:val="clear" w:color="auto" w:fill="F3F6F8"/>
            <w:tcMar>
              <w:top w:w="70" w:type="dxa"/>
              <w:left w:w="80" w:type="dxa"/>
              <w:bottom w:w="70" w:type="dxa"/>
              <w:right w:w="80" w:type="dxa"/>
            </w:tcMar>
            <w:vAlign w:val="center"/>
          </w:tcPr>
          <w:p w14:paraId="375635DA" w14:textId="77777777" w:rsidR="00FB525F" w:rsidRDefault="00FB525F" w:rsidP="002E7283">
            <w:r>
              <w:rPr>
                <w:sz w:val="15"/>
              </w:rPr>
              <w:t xml:space="preserve">Adds cost/power and a shared failure domain. It does not place ATMOS in </w:t>
            </w:r>
            <w:proofErr w:type="spellStart"/>
            <w:r>
              <w:rPr>
                <w:sz w:val="15"/>
              </w:rPr>
              <w:t>NVLink</w:t>
            </w:r>
            <w:proofErr w:type="spellEnd"/>
            <w:r>
              <w:rPr>
                <w:sz w:val="15"/>
              </w:rPr>
              <w:t>/</w:t>
            </w:r>
            <w:proofErr w:type="spellStart"/>
            <w:r>
              <w:rPr>
                <w:sz w:val="15"/>
              </w:rPr>
              <w:t>NVSwitch</w:t>
            </w:r>
            <w:proofErr w:type="spellEnd"/>
            <w:r>
              <w:rPr>
                <w:sz w:val="15"/>
              </w:rPr>
              <w:t xml:space="preserve"> or </w:t>
            </w:r>
            <w:proofErr w:type="spellStart"/>
            <w:r>
              <w:rPr>
                <w:sz w:val="15"/>
              </w:rPr>
              <w:t>UALink</w:t>
            </w:r>
            <w:proofErr w:type="spellEnd"/>
            <w:r>
              <w:rPr>
                <w:sz w:val="15"/>
              </w:rPr>
              <w:t>, and the rack OEM must expose a supported host path.</w:t>
            </w:r>
          </w:p>
        </w:tc>
      </w:tr>
    </w:tbl>
    <w:p w14:paraId="5F73A6E4" w14:textId="77777777" w:rsidR="00FB525F" w:rsidRDefault="00FB525F" w:rsidP="009E7494">
      <w:pPr>
        <w:keepNext/>
        <w:spacing w:before="100" w:after="100"/>
        <w:rPr>
          <w:b/>
          <w:color w:val="16324F"/>
          <w:sz w:val="24"/>
          <w:szCs w:val="10"/>
        </w:rPr>
      </w:pPr>
    </w:p>
    <w:p w14:paraId="68747885" w14:textId="3DD8F762" w:rsidR="00FB525F" w:rsidRPr="00FB525F" w:rsidRDefault="00FB525F" w:rsidP="009E7494">
      <w:pPr>
        <w:keepNext/>
        <w:spacing w:before="100" w:after="100"/>
        <w:rPr>
          <w:b/>
          <w:color w:val="16324F"/>
          <w:sz w:val="24"/>
          <w:szCs w:val="10"/>
        </w:rPr>
      </w:pPr>
      <w:r>
        <w:rPr>
          <w:b/>
          <w:color w:val="16324F"/>
          <w:sz w:val="24"/>
          <w:szCs w:val="10"/>
        </w:rPr>
        <w:t xml:space="preserve">Topology </w:t>
      </w:r>
      <w:proofErr w:type="gramStart"/>
      <w:r>
        <w:rPr>
          <w:b/>
          <w:color w:val="16324F"/>
          <w:sz w:val="24"/>
          <w:szCs w:val="10"/>
        </w:rPr>
        <w:t>1:-</w:t>
      </w:r>
      <w:proofErr w:type="gramEnd"/>
      <w:r>
        <w:rPr>
          <w:b/>
          <w:color w:val="16324F"/>
          <w:sz w:val="24"/>
          <w:szCs w:val="10"/>
        </w:rPr>
        <w:t xml:space="preserve"> </w:t>
      </w:r>
      <w:r w:rsidRPr="00FB525F">
        <w:rPr>
          <w:b/>
          <w:color w:val="16324F"/>
          <w:sz w:val="24"/>
          <w:szCs w:val="10"/>
        </w:rPr>
        <w:t>Direct-attached E3.S pool</w:t>
      </w:r>
    </w:p>
    <w:tbl>
      <w:tblPr>
        <w:tblStyle w:val="TableGrid"/>
        <w:tblW w:w="0" w:type="auto"/>
        <w:jc w:val="center"/>
        <w:tblLook w:val="04A0" w:firstRow="1" w:lastRow="0" w:firstColumn="1" w:lastColumn="0" w:noHBand="0" w:noVBand="1"/>
      </w:tblPr>
      <w:tblGrid>
        <w:gridCol w:w="8472"/>
      </w:tblGrid>
      <w:tr w:rsidR="005A5290" w14:paraId="5AF19947" w14:textId="77777777" w:rsidTr="005A5290">
        <w:trPr>
          <w:jc w:val="center"/>
        </w:trPr>
        <w:tc>
          <w:tcPr>
            <w:tcW w:w="8472" w:type="dxa"/>
          </w:tcPr>
          <w:p w14:paraId="33262F4E" w14:textId="1C943C97" w:rsidR="005A5290" w:rsidRDefault="005A5290" w:rsidP="009E7494">
            <w:pPr>
              <w:keepNext/>
              <w:spacing w:before="100" w:after="100"/>
            </w:pPr>
            <w:r>
              <w:rPr>
                <w:noProof/>
              </w:rPr>
              <w:drawing>
                <wp:inline distT="0" distB="0" distL="0" distR="0" wp14:anchorId="7DE5396E" wp14:editId="5DD9233A">
                  <wp:extent cx="5232400" cy="3139440"/>
                  <wp:effectExtent l="0" t="0" r="0" b="0"/>
                  <wp:docPr id="1213420729" name="Picture 1213420729" descr="B: one module per bay-mounted device, routed to host ports without a required common switch AIC. [I1 §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B.png"/>
                          <pic:cNvPicPr/>
                        </pic:nvPicPr>
                        <pic:blipFill>
                          <a:blip r:embed="rId9"/>
                          <a:stretch>
                            <a:fillRect/>
                          </a:stretch>
                        </pic:blipFill>
                        <pic:spPr>
                          <a:xfrm>
                            <a:off x="0" y="0"/>
                            <a:ext cx="5255418" cy="3153251"/>
                          </a:xfrm>
                          <a:prstGeom prst="rect">
                            <a:avLst/>
                          </a:prstGeom>
                        </pic:spPr>
                      </pic:pic>
                    </a:graphicData>
                  </a:graphic>
                </wp:inline>
              </w:drawing>
            </w:r>
          </w:p>
        </w:tc>
      </w:tr>
    </w:tbl>
    <w:p w14:paraId="4EEEEF88" w14:textId="2E8D1890" w:rsidR="00FB525F" w:rsidRDefault="00FB525F" w:rsidP="009E7494">
      <w:pPr>
        <w:keepNext/>
        <w:spacing w:before="100" w:after="100"/>
      </w:pPr>
    </w:p>
    <w:p w14:paraId="1B01478E" w14:textId="77777777" w:rsidR="009E7494" w:rsidRDefault="009E7494" w:rsidP="009E7494">
      <w:pPr>
        <w:spacing w:after="100" w:line="259" w:lineRule="auto"/>
      </w:pPr>
      <w:r>
        <w:t>Direct attachment remains useful for early endpoint bring-up because it removes the switch from the debug path. In any local eight-device design, however, eight x4 E3.S endpoints consume 32 host lanes and create eight separately managed paths. The proposed product building block is therefore a switched ATMOS E3.S subsystem with one host-facing uplink and eight x4 downstream endpoints. RTX uses this as the MVP fixture; NVL and Helios use it only when their OEM exposes an approved local PCIe integration boundary.</w:t>
      </w:r>
    </w:p>
    <w:p w14:paraId="1636ED3C" w14:textId="77777777" w:rsidR="009E7494" w:rsidRDefault="009E7494" w:rsidP="009E7494">
      <w:pPr>
        <w:spacing w:after="20"/>
      </w:pPr>
    </w:p>
    <w:tbl>
      <w:tblPr>
        <w:tblW w:w="0" w:type="auto"/>
        <w:jc w:val="center"/>
        <w:tblLook w:val="04A0" w:firstRow="1" w:lastRow="0" w:firstColumn="1" w:lastColumn="0" w:noHBand="0" w:noVBand="1"/>
      </w:tblPr>
      <w:tblGrid>
        <w:gridCol w:w="10368"/>
      </w:tblGrid>
      <w:tr w:rsidR="009E7494" w14:paraId="7E824CA1" w14:textId="77777777" w:rsidTr="002E7283">
        <w:trPr>
          <w:jc w:val="center"/>
        </w:trPr>
        <w:tc>
          <w:tcPr>
            <w:tcW w:w="10368" w:type="dxa"/>
            <w:shd w:val="clear" w:color="auto" w:fill="F9ECEF"/>
            <w:tcMar>
              <w:top w:w="120" w:type="dxa"/>
              <w:left w:w="150" w:type="dxa"/>
              <w:bottom w:w="120" w:type="dxa"/>
              <w:right w:w="150" w:type="dxa"/>
            </w:tcMar>
            <w:vAlign w:val="center"/>
          </w:tcPr>
          <w:p w14:paraId="5437DF67" w14:textId="77777777" w:rsidR="00846FAB" w:rsidRDefault="00000000">
            <w:pPr>
              <w:spacing w:after="0"/>
            </w:pPr>
            <w:r>
              <w:rPr>
                <w:b/>
                <w:color w:val="A73545"/>
                <w:sz w:val="17"/>
              </w:rPr>
              <w:t xml:space="preserve">ARCHITECTURE </w:t>
            </w:r>
            <w:proofErr w:type="gramStart"/>
            <w:r>
              <w:rPr>
                <w:b/>
                <w:color w:val="A73545"/>
                <w:sz w:val="17"/>
              </w:rPr>
              <w:t>DECISION  Keep</w:t>
            </w:r>
            <w:proofErr w:type="gramEnd"/>
            <w:r>
              <w:rPr>
                <w:b/>
                <w:color w:val="A73545"/>
                <w:sz w:val="17"/>
              </w:rPr>
              <w:t xml:space="preserve"> direct attachment only as a bring-up/reference path. The reusable hardware building block is a switched E3.S ATMOS subsystem. RTX is the POC/MVP host; production requires an independently qualified NVIDIA NVL or AMD Helios integration. The fully integrated eight-module ATMOS card remains out of scope.</w:t>
            </w:r>
          </w:p>
        </w:tc>
      </w:tr>
    </w:tbl>
    <w:p w14:paraId="67C2B100" w14:textId="77777777" w:rsidR="009E7494" w:rsidRDefault="009E7494" w:rsidP="009E7494">
      <w:pPr>
        <w:spacing w:after="20"/>
      </w:pPr>
    </w:p>
    <w:p w14:paraId="3EB04653" w14:textId="77777777" w:rsidR="005835B4" w:rsidRDefault="005835B4" w:rsidP="009E7494">
      <w:pPr>
        <w:spacing w:after="20"/>
      </w:pPr>
    </w:p>
    <w:p w14:paraId="4B2D92DC" w14:textId="77777777" w:rsidR="005835B4" w:rsidRDefault="005835B4" w:rsidP="009E7494">
      <w:pPr>
        <w:spacing w:after="20"/>
      </w:pPr>
    </w:p>
    <w:p w14:paraId="5F27B360" w14:textId="77777777" w:rsidR="005835B4" w:rsidRDefault="005835B4" w:rsidP="009E7494">
      <w:pPr>
        <w:spacing w:after="20"/>
      </w:pPr>
    </w:p>
    <w:p w14:paraId="13FF35DC" w14:textId="77777777" w:rsidR="005835B4" w:rsidRDefault="005835B4" w:rsidP="009E7494">
      <w:pPr>
        <w:spacing w:after="20"/>
      </w:pPr>
    </w:p>
    <w:p w14:paraId="6A8B573E" w14:textId="27B784B5" w:rsidR="005835B4" w:rsidRPr="005835B4" w:rsidRDefault="005835B4" w:rsidP="005835B4">
      <w:pPr>
        <w:keepNext/>
        <w:spacing w:before="100" w:after="100"/>
        <w:rPr>
          <w:b/>
          <w:color w:val="16324F"/>
          <w:sz w:val="24"/>
          <w:szCs w:val="10"/>
        </w:rPr>
      </w:pPr>
      <w:r>
        <w:rPr>
          <w:b/>
          <w:color w:val="16324F"/>
          <w:sz w:val="24"/>
          <w:szCs w:val="10"/>
        </w:rPr>
        <w:t xml:space="preserve">Topology </w:t>
      </w:r>
      <w:proofErr w:type="gramStart"/>
      <w:r>
        <w:rPr>
          <w:b/>
          <w:color w:val="16324F"/>
          <w:sz w:val="24"/>
          <w:szCs w:val="10"/>
        </w:rPr>
        <w:t xml:space="preserve">2 </w:t>
      </w:r>
      <w:r>
        <w:rPr>
          <w:b/>
          <w:color w:val="16324F"/>
          <w:sz w:val="24"/>
          <w:szCs w:val="10"/>
        </w:rPr>
        <w:t>:</w:t>
      </w:r>
      <w:proofErr w:type="gramEnd"/>
      <w:r>
        <w:rPr>
          <w:b/>
          <w:color w:val="16324F"/>
          <w:sz w:val="24"/>
          <w:szCs w:val="10"/>
        </w:rPr>
        <w:t xml:space="preserve">- </w:t>
      </w:r>
      <w:r>
        <w:rPr>
          <w:b/>
          <w:color w:val="16324F"/>
          <w:sz w:val="24"/>
          <w:szCs w:val="10"/>
        </w:rPr>
        <w:t>Switched</w:t>
      </w:r>
      <w:r w:rsidRPr="00FB525F">
        <w:rPr>
          <w:b/>
          <w:color w:val="16324F"/>
          <w:sz w:val="24"/>
          <w:szCs w:val="10"/>
        </w:rPr>
        <w:t xml:space="preserve"> E3.S pool</w:t>
      </w:r>
    </w:p>
    <w:tbl>
      <w:tblPr>
        <w:tblStyle w:val="TableGrid"/>
        <w:tblW w:w="0" w:type="auto"/>
        <w:jc w:val="center"/>
        <w:tblLook w:val="04A0" w:firstRow="1" w:lastRow="0" w:firstColumn="1" w:lastColumn="0" w:noHBand="0" w:noVBand="1"/>
      </w:tblPr>
      <w:tblGrid>
        <w:gridCol w:w="9464"/>
      </w:tblGrid>
      <w:tr w:rsidR="005A5290" w14:paraId="44D2B9EF" w14:textId="77777777" w:rsidTr="005A5290">
        <w:trPr>
          <w:jc w:val="center"/>
        </w:trPr>
        <w:tc>
          <w:tcPr>
            <w:tcW w:w="9464" w:type="dxa"/>
          </w:tcPr>
          <w:p w14:paraId="277B6B5E" w14:textId="6E200549" w:rsidR="005A5290" w:rsidRDefault="005A5290" w:rsidP="009E7494">
            <w:pPr>
              <w:spacing w:after="40"/>
              <w:jc w:val="center"/>
            </w:pPr>
            <w:r w:rsidRPr="0065212C">
              <w:rPr>
                <w:noProof/>
              </w:rPr>
              <w:drawing>
                <wp:inline distT="0" distB="0" distL="0" distR="0" wp14:anchorId="5D77A746" wp14:editId="52590C75">
                  <wp:extent cx="5567680" cy="3389337"/>
                  <wp:effectExtent l="0" t="0" r="0" b="1905"/>
                  <wp:docPr id="156881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18653" name=""/>
                          <pic:cNvPicPr/>
                        </pic:nvPicPr>
                        <pic:blipFill>
                          <a:blip r:embed="rId10"/>
                          <a:stretch>
                            <a:fillRect/>
                          </a:stretch>
                        </pic:blipFill>
                        <pic:spPr>
                          <a:xfrm>
                            <a:off x="0" y="0"/>
                            <a:ext cx="5591899" cy="3404080"/>
                          </a:xfrm>
                          <a:prstGeom prst="rect">
                            <a:avLst/>
                          </a:prstGeom>
                        </pic:spPr>
                      </pic:pic>
                    </a:graphicData>
                  </a:graphic>
                </wp:inline>
              </w:drawing>
            </w:r>
          </w:p>
        </w:tc>
      </w:tr>
    </w:tbl>
    <w:p w14:paraId="330D3839" w14:textId="76C7B15B" w:rsidR="009E7494" w:rsidRDefault="009E7494" w:rsidP="009E7494">
      <w:pPr>
        <w:spacing w:after="40"/>
        <w:jc w:val="center"/>
      </w:pPr>
    </w:p>
    <w:p w14:paraId="1D32B9C7" w14:textId="77777777" w:rsidR="009E7494" w:rsidRDefault="009E7494" w:rsidP="009E7494">
      <w:pPr>
        <w:spacing w:after="100"/>
        <w:jc w:val="center"/>
      </w:pPr>
      <w:r>
        <w:rPr>
          <w:i/>
          <w:color w:val="66727D"/>
          <w:sz w:val="16"/>
        </w:rPr>
        <w:t>Figure 5. The switch is an ATMOS branch, not a replacement for the GPU platform fabric. The GPU compute domain and NICs remain on their native platform paths. The drawing represents the local-PCIe attachment option; a companion ATMOS tray/service is a separate topology when the rack does not expose a suitable local route.</w:t>
      </w:r>
    </w:p>
    <w:p w14:paraId="3E0DBD51" w14:textId="77777777" w:rsidR="009E7494" w:rsidRDefault="009E7494" w:rsidP="009E7494">
      <w:pPr>
        <w:keepNext/>
        <w:spacing w:before="60" w:after="60"/>
      </w:pPr>
      <w:r>
        <w:rPr>
          <w:rFonts w:eastAsia="Noto Sans"/>
          <w:b/>
          <w:color w:val="16324F"/>
          <w:sz w:val="25"/>
        </w:rPr>
        <w:t>Gen5 baseline: settle the 48-lane fan-out first</w:t>
      </w:r>
    </w:p>
    <w:tbl>
      <w:tblPr>
        <w:tblStyle w:val="TableGrid"/>
        <w:tblW w:w="0" w:type="auto"/>
        <w:jc w:val="center"/>
        <w:tblLayout w:type="fixed"/>
        <w:tblLook w:val="04A0" w:firstRow="1" w:lastRow="0" w:firstColumn="1" w:lastColumn="0" w:noHBand="0" w:noVBand="1"/>
      </w:tblPr>
      <w:tblGrid>
        <w:gridCol w:w="1944"/>
        <w:gridCol w:w="2664"/>
        <w:gridCol w:w="3240"/>
        <w:gridCol w:w="3240"/>
      </w:tblGrid>
      <w:tr w:rsidR="009E7494" w14:paraId="79B56C33" w14:textId="77777777" w:rsidTr="002E7283">
        <w:trPr>
          <w:tblHeader/>
          <w:jc w:val="center"/>
        </w:trPr>
        <w:tc>
          <w:tcPr>
            <w:tcW w:w="1944" w:type="dxa"/>
            <w:shd w:val="clear" w:color="auto" w:fill="16324F"/>
            <w:tcMar>
              <w:top w:w="80" w:type="dxa"/>
              <w:left w:w="90" w:type="dxa"/>
              <w:bottom w:w="80" w:type="dxa"/>
              <w:right w:w="90" w:type="dxa"/>
            </w:tcMar>
            <w:vAlign w:val="center"/>
          </w:tcPr>
          <w:p w14:paraId="3024A4D8" w14:textId="77777777" w:rsidR="009E7494" w:rsidRDefault="009E7494" w:rsidP="002E7283">
            <w:r>
              <w:rPr>
                <w:rFonts w:eastAsia="Noto Sans"/>
                <w:b/>
                <w:color w:val="FFFFFF"/>
                <w:sz w:val="14"/>
              </w:rPr>
              <w:t>Candidate</w:t>
            </w:r>
          </w:p>
        </w:tc>
        <w:tc>
          <w:tcPr>
            <w:tcW w:w="2664" w:type="dxa"/>
            <w:shd w:val="clear" w:color="auto" w:fill="16324F"/>
            <w:tcMar>
              <w:top w:w="80" w:type="dxa"/>
              <w:left w:w="90" w:type="dxa"/>
              <w:bottom w:w="80" w:type="dxa"/>
              <w:right w:w="90" w:type="dxa"/>
            </w:tcMar>
            <w:vAlign w:val="center"/>
          </w:tcPr>
          <w:p w14:paraId="08D4B2D6" w14:textId="77777777" w:rsidR="009E7494" w:rsidRDefault="009E7494" w:rsidP="002E7283">
            <w:r>
              <w:rPr>
                <w:rFonts w:eastAsia="Noto Sans"/>
                <w:b/>
                <w:color w:val="FFFFFF"/>
                <w:sz w:val="14"/>
              </w:rPr>
              <w:t>Public fit</w:t>
            </w:r>
          </w:p>
        </w:tc>
        <w:tc>
          <w:tcPr>
            <w:tcW w:w="3240" w:type="dxa"/>
            <w:shd w:val="clear" w:color="auto" w:fill="16324F"/>
            <w:tcMar>
              <w:top w:w="80" w:type="dxa"/>
              <w:left w:w="90" w:type="dxa"/>
              <w:bottom w:w="80" w:type="dxa"/>
              <w:right w:w="90" w:type="dxa"/>
            </w:tcMar>
            <w:vAlign w:val="center"/>
          </w:tcPr>
          <w:p w14:paraId="62DD7057" w14:textId="77777777" w:rsidR="009E7494" w:rsidRDefault="009E7494" w:rsidP="002E7283">
            <w:r>
              <w:rPr>
                <w:rFonts w:eastAsia="Noto Sans"/>
                <w:b/>
                <w:color w:val="FFFFFF"/>
                <w:sz w:val="14"/>
              </w:rPr>
              <w:t>Role in the program</w:t>
            </w:r>
          </w:p>
        </w:tc>
        <w:tc>
          <w:tcPr>
            <w:tcW w:w="3240" w:type="dxa"/>
            <w:shd w:val="clear" w:color="auto" w:fill="16324F"/>
            <w:tcMar>
              <w:top w:w="80" w:type="dxa"/>
              <w:left w:w="90" w:type="dxa"/>
              <w:bottom w:w="80" w:type="dxa"/>
              <w:right w:w="90" w:type="dxa"/>
            </w:tcMar>
            <w:vAlign w:val="center"/>
          </w:tcPr>
          <w:p w14:paraId="642BA713" w14:textId="77777777" w:rsidR="009E7494" w:rsidRDefault="009E7494" w:rsidP="002E7283">
            <w:r>
              <w:rPr>
                <w:rFonts w:eastAsia="Noto Sans"/>
                <w:b/>
                <w:color w:val="FFFFFF"/>
                <w:sz w:val="14"/>
              </w:rPr>
              <w:t>Adoption gate</w:t>
            </w:r>
          </w:p>
        </w:tc>
      </w:tr>
      <w:tr w:rsidR="009E7494" w14:paraId="48A4070C" w14:textId="77777777" w:rsidTr="002E7283">
        <w:trPr>
          <w:cantSplit/>
          <w:jc w:val="center"/>
        </w:trPr>
        <w:tc>
          <w:tcPr>
            <w:tcW w:w="1944" w:type="dxa"/>
            <w:tcMar>
              <w:top w:w="70" w:type="dxa"/>
              <w:left w:w="80" w:type="dxa"/>
              <w:bottom w:w="70" w:type="dxa"/>
              <w:right w:w="80" w:type="dxa"/>
            </w:tcMar>
          </w:tcPr>
          <w:p w14:paraId="4004DABC" w14:textId="77777777" w:rsidR="009E7494" w:rsidRDefault="009E7494" w:rsidP="002E7283">
            <w:r>
              <w:rPr>
                <w:rFonts w:eastAsia="Noto Sans"/>
                <w:b/>
                <w:color w:val="24313D"/>
                <w:sz w:val="14"/>
              </w:rPr>
              <w:t>Microchip PM50052</w:t>
            </w:r>
          </w:p>
        </w:tc>
        <w:tc>
          <w:tcPr>
            <w:tcW w:w="2664" w:type="dxa"/>
            <w:tcMar>
              <w:top w:w="70" w:type="dxa"/>
              <w:left w:w="80" w:type="dxa"/>
              <w:bottom w:w="70" w:type="dxa"/>
              <w:right w:w="80" w:type="dxa"/>
            </w:tcMar>
          </w:tcPr>
          <w:p w14:paraId="15484208" w14:textId="77777777" w:rsidR="009E7494" w:rsidRDefault="009E7494" w:rsidP="002E7283">
            <w:proofErr w:type="spellStart"/>
            <w:r>
              <w:rPr>
                <w:rFonts w:eastAsia="Noto Sans"/>
                <w:color w:val="24313D"/>
                <w:sz w:val="14"/>
              </w:rPr>
              <w:t>Switchtec</w:t>
            </w:r>
            <w:proofErr w:type="spellEnd"/>
            <w:r>
              <w:rPr>
                <w:rFonts w:eastAsia="Noto Sans"/>
                <w:color w:val="24313D"/>
                <w:sz w:val="14"/>
              </w:rPr>
              <w:t xml:space="preserve"> PFX Gen5, 52 lanes. Microchip publishes a 52-lane reference design and </w:t>
            </w:r>
            <w:proofErr w:type="spellStart"/>
            <w:r>
              <w:rPr>
                <w:rFonts w:eastAsia="Noto Sans"/>
                <w:color w:val="24313D"/>
                <w:sz w:val="14"/>
              </w:rPr>
              <w:t>ChipLink</w:t>
            </w:r>
            <w:proofErr w:type="spellEnd"/>
            <w:r>
              <w:rPr>
                <w:rFonts w:eastAsia="Noto Sans"/>
                <w:color w:val="24313D"/>
                <w:sz w:val="14"/>
              </w:rPr>
              <w:t>-based enablement path.</w:t>
            </w:r>
          </w:p>
        </w:tc>
        <w:tc>
          <w:tcPr>
            <w:tcW w:w="3240" w:type="dxa"/>
            <w:tcMar>
              <w:top w:w="70" w:type="dxa"/>
              <w:left w:w="80" w:type="dxa"/>
              <w:bottom w:w="70" w:type="dxa"/>
              <w:right w:w="80" w:type="dxa"/>
            </w:tcMar>
          </w:tcPr>
          <w:p w14:paraId="1019D752" w14:textId="77777777" w:rsidR="009E7494" w:rsidRDefault="009E7494" w:rsidP="002E7283">
            <w:r>
              <w:rPr>
                <w:rFonts w:eastAsia="Noto Sans"/>
                <w:color w:val="24313D"/>
                <w:sz w:val="14"/>
              </w:rPr>
              <w:t>Primary engineering-enablement inquiry because the 48-lane target map leaves four lanes of arithmetic margin.</w:t>
            </w:r>
          </w:p>
        </w:tc>
        <w:tc>
          <w:tcPr>
            <w:tcW w:w="3240" w:type="dxa"/>
            <w:tcMar>
              <w:top w:w="70" w:type="dxa"/>
              <w:left w:w="80" w:type="dxa"/>
              <w:bottom w:w="70" w:type="dxa"/>
              <w:right w:w="80" w:type="dxa"/>
            </w:tcMar>
          </w:tcPr>
          <w:p w14:paraId="4A6610EC" w14:textId="77777777" w:rsidR="009E7494" w:rsidRDefault="009E7494" w:rsidP="002E7283">
            <w:r>
              <w:rPr>
                <w:rFonts w:eastAsia="Noto Sans"/>
                <w:color w:val="24313D"/>
                <w:sz w:val="14"/>
              </w:rPr>
              <w:t>Vendor-confirmed x16 upstream + 8×x4 downstream map, non-</w:t>
            </w:r>
            <w:proofErr w:type="spellStart"/>
            <w:r>
              <w:rPr>
                <w:rFonts w:eastAsia="Noto Sans"/>
                <w:color w:val="24313D"/>
                <w:sz w:val="14"/>
              </w:rPr>
              <w:t>NVMe</w:t>
            </w:r>
            <w:proofErr w:type="spellEnd"/>
            <w:r>
              <w:rPr>
                <w:rFonts w:eastAsia="Noto Sans"/>
                <w:color w:val="24313D"/>
                <w:sz w:val="14"/>
              </w:rPr>
              <w:t xml:space="preserve"> endpoint interoperability, board/firmware support, quote and lifecycle owner.</w:t>
            </w:r>
          </w:p>
        </w:tc>
      </w:tr>
      <w:tr w:rsidR="009E7494" w14:paraId="10E7F7B3" w14:textId="77777777" w:rsidTr="002E7283">
        <w:trPr>
          <w:cantSplit/>
          <w:jc w:val="center"/>
        </w:trPr>
        <w:tc>
          <w:tcPr>
            <w:tcW w:w="1944" w:type="dxa"/>
            <w:shd w:val="clear" w:color="auto" w:fill="F6F8FA"/>
            <w:tcMar>
              <w:top w:w="70" w:type="dxa"/>
              <w:left w:w="80" w:type="dxa"/>
              <w:bottom w:w="70" w:type="dxa"/>
              <w:right w:w="80" w:type="dxa"/>
            </w:tcMar>
          </w:tcPr>
          <w:p w14:paraId="57AF44FA" w14:textId="77777777" w:rsidR="009E7494" w:rsidRDefault="009E7494" w:rsidP="002E7283">
            <w:r>
              <w:rPr>
                <w:rFonts w:eastAsia="Noto Sans"/>
                <w:b/>
                <w:color w:val="24313D"/>
                <w:sz w:val="14"/>
              </w:rPr>
              <w:t>Broadcom PEX89048</w:t>
            </w:r>
          </w:p>
        </w:tc>
        <w:tc>
          <w:tcPr>
            <w:tcW w:w="2664" w:type="dxa"/>
            <w:shd w:val="clear" w:color="auto" w:fill="F6F8FA"/>
            <w:tcMar>
              <w:top w:w="70" w:type="dxa"/>
              <w:left w:w="80" w:type="dxa"/>
              <w:bottom w:w="70" w:type="dxa"/>
              <w:right w:w="80" w:type="dxa"/>
            </w:tcMar>
          </w:tcPr>
          <w:p w14:paraId="79F6210E" w14:textId="77777777" w:rsidR="009E7494" w:rsidRDefault="009E7494" w:rsidP="002E7283">
            <w:r>
              <w:rPr>
                <w:rFonts w:eastAsia="Noto Sans"/>
                <w:color w:val="24313D"/>
                <w:sz w:val="14"/>
              </w:rPr>
              <w:t xml:space="preserve">48-lane PCIe Gen5 </w:t>
            </w:r>
            <w:proofErr w:type="spellStart"/>
            <w:r>
              <w:rPr>
                <w:rFonts w:eastAsia="Noto Sans"/>
                <w:color w:val="24313D"/>
                <w:sz w:val="14"/>
              </w:rPr>
              <w:t>ExpressFabric</w:t>
            </w:r>
            <w:proofErr w:type="spellEnd"/>
            <w:r>
              <w:rPr>
                <w:rFonts w:eastAsia="Noto Sans"/>
                <w:color w:val="24313D"/>
                <w:sz w:val="14"/>
              </w:rPr>
              <w:t xml:space="preserve"> switch; exact arithmetic for x16 + 8×x4.</w:t>
            </w:r>
          </w:p>
        </w:tc>
        <w:tc>
          <w:tcPr>
            <w:tcW w:w="3240" w:type="dxa"/>
            <w:shd w:val="clear" w:color="auto" w:fill="F6F8FA"/>
            <w:tcMar>
              <w:top w:w="70" w:type="dxa"/>
              <w:left w:w="80" w:type="dxa"/>
              <w:bottom w:w="70" w:type="dxa"/>
              <w:right w:w="80" w:type="dxa"/>
            </w:tcMar>
          </w:tcPr>
          <w:p w14:paraId="725F080D" w14:textId="77777777" w:rsidR="009E7494" w:rsidRDefault="009E7494" w:rsidP="002E7283">
            <w:r>
              <w:rPr>
                <w:rFonts w:eastAsia="Noto Sans"/>
                <w:color w:val="24313D"/>
                <w:sz w:val="14"/>
              </w:rPr>
              <w:t>Parallel fixed-eight-device alternative to avoid vendor lock-in and compare OEM-supported board availability.</w:t>
            </w:r>
          </w:p>
        </w:tc>
        <w:tc>
          <w:tcPr>
            <w:tcW w:w="3240" w:type="dxa"/>
            <w:shd w:val="clear" w:color="auto" w:fill="F6F8FA"/>
            <w:tcMar>
              <w:top w:w="70" w:type="dxa"/>
              <w:left w:w="80" w:type="dxa"/>
              <w:bottom w:w="70" w:type="dxa"/>
              <w:right w:w="80" w:type="dxa"/>
            </w:tcMar>
          </w:tcPr>
          <w:p w14:paraId="42C4BF34" w14:textId="77777777" w:rsidR="009E7494" w:rsidRDefault="009E7494" w:rsidP="002E7283">
            <w:r>
              <w:rPr>
                <w:rFonts w:eastAsia="Noto Sans"/>
                <w:color w:val="24313D"/>
                <w:sz w:val="14"/>
              </w:rPr>
              <w:t>Exact port grouping/configuration, board support, peer/ACS/DPC/reset behavior, diagnostics, quote and support owner.</w:t>
            </w:r>
          </w:p>
        </w:tc>
      </w:tr>
      <w:tr w:rsidR="009E7494" w14:paraId="20768326" w14:textId="77777777" w:rsidTr="002E7283">
        <w:trPr>
          <w:cantSplit/>
          <w:jc w:val="center"/>
        </w:trPr>
        <w:tc>
          <w:tcPr>
            <w:tcW w:w="1944" w:type="dxa"/>
            <w:tcMar>
              <w:top w:w="70" w:type="dxa"/>
              <w:left w:w="80" w:type="dxa"/>
              <w:bottom w:w="70" w:type="dxa"/>
              <w:right w:w="80" w:type="dxa"/>
            </w:tcMar>
          </w:tcPr>
          <w:p w14:paraId="2E163E48" w14:textId="77777777" w:rsidR="009E7494" w:rsidRDefault="009E7494" w:rsidP="002E7283">
            <w:r>
              <w:rPr>
                <w:rFonts w:eastAsia="Noto Sans"/>
                <w:b/>
                <w:color w:val="24313D"/>
                <w:sz w:val="14"/>
              </w:rPr>
              <w:t>Microchip PM50100 / larger Gen5</w:t>
            </w:r>
          </w:p>
        </w:tc>
        <w:tc>
          <w:tcPr>
            <w:tcW w:w="2664" w:type="dxa"/>
            <w:tcMar>
              <w:top w:w="70" w:type="dxa"/>
              <w:left w:w="80" w:type="dxa"/>
              <w:bottom w:w="70" w:type="dxa"/>
              <w:right w:w="80" w:type="dxa"/>
            </w:tcMar>
          </w:tcPr>
          <w:p w14:paraId="26602919" w14:textId="77777777" w:rsidR="009E7494" w:rsidRDefault="009E7494" w:rsidP="002E7283">
            <w:r>
              <w:rPr>
                <w:rFonts w:eastAsia="Noto Sans"/>
                <w:color w:val="24313D"/>
                <w:sz w:val="14"/>
              </w:rPr>
              <w:t xml:space="preserve">Up to 100 lanes in the Gen5 </w:t>
            </w:r>
            <w:proofErr w:type="spellStart"/>
            <w:r>
              <w:rPr>
                <w:rFonts w:eastAsia="Noto Sans"/>
                <w:color w:val="24313D"/>
                <w:sz w:val="14"/>
              </w:rPr>
              <w:t>Switchtec</w:t>
            </w:r>
            <w:proofErr w:type="spellEnd"/>
            <w:r>
              <w:rPr>
                <w:rFonts w:eastAsia="Noto Sans"/>
                <w:color w:val="24313D"/>
                <w:sz w:val="14"/>
              </w:rPr>
              <w:t xml:space="preserve"> family.</w:t>
            </w:r>
          </w:p>
        </w:tc>
        <w:tc>
          <w:tcPr>
            <w:tcW w:w="3240" w:type="dxa"/>
            <w:tcMar>
              <w:top w:w="70" w:type="dxa"/>
              <w:left w:w="80" w:type="dxa"/>
              <w:bottom w:w="70" w:type="dxa"/>
              <w:right w:w="80" w:type="dxa"/>
            </w:tcMar>
          </w:tcPr>
          <w:p w14:paraId="52156EDC" w14:textId="77777777" w:rsidR="009E7494" w:rsidRDefault="009E7494" w:rsidP="002E7283">
            <w:r>
              <w:rPr>
                <w:rFonts w:eastAsia="Noto Sans"/>
                <w:color w:val="24313D"/>
                <w:sz w:val="14"/>
              </w:rPr>
              <w:t>Only when the actual server port map needs wider uplinks, more endpoints or additional fabrics.</w:t>
            </w:r>
          </w:p>
        </w:tc>
        <w:tc>
          <w:tcPr>
            <w:tcW w:w="3240" w:type="dxa"/>
            <w:tcMar>
              <w:top w:w="70" w:type="dxa"/>
              <w:left w:w="80" w:type="dxa"/>
              <w:bottom w:w="70" w:type="dxa"/>
              <w:right w:w="80" w:type="dxa"/>
            </w:tcMar>
          </w:tcPr>
          <w:p w14:paraId="1B4AD267" w14:textId="77777777" w:rsidR="009E7494" w:rsidRDefault="009E7494" w:rsidP="002E7283">
            <w:r>
              <w:rPr>
                <w:rFonts w:eastAsia="Noto Sans"/>
                <w:color w:val="24313D"/>
                <w:sz w:val="14"/>
              </w:rPr>
              <w:t>Concrete extra-port requirement; do not pay area/power/cost merely because a larger switch exists.</w:t>
            </w:r>
          </w:p>
        </w:tc>
      </w:tr>
    </w:tbl>
    <w:p w14:paraId="7D921873" w14:textId="77777777" w:rsidR="009E7494" w:rsidRDefault="009E7494" w:rsidP="009E7494">
      <w:pPr>
        <w:spacing w:after="20"/>
      </w:pPr>
    </w:p>
    <w:p w14:paraId="4DD8504B" w14:textId="77777777" w:rsidR="009E7494" w:rsidRDefault="009E7494" w:rsidP="009E7494">
      <w:pPr>
        <w:keepNext/>
        <w:spacing w:before="60" w:after="60"/>
      </w:pPr>
      <w:r>
        <w:rPr>
          <w:b/>
          <w:color w:val="16324F"/>
          <w:sz w:val="25"/>
        </w:rPr>
        <w:t>Gen5 first for the subsystem; Gen6 when the rack path earns it</w:t>
      </w:r>
    </w:p>
    <w:p w14:paraId="7E8D353E" w14:textId="77777777" w:rsidR="009E7494" w:rsidRDefault="009E7494" w:rsidP="009E7494">
      <w:pPr>
        <w:pStyle w:val="ListBullet"/>
        <w:spacing w:after="40" w:line="252" w:lineRule="auto"/>
        <w:ind w:left="259" w:hanging="173"/>
      </w:pPr>
      <w:r>
        <w:t>A Gen6 x16 host uplink can approximately match the headline line rate of eight Gen5 x4 downstream links, but only when the selected NVL/Helios host path, switch, board/channel and firmware all support the combination. Gen6 is therefore a platform qualification, not a paper upgrade.</w:t>
      </w:r>
    </w:p>
    <w:p w14:paraId="0A40903A" w14:textId="77777777" w:rsidR="009E7494" w:rsidRDefault="009E7494" w:rsidP="009E7494">
      <w:pPr>
        <w:pStyle w:val="ListBullet"/>
        <w:spacing w:after="40" w:line="252" w:lineRule="auto"/>
        <w:ind w:left="259" w:hanging="173"/>
      </w:pPr>
      <w:r>
        <w:t>Microchip publicly describes Gen6 Switchtec low-lane-count 48/64-lane families with x2/x4/x8/x16 flexibility. Keep this as the first Gen6 engineering inquiry after the Gen5 subsystem behavior is understood.</w:t>
      </w:r>
    </w:p>
    <w:p w14:paraId="69E9A88E" w14:textId="77777777" w:rsidR="009E7494" w:rsidRDefault="009E7494" w:rsidP="009E7494">
      <w:pPr>
        <w:pStyle w:val="ListBullet"/>
        <w:spacing w:after="40" w:line="252" w:lineRule="auto"/>
        <w:ind w:left="259" w:hanging="173"/>
      </w:pPr>
      <w:r>
        <w:t>Do not choose Gen6 simply to upgrade a Gen5 endpoint. ATMOS endpoint generation, host/root generation and switch uplink/downlink configuration are independent decisions.</w:t>
      </w:r>
    </w:p>
    <w:p w14:paraId="43F44539" w14:textId="77777777" w:rsidR="009E7494" w:rsidRDefault="009E7494" w:rsidP="009E7494">
      <w:pPr>
        <w:pStyle w:val="ListBullet"/>
        <w:spacing w:after="40" w:line="252" w:lineRule="auto"/>
        <w:ind w:left="259" w:hanging="173"/>
      </w:pPr>
      <w:r>
        <w:t>Treat any larger Gen6 switch as a vendor/OEM roadmap item until an exact orderable part, x4 grouping, board path, firmware profile, supply plan and support owner are returned.</w:t>
      </w:r>
    </w:p>
    <w:p w14:paraId="72BE6DF4" w14:textId="55D4E779" w:rsidR="009E7494" w:rsidRDefault="009E7494" w:rsidP="005A5290">
      <w:r>
        <w:br w:type="page"/>
      </w:r>
      <w:r>
        <w:rPr>
          <w:b/>
          <w:color w:val="16324F"/>
          <w:sz w:val="36"/>
        </w:rPr>
        <w:lastRenderedPageBreak/>
        <w:t>GPU-to-ATMOS DMA qualification: host staging first, peer path optional</w:t>
      </w:r>
    </w:p>
    <w:p w14:paraId="0E8D1996" w14:textId="77777777" w:rsidR="009E7494" w:rsidRDefault="009E7494" w:rsidP="009E7494">
      <w:pPr>
        <w:spacing w:after="100" w:line="259" w:lineRule="auto"/>
      </w:pPr>
      <w:r>
        <w:rPr>
          <w:sz w:val="18"/>
        </w:rPr>
        <w:t xml:space="preserve">The initial MoE architecture </w:t>
      </w:r>
      <w:r w:rsidRPr="005835B4">
        <w:rPr>
          <w:b/>
          <w:bCs/>
          <w:sz w:val="18"/>
        </w:rPr>
        <w:t>does not require ATMOS-to-ATMOS P2P</w:t>
      </w:r>
      <w:r>
        <w:rPr>
          <w:sz w:val="18"/>
        </w:rPr>
        <w:t xml:space="preserve">. The </w:t>
      </w:r>
      <w:r w:rsidRPr="005835B4">
        <w:rPr>
          <w:b/>
          <w:bCs/>
          <w:sz w:val="18"/>
        </w:rPr>
        <w:t>critical data path is GPU-to-ATMOS activation dispatch and ATMOS-to-GPU result return</w:t>
      </w:r>
      <w:r>
        <w:rPr>
          <w:sz w:val="18"/>
        </w:rPr>
        <w:t>. A host-staged path using stock vendor APIs is the mandatory functional baseline. Direct GPU-memory peer DMA is enabled only when documented NVIDIA or AMD interfaces, Linux/IOMMU policy, the ATMOS endpoint and the runtime all support the exact route; lack of that path must never force a proprietary GPU driver or firmware modification.</w:t>
      </w:r>
    </w:p>
    <w:tbl>
      <w:tblPr>
        <w:tblStyle w:val="TableGrid"/>
        <w:tblW w:w="0" w:type="auto"/>
        <w:jc w:val="center"/>
        <w:tblLayout w:type="fixed"/>
        <w:tblLook w:val="04A0" w:firstRow="1" w:lastRow="0" w:firstColumn="1" w:lastColumn="0" w:noHBand="0" w:noVBand="1"/>
      </w:tblPr>
      <w:tblGrid>
        <w:gridCol w:w="1655"/>
        <w:gridCol w:w="6623"/>
        <w:gridCol w:w="1944"/>
      </w:tblGrid>
      <w:tr w:rsidR="009E7494" w14:paraId="1612D10C" w14:textId="77777777" w:rsidTr="002E7283">
        <w:trPr>
          <w:tblHeader/>
          <w:jc w:val="center"/>
        </w:trPr>
        <w:tc>
          <w:tcPr>
            <w:tcW w:w="1655" w:type="dxa"/>
            <w:shd w:val="clear" w:color="auto" w:fill="16324F"/>
            <w:tcMar>
              <w:top w:w="80" w:type="dxa"/>
              <w:left w:w="90" w:type="dxa"/>
              <w:bottom w:w="80" w:type="dxa"/>
              <w:right w:w="90" w:type="dxa"/>
            </w:tcMar>
            <w:vAlign w:val="center"/>
          </w:tcPr>
          <w:p w14:paraId="561B5134" w14:textId="77777777" w:rsidR="00846FAB" w:rsidRDefault="00000000">
            <w:r>
              <w:rPr>
                <w:b/>
                <w:color w:val="FFFFFF"/>
                <w:sz w:val="14"/>
              </w:rPr>
              <w:t>Gate</w:t>
            </w:r>
          </w:p>
        </w:tc>
        <w:tc>
          <w:tcPr>
            <w:tcW w:w="6623" w:type="dxa"/>
            <w:shd w:val="clear" w:color="auto" w:fill="16324F"/>
            <w:tcMar>
              <w:top w:w="80" w:type="dxa"/>
              <w:left w:w="90" w:type="dxa"/>
              <w:bottom w:w="80" w:type="dxa"/>
              <w:right w:w="90" w:type="dxa"/>
            </w:tcMar>
            <w:vAlign w:val="center"/>
          </w:tcPr>
          <w:p w14:paraId="71071D31" w14:textId="77777777" w:rsidR="00846FAB" w:rsidRDefault="00000000">
            <w:r>
              <w:rPr>
                <w:b/>
                <w:color w:val="FFFFFF"/>
                <w:sz w:val="14"/>
              </w:rPr>
              <w:t>What must be proven</w:t>
            </w:r>
          </w:p>
        </w:tc>
        <w:tc>
          <w:tcPr>
            <w:tcW w:w="1944" w:type="dxa"/>
            <w:shd w:val="clear" w:color="auto" w:fill="16324F"/>
            <w:tcMar>
              <w:top w:w="80" w:type="dxa"/>
              <w:left w:w="90" w:type="dxa"/>
              <w:bottom w:w="80" w:type="dxa"/>
              <w:right w:w="90" w:type="dxa"/>
            </w:tcMar>
            <w:vAlign w:val="center"/>
          </w:tcPr>
          <w:p w14:paraId="38F7D0D2" w14:textId="77777777" w:rsidR="00846FAB" w:rsidRDefault="00000000">
            <w:r>
              <w:rPr>
                <w:b/>
                <w:color w:val="FFFFFF"/>
                <w:sz w:val="14"/>
              </w:rPr>
              <w:t>Owner(s)</w:t>
            </w:r>
          </w:p>
        </w:tc>
      </w:tr>
      <w:tr w:rsidR="009E7494" w14:paraId="441D4261" w14:textId="77777777" w:rsidTr="002E7283">
        <w:trPr>
          <w:cantSplit/>
          <w:jc w:val="center"/>
        </w:trPr>
        <w:tc>
          <w:tcPr>
            <w:tcW w:w="1655" w:type="dxa"/>
            <w:tcMar>
              <w:top w:w="70" w:type="dxa"/>
              <w:left w:w="80" w:type="dxa"/>
              <w:bottom w:w="70" w:type="dxa"/>
              <w:right w:w="80" w:type="dxa"/>
            </w:tcMar>
            <w:vAlign w:val="center"/>
          </w:tcPr>
          <w:p w14:paraId="6AEA7B25" w14:textId="77777777" w:rsidR="00846FAB" w:rsidRDefault="00000000">
            <w:r>
              <w:rPr>
                <w:sz w:val="14"/>
              </w:rPr>
              <w:t>1. ATMOS endpoint</w:t>
            </w:r>
          </w:p>
        </w:tc>
        <w:tc>
          <w:tcPr>
            <w:tcW w:w="6623" w:type="dxa"/>
            <w:tcMar>
              <w:top w:w="70" w:type="dxa"/>
              <w:left w:w="80" w:type="dxa"/>
              <w:bottom w:w="70" w:type="dxa"/>
              <w:right w:w="80" w:type="dxa"/>
            </w:tcMar>
            <w:vAlign w:val="center"/>
          </w:tcPr>
          <w:p w14:paraId="408326B7" w14:textId="77777777" w:rsidR="00846FAB" w:rsidRDefault="00000000">
            <w:r>
              <w:rPr>
                <w:sz w:val="14"/>
              </w:rPr>
              <w:t>Registered-buffer mechanism; programmable DMA; ordering/completion; reset invalidation; bounded access. Peer-visible aperture only if required by a supported route.</w:t>
            </w:r>
          </w:p>
        </w:tc>
        <w:tc>
          <w:tcPr>
            <w:tcW w:w="1944" w:type="dxa"/>
            <w:tcMar>
              <w:top w:w="70" w:type="dxa"/>
              <w:left w:w="80" w:type="dxa"/>
              <w:bottom w:w="70" w:type="dxa"/>
              <w:right w:w="80" w:type="dxa"/>
            </w:tcMar>
            <w:vAlign w:val="center"/>
          </w:tcPr>
          <w:p w14:paraId="02710018" w14:textId="77777777" w:rsidR="00846FAB" w:rsidRDefault="00000000">
            <w:r>
              <w:rPr>
                <w:sz w:val="14"/>
              </w:rPr>
              <w:t>Sandisk silicon/FW + driver</w:t>
            </w:r>
          </w:p>
        </w:tc>
      </w:tr>
      <w:tr w:rsidR="009E7494" w14:paraId="2F4A689D" w14:textId="77777777" w:rsidTr="002E7283">
        <w:trPr>
          <w:cantSplit/>
          <w:jc w:val="center"/>
        </w:trPr>
        <w:tc>
          <w:tcPr>
            <w:tcW w:w="1655" w:type="dxa"/>
            <w:shd w:val="clear" w:color="auto" w:fill="F3F6F8"/>
            <w:tcMar>
              <w:top w:w="70" w:type="dxa"/>
              <w:left w:w="80" w:type="dxa"/>
              <w:bottom w:w="70" w:type="dxa"/>
              <w:right w:w="80" w:type="dxa"/>
            </w:tcMar>
            <w:vAlign w:val="center"/>
          </w:tcPr>
          <w:p w14:paraId="31885CC8" w14:textId="77777777" w:rsidR="00846FAB" w:rsidRDefault="00000000">
            <w:r>
              <w:rPr>
                <w:sz w:val="14"/>
              </w:rPr>
              <w:t>2. Switch fabric</w:t>
            </w:r>
          </w:p>
        </w:tc>
        <w:tc>
          <w:tcPr>
            <w:tcW w:w="6623" w:type="dxa"/>
            <w:shd w:val="clear" w:color="auto" w:fill="F3F6F8"/>
            <w:tcMar>
              <w:top w:w="70" w:type="dxa"/>
              <w:left w:w="80" w:type="dxa"/>
              <w:bottom w:w="70" w:type="dxa"/>
              <w:right w:w="80" w:type="dxa"/>
            </w:tcMar>
            <w:vAlign w:val="center"/>
          </w:tcPr>
          <w:p w14:paraId="575C3175" w14:textId="77777777" w:rsidR="00846FAB" w:rsidRDefault="00000000">
            <w:r>
              <w:rPr>
                <w:sz w:val="14"/>
              </w:rPr>
              <w:t>Required x16 + 8×x4 map; diagnostics; ACS/DPC/security policy; containment and firmware profile. ATMOS-to-ATMOS P2P is optional for the first product.</w:t>
            </w:r>
          </w:p>
        </w:tc>
        <w:tc>
          <w:tcPr>
            <w:tcW w:w="1944" w:type="dxa"/>
            <w:shd w:val="clear" w:color="auto" w:fill="F3F6F8"/>
            <w:tcMar>
              <w:top w:w="70" w:type="dxa"/>
              <w:left w:w="80" w:type="dxa"/>
              <w:bottom w:w="70" w:type="dxa"/>
              <w:right w:w="80" w:type="dxa"/>
            </w:tcMar>
            <w:vAlign w:val="center"/>
          </w:tcPr>
          <w:p w14:paraId="06E23651" w14:textId="77777777" w:rsidR="00846FAB" w:rsidRDefault="00000000">
            <w:r>
              <w:rPr>
                <w:sz w:val="14"/>
              </w:rPr>
              <w:t>Microchip/Broadcom FAE + OEM</w:t>
            </w:r>
          </w:p>
        </w:tc>
      </w:tr>
      <w:tr w:rsidR="009E7494" w14:paraId="2A7CB7C6" w14:textId="77777777" w:rsidTr="002E7283">
        <w:trPr>
          <w:cantSplit/>
          <w:jc w:val="center"/>
        </w:trPr>
        <w:tc>
          <w:tcPr>
            <w:tcW w:w="1655" w:type="dxa"/>
            <w:tcMar>
              <w:top w:w="70" w:type="dxa"/>
              <w:left w:w="80" w:type="dxa"/>
              <w:bottom w:w="70" w:type="dxa"/>
              <w:right w:w="80" w:type="dxa"/>
            </w:tcMar>
            <w:vAlign w:val="center"/>
          </w:tcPr>
          <w:p w14:paraId="549C28CC" w14:textId="77777777" w:rsidR="00846FAB" w:rsidRDefault="00000000">
            <w:r>
              <w:rPr>
                <w:sz w:val="14"/>
              </w:rPr>
              <w:t>3. OEM / OS</w:t>
            </w:r>
          </w:p>
        </w:tc>
        <w:tc>
          <w:tcPr>
            <w:tcW w:w="6623" w:type="dxa"/>
            <w:tcMar>
              <w:top w:w="70" w:type="dxa"/>
              <w:left w:w="80" w:type="dxa"/>
              <w:bottom w:w="70" w:type="dxa"/>
              <w:right w:w="80" w:type="dxa"/>
            </w:tcMar>
            <w:vAlign w:val="center"/>
          </w:tcPr>
          <w:p w14:paraId="05D60B2E" w14:textId="77777777" w:rsidR="00846FAB" w:rsidRDefault="00000000">
            <w:r>
              <w:rPr>
                <w:sz w:val="14"/>
              </w:rPr>
              <w:t>BIOS address windows, IOMMU mapping, NUMA/root reachability, security policy, reset and failure containment for the selected host/rack.</w:t>
            </w:r>
          </w:p>
        </w:tc>
        <w:tc>
          <w:tcPr>
            <w:tcW w:w="1944" w:type="dxa"/>
            <w:tcMar>
              <w:top w:w="70" w:type="dxa"/>
              <w:left w:w="80" w:type="dxa"/>
              <w:bottom w:w="70" w:type="dxa"/>
              <w:right w:w="80" w:type="dxa"/>
            </w:tcMar>
            <w:vAlign w:val="center"/>
          </w:tcPr>
          <w:p w14:paraId="7F779ADB" w14:textId="77777777" w:rsidR="00846FAB" w:rsidRDefault="00000000">
            <w:r>
              <w:rPr>
                <w:sz w:val="14"/>
              </w:rPr>
              <w:t>OEM + Linux/platform</w:t>
            </w:r>
          </w:p>
        </w:tc>
      </w:tr>
      <w:tr w:rsidR="009E7494" w14:paraId="03994B11" w14:textId="77777777" w:rsidTr="002E7283">
        <w:trPr>
          <w:cantSplit/>
          <w:jc w:val="center"/>
        </w:trPr>
        <w:tc>
          <w:tcPr>
            <w:tcW w:w="1655" w:type="dxa"/>
            <w:shd w:val="clear" w:color="auto" w:fill="F3F6F8"/>
            <w:tcMar>
              <w:top w:w="70" w:type="dxa"/>
              <w:left w:w="80" w:type="dxa"/>
              <w:bottom w:w="70" w:type="dxa"/>
              <w:right w:w="80" w:type="dxa"/>
            </w:tcMar>
            <w:vAlign w:val="center"/>
          </w:tcPr>
          <w:p w14:paraId="0DA2F648" w14:textId="77777777" w:rsidR="00846FAB" w:rsidRDefault="00000000">
            <w:r>
              <w:rPr>
                <w:sz w:val="14"/>
              </w:rPr>
              <w:t>4. NVIDIA GPU path</w:t>
            </w:r>
          </w:p>
        </w:tc>
        <w:tc>
          <w:tcPr>
            <w:tcW w:w="6623" w:type="dxa"/>
            <w:shd w:val="clear" w:color="auto" w:fill="F3F6F8"/>
            <w:tcMar>
              <w:top w:w="70" w:type="dxa"/>
              <w:left w:w="80" w:type="dxa"/>
              <w:bottom w:w="70" w:type="dxa"/>
              <w:right w:w="80" w:type="dxa"/>
            </w:tcMar>
            <w:vAlign w:val="center"/>
          </w:tcPr>
          <w:p w14:paraId="3FCEE958" w14:textId="77777777" w:rsidR="00846FAB" w:rsidRDefault="00000000">
            <w:r>
              <w:rPr>
                <w:sz w:val="14"/>
              </w:rPr>
              <w:t>Stock vendor-supported CUDA/driver path. Host-staged pinned memory is sufficient for baseline; optional peer DMA only through documented interfaces. No NVIDIA firmware/driver patch.</w:t>
            </w:r>
          </w:p>
        </w:tc>
        <w:tc>
          <w:tcPr>
            <w:tcW w:w="1944" w:type="dxa"/>
            <w:shd w:val="clear" w:color="auto" w:fill="F3F6F8"/>
            <w:tcMar>
              <w:top w:w="70" w:type="dxa"/>
              <w:left w:w="80" w:type="dxa"/>
              <w:bottom w:w="70" w:type="dxa"/>
              <w:right w:w="80" w:type="dxa"/>
            </w:tcMar>
            <w:vAlign w:val="center"/>
          </w:tcPr>
          <w:p w14:paraId="7FDAAFDA" w14:textId="77777777" w:rsidR="00846FAB" w:rsidRDefault="00000000">
            <w:r>
              <w:rPr>
                <w:sz w:val="14"/>
              </w:rPr>
              <w:t>Sandisk runtime/driver + OEM</w:t>
            </w:r>
          </w:p>
        </w:tc>
      </w:tr>
      <w:tr w:rsidR="009E7494" w14:paraId="28797755" w14:textId="77777777" w:rsidTr="002E7283">
        <w:trPr>
          <w:cantSplit/>
          <w:jc w:val="center"/>
        </w:trPr>
        <w:tc>
          <w:tcPr>
            <w:tcW w:w="1655" w:type="dxa"/>
            <w:tcMar>
              <w:top w:w="70" w:type="dxa"/>
              <w:left w:w="80" w:type="dxa"/>
              <w:bottom w:w="70" w:type="dxa"/>
              <w:right w:w="80" w:type="dxa"/>
            </w:tcMar>
            <w:vAlign w:val="center"/>
          </w:tcPr>
          <w:p w14:paraId="2AE16ADF" w14:textId="77777777" w:rsidR="00846FAB" w:rsidRDefault="00000000">
            <w:r>
              <w:rPr>
                <w:sz w:val="14"/>
              </w:rPr>
              <w:t>5. AMD GPU path</w:t>
            </w:r>
          </w:p>
        </w:tc>
        <w:tc>
          <w:tcPr>
            <w:tcW w:w="6623" w:type="dxa"/>
            <w:tcMar>
              <w:top w:w="70" w:type="dxa"/>
              <w:left w:w="80" w:type="dxa"/>
              <w:bottom w:w="70" w:type="dxa"/>
              <w:right w:w="80" w:type="dxa"/>
            </w:tcMar>
            <w:vAlign w:val="center"/>
          </w:tcPr>
          <w:p w14:paraId="24CDC07C" w14:textId="77777777" w:rsidR="00846FAB" w:rsidRDefault="00000000">
            <w:r>
              <w:rPr>
                <w:sz w:val="14"/>
              </w:rPr>
              <w:t>Stock ROCm/HIP/amdgpu path. Host-staged pinned memory is sufficient for baseline; optional peer path uses documented/open interfaces. No private AMD extension is required.</w:t>
            </w:r>
          </w:p>
        </w:tc>
        <w:tc>
          <w:tcPr>
            <w:tcW w:w="1944" w:type="dxa"/>
            <w:tcMar>
              <w:top w:w="70" w:type="dxa"/>
              <w:left w:w="80" w:type="dxa"/>
              <w:bottom w:w="70" w:type="dxa"/>
              <w:right w:w="80" w:type="dxa"/>
            </w:tcMar>
            <w:vAlign w:val="center"/>
          </w:tcPr>
          <w:p w14:paraId="045E15DD" w14:textId="77777777" w:rsidR="00846FAB" w:rsidRDefault="00000000">
            <w:r>
              <w:rPr>
                <w:sz w:val="14"/>
              </w:rPr>
              <w:t>Sandisk runtime/driver + OEM</w:t>
            </w:r>
          </w:p>
        </w:tc>
      </w:tr>
      <w:tr w:rsidR="009E7494" w14:paraId="1EDAC67C" w14:textId="77777777" w:rsidTr="002E7283">
        <w:trPr>
          <w:cantSplit/>
          <w:jc w:val="center"/>
        </w:trPr>
        <w:tc>
          <w:tcPr>
            <w:tcW w:w="1655" w:type="dxa"/>
            <w:shd w:val="clear" w:color="auto" w:fill="F3F6F8"/>
            <w:tcMar>
              <w:top w:w="70" w:type="dxa"/>
              <w:left w:w="80" w:type="dxa"/>
              <w:bottom w:w="70" w:type="dxa"/>
              <w:right w:w="80" w:type="dxa"/>
            </w:tcMar>
            <w:vAlign w:val="center"/>
          </w:tcPr>
          <w:p w14:paraId="56E3CC9F" w14:textId="77777777" w:rsidR="00846FAB" w:rsidRDefault="00000000">
            <w:r>
              <w:rPr>
                <w:sz w:val="14"/>
              </w:rPr>
              <w:t>6. Runtime semantics</w:t>
            </w:r>
          </w:p>
        </w:tc>
        <w:tc>
          <w:tcPr>
            <w:tcW w:w="6623" w:type="dxa"/>
            <w:shd w:val="clear" w:color="auto" w:fill="F3F6F8"/>
            <w:tcMar>
              <w:top w:w="70" w:type="dxa"/>
              <w:left w:w="80" w:type="dxa"/>
              <w:bottom w:w="70" w:type="dxa"/>
              <w:right w:w="80" w:type="dxa"/>
            </w:tcMar>
            <w:vAlign w:val="center"/>
          </w:tcPr>
          <w:p w14:paraId="7C2DDA4E" w14:textId="77777777" w:rsidR="00846FAB" w:rsidRDefault="00000000">
            <w:r>
              <w:rPr>
                <w:sz w:val="14"/>
              </w:rPr>
              <w:t>Pinned lifetime, token/expert identity, fences, cancellation, timeout, retry, backpressure and generation-safe cleanup. DMA and NPU completions remain separate.</w:t>
            </w:r>
          </w:p>
        </w:tc>
        <w:tc>
          <w:tcPr>
            <w:tcW w:w="1944" w:type="dxa"/>
            <w:shd w:val="clear" w:color="auto" w:fill="F3F6F8"/>
            <w:tcMar>
              <w:top w:w="70" w:type="dxa"/>
              <w:left w:w="80" w:type="dxa"/>
              <w:bottom w:w="70" w:type="dxa"/>
              <w:right w:w="80" w:type="dxa"/>
            </w:tcMar>
            <w:vAlign w:val="center"/>
          </w:tcPr>
          <w:p w14:paraId="061CEDC8" w14:textId="77777777" w:rsidR="00846FAB" w:rsidRDefault="00000000">
            <w:r>
              <w:rPr>
                <w:sz w:val="14"/>
              </w:rPr>
              <w:t>Sandisk runtime + Tenstorrent</w:t>
            </w:r>
          </w:p>
        </w:tc>
      </w:tr>
      <w:tr w:rsidR="00846FAB" w14:paraId="32CF1219" w14:textId="77777777">
        <w:trPr>
          <w:jc w:val="center"/>
        </w:trPr>
        <w:tc>
          <w:tcPr>
            <w:tcW w:w="1655" w:type="dxa"/>
            <w:vAlign w:val="center"/>
          </w:tcPr>
          <w:p w14:paraId="49FD38B2" w14:textId="77777777" w:rsidR="00846FAB" w:rsidRDefault="00000000">
            <w:r>
              <w:rPr>
                <w:sz w:val="14"/>
              </w:rPr>
              <w:t>7. Service evidence</w:t>
            </w:r>
          </w:p>
        </w:tc>
        <w:tc>
          <w:tcPr>
            <w:tcW w:w="6623" w:type="dxa"/>
            <w:vAlign w:val="center"/>
          </w:tcPr>
          <w:p w14:paraId="1274E09B" w14:textId="77777777" w:rsidR="00846FAB" w:rsidRDefault="00000000">
            <w:r>
              <w:rPr>
                <w:sz w:val="14"/>
              </w:rPr>
              <w:t>Measure producer→expert→continuation latency, bandwidth and queueing under all-eight-device load; compare host-staged and any qualified peer path at identical model/SLO.</w:t>
            </w:r>
          </w:p>
        </w:tc>
        <w:tc>
          <w:tcPr>
            <w:tcW w:w="1944" w:type="dxa"/>
            <w:vAlign w:val="center"/>
          </w:tcPr>
          <w:p w14:paraId="28D948EA" w14:textId="77777777" w:rsidR="00846FAB" w:rsidRDefault="00000000">
            <w:r>
              <w:rPr>
                <w:sz w:val="14"/>
              </w:rPr>
              <w:t>Performance + validation</w:t>
            </w:r>
          </w:p>
        </w:tc>
      </w:tr>
    </w:tbl>
    <w:p w14:paraId="4CF621CC" w14:textId="77777777" w:rsidR="009E7494" w:rsidRDefault="009E7494" w:rsidP="009E7494">
      <w:pPr>
        <w:spacing w:after="20"/>
      </w:pPr>
    </w:p>
    <w:tbl>
      <w:tblPr>
        <w:tblW w:w="0" w:type="auto"/>
        <w:jc w:val="center"/>
        <w:tblLook w:val="04A0" w:firstRow="1" w:lastRow="0" w:firstColumn="1" w:lastColumn="0" w:noHBand="0" w:noVBand="1"/>
      </w:tblPr>
      <w:tblGrid>
        <w:gridCol w:w="10368"/>
      </w:tblGrid>
      <w:tr w:rsidR="009E7494" w14:paraId="2ED1FFD0" w14:textId="77777777" w:rsidTr="002E7283">
        <w:trPr>
          <w:jc w:val="center"/>
        </w:trPr>
        <w:tc>
          <w:tcPr>
            <w:tcW w:w="10368" w:type="dxa"/>
            <w:shd w:val="clear" w:color="auto" w:fill="F9ECEF"/>
            <w:tcMar>
              <w:top w:w="120" w:type="dxa"/>
              <w:left w:w="150" w:type="dxa"/>
              <w:bottom w:w="120" w:type="dxa"/>
              <w:right w:w="150" w:type="dxa"/>
            </w:tcMar>
            <w:vAlign w:val="center"/>
          </w:tcPr>
          <w:p w14:paraId="197B6B59" w14:textId="77777777" w:rsidR="00846FAB" w:rsidRDefault="00000000">
            <w:pPr>
              <w:spacing w:after="0"/>
            </w:pPr>
            <w:r>
              <w:rPr>
                <w:b/>
                <w:color w:val="A73545"/>
                <w:sz w:val="16"/>
              </w:rPr>
              <w:t>DESIGN RULE  The switch is useful for ATMOS fan-out and lifecycle even if no peer DMA is enabled. ATMOS-to-ATMOS P2P is not required for the initial expert architecture. Preserve the native GPU scale-up fabric; if a direct GPU peer route is unavailable, use host staging or change the physical integration rather than modifying proprietary GPU software.</w:t>
            </w:r>
          </w:p>
        </w:tc>
      </w:tr>
    </w:tbl>
    <w:p w14:paraId="494F972B" w14:textId="77777777" w:rsidR="009E7494" w:rsidRDefault="009E7494" w:rsidP="009E7494">
      <w:pPr>
        <w:spacing w:after="20"/>
      </w:pPr>
    </w:p>
    <w:p w14:paraId="0D6726D7" w14:textId="77777777" w:rsidR="009E7494" w:rsidRDefault="009E7494" w:rsidP="009E7494">
      <w:r>
        <w:br w:type="page"/>
      </w:r>
    </w:p>
    <w:p w14:paraId="4949ADE4" w14:textId="77777777" w:rsidR="009E7494" w:rsidRDefault="009E7494" w:rsidP="009E7494">
      <w:pPr>
        <w:keepNext/>
        <w:spacing w:before="60" w:after="60"/>
      </w:pPr>
      <w:r>
        <w:rPr>
          <w:rFonts w:eastAsia="Noto Sans"/>
          <w:b/>
          <w:color w:val="16324F"/>
          <w:sz w:val="25"/>
        </w:rPr>
        <w:lastRenderedPageBreak/>
        <w:t>OEM deliverable required before the switch is “settled”</w:t>
      </w:r>
    </w:p>
    <w:tbl>
      <w:tblPr>
        <w:tblStyle w:val="TableGrid"/>
        <w:tblW w:w="0" w:type="auto"/>
        <w:jc w:val="center"/>
        <w:tblLayout w:type="fixed"/>
        <w:tblLook w:val="04A0" w:firstRow="1" w:lastRow="0" w:firstColumn="1" w:lastColumn="0" w:noHBand="0" w:noVBand="1"/>
      </w:tblPr>
      <w:tblGrid>
        <w:gridCol w:w="2376"/>
        <w:gridCol w:w="7848"/>
      </w:tblGrid>
      <w:tr w:rsidR="009E7494" w14:paraId="4CE863E1" w14:textId="77777777" w:rsidTr="002E7283">
        <w:trPr>
          <w:tblHeader/>
          <w:jc w:val="center"/>
        </w:trPr>
        <w:tc>
          <w:tcPr>
            <w:tcW w:w="2376" w:type="dxa"/>
            <w:shd w:val="clear" w:color="auto" w:fill="16324F"/>
            <w:tcMar>
              <w:top w:w="80" w:type="dxa"/>
              <w:left w:w="90" w:type="dxa"/>
              <w:bottom w:w="80" w:type="dxa"/>
              <w:right w:w="90" w:type="dxa"/>
            </w:tcMar>
            <w:vAlign w:val="center"/>
          </w:tcPr>
          <w:p w14:paraId="2AA0EEFA" w14:textId="77777777" w:rsidR="009E7494" w:rsidRDefault="009E7494" w:rsidP="002E7283">
            <w:r>
              <w:rPr>
                <w:rFonts w:eastAsia="Noto Sans"/>
                <w:b/>
                <w:color w:val="FFFFFF"/>
                <w:sz w:val="15"/>
              </w:rPr>
              <w:t>Returned artifact</w:t>
            </w:r>
          </w:p>
        </w:tc>
        <w:tc>
          <w:tcPr>
            <w:tcW w:w="7848" w:type="dxa"/>
            <w:shd w:val="clear" w:color="auto" w:fill="16324F"/>
            <w:tcMar>
              <w:top w:w="80" w:type="dxa"/>
              <w:left w:w="90" w:type="dxa"/>
              <w:bottom w:w="80" w:type="dxa"/>
              <w:right w:w="90" w:type="dxa"/>
            </w:tcMar>
            <w:vAlign w:val="center"/>
          </w:tcPr>
          <w:p w14:paraId="7AFCBCEA" w14:textId="77777777" w:rsidR="009E7494" w:rsidRDefault="009E7494" w:rsidP="002E7283">
            <w:r>
              <w:rPr>
                <w:rFonts w:eastAsia="Noto Sans"/>
                <w:b/>
                <w:color w:val="FFFFFF"/>
                <w:sz w:val="15"/>
              </w:rPr>
              <w:t>Required content</w:t>
            </w:r>
          </w:p>
        </w:tc>
      </w:tr>
      <w:tr w:rsidR="009E7494" w14:paraId="60931FB3" w14:textId="77777777" w:rsidTr="002E7283">
        <w:trPr>
          <w:cantSplit/>
          <w:jc w:val="center"/>
        </w:trPr>
        <w:tc>
          <w:tcPr>
            <w:tcW w:w="2376" w:type="dxa"/>
            <w:tcMar>
              <w:top w:w="70" w:type="dxa"/>
              <w:left w:w="80" w:type="dxa"/>
              <w:bottom w:w="70" w:type="dxa"/>
              <w:right w:w="80" w:type="dxa"/>
            </w:tcMar>
          </w:tcPr>
          <w:p w14:paraId="0A4C86C8" w14:textId="77777777" w:rsidR="009E7494" w:rsidRDefault="009E7494" w:rsidP="002E7283">
            <w:r>
              <w:rPr>
                <w:rFonts w:eastAsia="Noto Sans"/>
                <w:b/>
                <w:color w:val="24313D"/>
                <w:sz w:val="15"/>
              </w:rPr>
              <w:t>Qualified BOM / configuration ID</w:t>
            </w:r>
          </w:p>
        </w:tc>
        <w:tc>
          <w:tcPr>
            <w:tcW w:w="7848" w:type="dxa"/>
            <w:tcMar>
              <w:top w:w="70" w:type="dxa"/>
              <w:left w:w="80" w:type="dxa"/>
              <w:bottom w:w="70" w:type="dxa"/>
              <w:right w:w="80" w:type="dxa"/>
            </w:tcMar>
            <w:vAlign w:val="center"/>
          </w:tcPr>
          <w:p w14:paraId="34DB6A8B" w14:textId="77777777" w:rsidR="00846FAB" w:rsidRDefault="00000000">
            <w:r>
              <w:rPr>
                <w:sz w:val="15"/>
              </w:rPr>
              <w:t>One exact configuration per stage: RTX POC/MVP fixture, then NVIDIA NVL and/or AMD Helios rack integration. Include ATMOS switch/board, cables/retimers, NICs, boot/storage and spare strategy.</w:t>
            </w:r>
          </w:p>
        </w:tc>
      </w:tr>
      <w:tr w:rsidR="009E7494" w14:paraId="3984D044" w14:textId="77777777" w:rsidTr="002E7283">
        <w:trPr>
          <w:cantSplit/>
          <w:jc w:val="center"/>
        </w:trPr>
        <w:tc>
          <w:tcPr>
            <w:tcW w:w="2376" w:type="dxa"/>
            <w:shd w:val="clear" w:color="auto" w:fill="F3F6F8"/>
            <w:tcMar>
              <w:top w:w="70" w:type="dxa"/>
              <w:left w:w="80" w:type="dxa"/>
              <w:bottom w:w="70" w:type="dxa"/>
              <w:right w:w="80" w:type="dxa"/>
            </w:tcMar>
          </w:tcPr>
          <w:p w14:paraId="073401A1" w14:textId="77777777" w:rsidR="009E7494" w:rsidRDefault="009E7494" w:rsidP="002E7283">
            <w:r>
              <w:rPr>
                <w:rFonts w:eastAsia="Noto Sans"/>
                <w:b/>
                <w:color w:val="24313D"/>
                <w:sz w:val="15"/>
              </w:rPr>
              <w:t>Lane + NUMA map</w:t>
            </w:r>
          </w:p>
        </w:tc>
        <w:tc>
          <w:tcPr>
            <w:tcW w:w="7848" w:type="dxa"/>
            <w:shd w:val="clear" w:color="auto" w:fill="F3F6F8"/>
            <w:tcMar>
              <w:top w:w="70" w:type="dxa"/>
              <w:left w:w="80" w:type="dxa"/>
              <w:bottom w:w="70" w:type="dxa"/>
              <w:right w:w="80" w:type="dxa"/>
            </w:tcMar>
            <w:vAlign w:val="center"/>
          </w:tcPr>
          <w:p w14:paraId="712F2AAB" w14:textId="77777777" w:rsidR="00846FAB" w:rsidRDefault="00000000">
            <w:r>
              <w:rPr>
                <w:sz w:val="15"/>
              </w:rPr>
              <w:t>CPU/root path, native GPU scale-up fabric boundary, ATMOS switch uplink, all eight x4 endpoints, generations, oversubscription and any root/rack crossing.</w:t>
            </w:r>
          </w:p>
        </w:tc>
      </w:tr>
      <w:tr w:rsidR="009E7494" w14:paraId="1A27FE5B" w14:textId="77777777" w:rsidTr="002E7283">
        <w:trPr>
          <w:cantSplit/>
          <w:jc w:val="center"/>
        </w:trPr>
        <w:tc>
          <w:tcPr>
            <w:tcW w:w="2376" w:type="dxa"/>
            <w:tcMar>
              <w:top w:w="70" w:type="dxa"/>
              <w:left w:w="80" w:type="dxa"/>
              <w:bottom w:w="70" w:type="dxa"/>
              <w:right w:w="80" w:type="dxa"/>
            </w:tcMar>
          </w:tcPr>
          <w:p w14:paraId="37369AFE" w14:textId="77777777" w:rsidR="009E7494" w:rsidRDefault="009E7494" w:rsidP="002E7283">
            <w:r>
              <w:rPr>
                <w:rFonts w:eastAsia="Noto Sans"/>
                <w:b/>
                <w:color w:val="24313D"/>
                <w:sz w:val="15"/>
              </w:rPr>
              <w:t>Power / cooling envelope</w:t>
            </w:r>
          </w:p>
        </w:tc>
        <w:tc>
          <w:tcPr>
            <w:tcW w:w="7848" w:type="dxa"/>
            <w:tcMar>
              <w:top w:w="70" w:type="dxa"/>
              <w:left w:w="80" w:type="dxa"/>
              <w:bottom w:w="70" w:type="dxa"/>
              <w:right w:w="80" w:type="dxa"/>
            </w:tcMar>
            <w:vAlign w:val="center"/>
          </w:tcPr>
          <w:p w14:paraId="44E4D764" w14:textId="77777777" w:rsidR="00846FAB" w:rsidRDefault="00000000">
            <w:r>
              <w:rPr>
                <w:sz w:val="15"/>
              </w:rPr>
              <w:t>ATMOS device/switch budget plus simultaneous GPU workload, airflow/liquid-cooling interaction, BMC telemetry, throttling and service access.</w:t>
            </w:r>
          </w:p>
        </w:tc>
      </w:tr>
      <w:tr w:rsidR="009E7494" w14:paraId="1C46AD21" w14:textId="77777777" w:rsidTr="002E7283">
        <w:trPr>
          <w:cantSplit/>
          <w:jc w:val="center"/>
        </w:trPr>
        <w:tc>
          <w:tcPr>
            <w:tcW w:w="2376" w:type="dxa"/>
            <w:shd w:val="clear" w:color="auto" w:fill="F3F6F8"/>
            <w:tcMar>
              <w:top w:w="70" w:type="dxa"/>
              <w:left w:w="80" w:type="dxa"/>
              <w:bottom w:w="70" w:type="dxa"/>
              <w:right w:w="80" w:type="dxa"/>
            </w:tcMar>
          </w:tcPr>
          <w:p w14:paraId="0B55B989" w14:textId="77777777" w:rsidR="009E7494" w:rsidRDefault="009E7494" w:rsidP="002E7283">
            <w:r>
              <w:rPr>
                <w:rFonts w:eastAsia="Noto Sans"/>
                <w:b/>
                <w:color w:val="24313D"/>
                <w:sz w:val="15"/>
              </w:rPr>
              <w:t>BIOS / BMC / reset contract</w:t>
            </w:r>
          </w:p>
        </w:tc>
        <w:tc>
          <w:tcPr>
            <w:tcW w:w="7848" w:type="dxa"/>
            <w:shd w:val="clear" w:color="auto" w:fill="F3F6F8"/>
            <w:tcMar>
              <w:top w:w="70" w:type="dxa"/>
              <w:left w:w="80" w:type="dxa"/>
              <w:bottom w:w="70" w:type="dxa"/>
              <w:right w:w="80" w:type="dxa"/>
            </w:tcMar>
            <w:vAlign w:val="center"/>
          </w:tcPr>
          <w:p w14:paraId="72BB7364" w14:textId="77777777" w:rsidR="00846FAB" w:rsidRDefault="00000000">
            <w:r>
              <w:rPr>
                <w:sz w:val="15"/>
              </w:rPr>
              <w:t>Enumeration, address windows, IOMMU/ACS, DPC/AER, FLR/reset domains, secure boot/update sequence and failure recovery for the selected platform.</w:t>
            </w:r>
          </w:p>
        </w:tc>
      </w:tr>
      <w:tr w:rsidR="009E7494" w14:paraId="5B47A0A1" w14:textId="77777777" w:rsidTr="002E7283">
        <w:trPr>
          <w:cantSplit/>
          <w:jc w:val="center"/>
        </w:trPr>
        <w:tc>
          <w:tcPr>
            <w:tcW w:w="2376" w:type="dxa"/>
            <w:tcMar>
              <w:top w:w="70" w:type="dxa"/>
              <w:left w:w="80" w:type="dxa"/>
              <w:bottom w:w="70" w:type="dxa"/>
              <w:right w:w="80" w:type="dxa"/>
            </w:tcMar>
          </w:tcPr>
          <w:p w14:paraId="5E6C90BF" w14:textId="77777777" w:rsidR="009E7494" w:rsidRDefault="009E7494" w:rsidP="002E7283">
            <w:r>
              <w:rPr>
                <w:rFonts w:eastAsia="Noto Sans"/>
                <w:b/>
                <w:color w:val="24313D"/>
                <w:sz w:val="15"/>
              </w:rPr>
              <w:t>Support boundary</w:t>
            </w:r>
          </w:p>
        </w:tc>
        <w:tc>
          <w:tcPr>
            <w:tcW w:w="7848" w:type="dxa"/>
            <w:tcMar>
              <w:top w:w="70" w:type="dxa"/>
              <w:left w:w="80" w:type="dxa"/>
              <w:bottom w:w="70" w:type="dxa"/>
              <w:right w:w="80" w:type="dxa"/>
            </w:tcMar>
            <w:vAlign w:val="center"/>
          </w:tcPr>
          <w:p w14:paraId="05F9CD5A" w14:textId="77777777" w:rsidR="00846FAB" w:rsidRDefault="00000000">
            <w:r>
              <w:rPr>
                <w:sz w:val="15"/>
              </w:rPr>
              <w:t>Who owns ATMOS switch board/firmware, field replacement, diagnostics, spares and escalation. Sandisk owns the ATMOS service boundary; native GPU stack ownership stays with its vendor/platform.</w:t>
            </w:r>
          </w:p>
        </w:tc>
      </w:tr>
      <w:tr w:rsidR="009E7494" w14:paraId="22063259" w14:textId="77777777" w:rsidTr="002E7283">
        <w:trPr>
          <w:cantSplit/>
          <w:jc w:val="center"/>
        </w:trPr>
        <w:tc>
          <w:tcPr>
            <w:tcW w:w="2376" w:type="dxa"/>
            <w:shd w:val="clear" w:color="auto" w:fill="F3F6F8"/>
            <w:tcMar>
              <w:top w:w="70" w:type="dxa"/>
              <w:left w:w="80" w:type="dxa"/>
              <w:bottom w:w="70" w:type="dxa"/>
              <w:right w:w="80" w:type="dxa"/>
            </w:tcMar>
          </w:tcPr>
          <w:p w14:paraId="65EA1D66" w14:textId="77777777" w:rsidR="009E7494" w:rsidRDefault="009E7494" w:rsidP="002E7283">
            <w:r>
              <w:rPr>
                <w:rFonts w:eastAsia="Noto Sans"/>
                <w:b/>
                <w:color w:val="24313D"/>
                <w:sz w:val="15"/>
              </w:rPr>
              <w:t>Measured route matrix</w:t>
            </w:r>
          </w:p>
        </w:tc>
        <w:tc>
          <w:tcPr>
            <w:tcW w:w="7848" w:type="dxa"/>
            <w:shd w:val="clear" w:color="auto" w:fill="F3F6F8"/>
            <w:tcMar>
              <w:top w:w="70" w:type="dxa"/>
              <w:left w:w="80" w:type="dxa"/>
              <w:bottom w:w="70" w:type="dxa"/>
              <w:right w:w="80" w:type="dxa"/>
            </w:tcMar>
            <w:vAlign w:val="center"/>
          </w:tcPr>
          <w:p w14:paraId="6176B4E2" w14:textId="77777777" w:rsidR="00846FAB" w:rsidRDefault="00000000">
            <w:r>
              <w:rPr>
                <w:sz w:val="15"/>
              </w:rPr>
              <w:t>Host-staged and any qualified peer paths, with payload, latency, queueing, root/rack crossings and unsupported combinations explicitly listed for each target platform.</w:t>
            </w:r>
          </w:p>
        </w:tc>
      </w:tr>
    </w:tbl>
    <w:p w14:paraId="62C6378D" w14:textId="77777777" w:rsidR="009E7494" w:rsidRDefault="009E7494" w:rsidP="009E7494">
      <w:pPr>
        <w:spacing w:after="20"/>
      </w:pPr>
    </w:p>
    <w:p w14:paraId="694E1767" w14:textId="77777777" w:rsidR="009E7494" w:rsidRDefault="009E7494" w:rsidP="009E7494">
      <w:pPr>
        <w:keepNext/>
        <w:spacing w:before="60" w:after="60"/>
      </w:pPr>
      <w:r>
        <w:rPr>
          <w:rFonts w:eastAsia="Noto Sans"/>
          <w:b/>
          <w:color w:val="16324F"/>
          <w:sz w:val="25"/>
        </w:rPr>
        <w:t>Production selection rule</w:t>
      </w:r>
    </w:p>
    <w:p w14:paraId="73E4BBEE" w14:textId="77777777" w:rsidR="009E7494" w:rsidRDefault="009E7494" w:rsidP="009E7494">
      <w:pPr>
        <w:pStyle w:val="ListBullet"/>
        <w:spacing w:after="40" w:line="252" w:lineRule="auto"/>
        <w:ind w:left="259" w:hanging="173"/>
      </w:pPr>
      <w:r>
        <w:t>Choose the production Gen5 switch only after POC 2 proves the required port map, fault/reset behavior and sustained DMA behavior, and POC 3 confirms that the subsystem can support the end-to-end MVP service rate. Lane count alone is not a winner criterion.</w:t>
      </w:r>
    </w:p>
    <w:p w14:paraId="290AA0C8" w14:textId="77777777" w:rsidR="009E7494" w:rsidRDefault="009E7494" w:rsidP="009E7494">
      <w:pPr>
        <w:pStyle w:val="ListBullet"/>
        <w:spacing w:after="40" w:line="252" w:lineRule="auto"/>
        <w:ind w:left="259" w:hanging="173"/>
      </w:pPr>
      <w:r>
        <w:t>A separate switch AIC is acceptable as the POC/MVP engineering fixture when it shortens bring-up. For rack-scale deployment, prefer the OEM-integrated or companion-tray path that produces the clearest BOM, lifecycle and support boundary.</w:t>
      </w:r>
    </w:p>
    <w:p w14:paraId="17C6F425" w14:textId="77777777" w:rsidR="009E7494" w:rsidRDefault="009E7494" w:rsidP="009E7494">
      <w:pPr>
        <w:pStyle w:val="ListBullet"/>
        <w:spacing w:after="40" w:line="252" w:lineRule="auto"/>
        <w:ind w:left="259" w:hanging="173"/>
      </w:pPr>
      <w:r>
        <w:t>Gen6 is a later platform qualification delta, not an MVP blocker. Promote it when the Gen5 uplink is a measured bottleneck and the selected NVL/Helios integration exposes a supported Gen6 root path.</w:t>
      </w:r>
    </w:p>
    <w:tbl>
      <w:tblPr>
        <w:tblW w:w="0" w:type="auto"/>
        <w:jc w:val="center"/>
        <w:tblLook w:val="04A0" w:firstRow="1" w:lastRow="0" w:firstColumn="1" w:lastColumn="0" w:noHBand="0" w:noVBand="1"/>
      </w:tblPr>
      <w:tblGrid>
        <w:gridCol w:w="10368"/>
      </w:tblGrid>
      <w:tr w:rsidR="009E7494" w14:paraId="43DECF2F" w14:textId="77777777" w:rsidTr="002E7283">
        <w:trPr>
          <w:jc w:val="center"/>
        </w:trPr>
        <w:tc>
          <w:tcPr>
            <w:tcW w:w="10368" w:type="dxa"/>
            <w:shd w:val="clear" w:color="auto" w:fill="F9ECEF"/>
            <w:tcMar>
              <w:top w:w="120" w:type="dxa"/>
              <w:left w:w="150" w:type="dxa"/>
              <w:bottom w:w="120" w:type="dxa"/>
              <w:right w:w="150" w:type="dxa"/>
            </w:tcMar>
            <w:vAlign w:val="center"/>
          </w:tcPr>
          <w:p w14:paraId="469100F7" w14:textId="77777777" w:rsidR="00846FAB" w:rsidRDefault="00000000">
            <w:pPr>
              <w:spacing w:after="0"/>
            </w:pPr>
            <w:r>
              <w:rPr>
                <w:b/>
                <w:color w:val="A73545"/>
                <w:sz w:val="16"/>
              </w:rPr>
              <w:t>WHAT “SETTLED” MEANS  One exact ATMOS switch/board revision and E3.S population, plus a platform-specific integration record for RTX MVP and each rack-scale target: lane/route map, reset/security contract, supported software stack, power/cooling envelope and accountable first-response owner.</w:t>
            </w:r>
          </w:p>
        </w:tc>
      </w:tr>
    </w:tbl>
    <w:p w14:paraId="55BF148A" w14:textId="77777777" w:rsidR="009E7494" w:rsidRDefault="009E7494" w:rsidP="009E7494">
      <w:pPr>
        <w:spacing w:after="20"/>
      </w:pPr>
    </w:p>
    <w:p w14:paraId="1E83E380" w14:textId="77777777" w:rsidR="009E7494" w:rsidRDefault="009E7494">
      <w:r>
        <w:br w:type="page"/>
      </w:r>
    </w:p>
    <w:p w14:paraId="44BB7885" w14:textId="77777777" w:rsidR="0085422C" w:rsidRDefault="00000000" w:rsidP="009E7494">
      <w:r>
        <w:rPr>
          <w:b/>
          <w:color w:val="16324F"/>
          <w:sz w:val="36"/>
        </w:rPr>
        <w:lastRenderedPageBreak/>
        <w:t>Part II — One workstream: Heterogeneous MoE Execution &amp; Infrastructure Efficiency</w:t>
      </w:r>
    </w:p>
    <w:p w14:paraId="670B6A0B" w14:textId="77777777" w:rsidR="0085422C" w:rsidRDefault="00000000">
      <w:pPr>
        <w:spacing w:after="100" w:line="259" w:lineRule="auto"/>
      </w:pPr>
      <w:r>
        <w:t>The proposal intentionally uses one workstream because expert execution, reclaimed GPU memory, locality and infrastructure reduction are one economic chain. The same execution architecture can spend its headroom on more throughput, more KV/concurrency, fewer GPU service units or less remote expert traffic. The software contract is common across NVIDIA and AMD; only the GPU-facing seam and physical platform integration change.</w:t>
      </w:r>
    </w:p>
    <w:tbl>
      <w:tblPr>
        <w:tblStyle w:val="TableGrid"/>
        <w:tblW w:w="0" w:type="auto"/>
        <w:tblLook w:val="04A0" w:firstRow="1" w:lastRow="0" w:firstColumn="1" w:lastColumn="0" w:noHBand="0" w:noVBand="1"/>
      </w:tblPr>
      <w:tblGrid>
        <w:gridCol w:w="10358"/>
      </w:tblGrid>
      <w:tr w:rsidR="005A5290" w14:paraId="48666CA2" w14:textId="77777777" w:rsidTr="005A5290">
        <w:tc>
          <w:tcPr>
            <w:tcW w:w="10584" w:type="dxa"/>
          </w:tcPr>
          <w:p w14:paraId="49727E5C" w14:textId="05D3AAF0" w:rsidR="005A5290" w:rsidRDefault="005A5290">
            <w:pPr>
              <w:spacing w:after="40"/>
              <w:jc w:val="center"/>
            </w:pPr>
            <w:r w:rsidRPr="00020EED">
              <w:rPr>
                <w:noProof/>
              </w:rPr>
              <w:drawing>
                <wp:inline distT="0" distB="0" distL="0" distR="0" wp14:anchorId="24515DAE" wp14:editId="1A3E870A">
                  <wp:extent cx="5782145" cy="4336610"/>
                  <wp:effectExtent l="0" t="0" r="0" b="0"/>
                  <wp:docPr id="6306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0056" name=""/>
                          <pic:cNvPicPr/>
                        </pic:nvPicPr>
                        <pic:blipFill>
                          <a:blip r:embed="rId11"/>
                          <a:stretch>
                            <a:fillRect/>
                          </a:stretch>
                        </pic:blipFill>
                        <pic:spPr>
                          <a:xfrm>
                            <a:off x="0" y="0"/>
                            <a:ext cx="5894821" cy="4421117"/>
                          </a:xfrm>
                          <a:prstGeom prst="rect">
                            <a:avLst/>
                          </a:prstGeom>
                        </pic:spPr>
                      </pic:pic>
                    </a:graphicData>
                  </a:graphic>
                </wp:inline>
              </w:drawing>
            </w:r>
          </w:p>
        </w:tc>
      </w:tr>
    </w:tbl>
    <w:p w14:paraId="3BF01F22" w14:textId="38A3F7FB" w:rsidR="0085422C" w:rsidRDefault="0085422C">
      <w:pPr>
        <w:spacing w:after="40"/>
        <w:jc w:val="center"/>
      </w:pPr>
    </w:p>
    <w:p w14:paraId="05E72DDA" w14:textId="77777777" w:rsidR="00020EED" w:rsidRPr="000E731F" w:rsidRDefault="00000000">
      <w:pPr>
        <w:keepNext/>
        <w:spacing w:before="60" w:after="60"/>
        <w:rPr>
          <w:rFonts w:eastAsia="Noto Sans"/>
          <w:b/>
          <w:color w:val="16324F"/>
          <w:sz w:val="25"/>
        </w:rPr>
      </w:pPr>
      <w:r>
        <w:rPr>
          <w:rFonts w:eastAsia="Noto Sans"/>
          <w:b/>
          <w:color w:val="16324F"/>
          <w:sz w:val="25"/>
        </w:rPr>
        <w:t>Execution sequence</w:t>
      </w:r>
    </w:p>
    <w:p w14:paraId="10D6B726" w14:textId="77777777" w:rsidR="0085422C" w:rsidRDefault="00000000">
      <w:pPr>
        <w:pStyle w:val="ListBullet"/>
        <w:spacing w:after="40" w:line="252" w:lineRule="auto"/>
        <w:ind w:left="259" w:hanging="173"/>
      </w:pPr>
      <w:r>
        <w:t>1. vLLM/PyTorch runs the existing attention and shared/non-expert GPU path on the stock platform stack: CUDA/NCCL for NVIDIA or ROCm/HIP/RCCL for AMD. The learned MoE router computes the same top-k expert IDs and gate weights as the GPU-only reference.</w:t>
      </w:r>
    </w:p>
    <w:p w14:paraId="183CF410" w14:textId="77777777" w:rsidR="0085422C" w:rsidRDefault="00000000">
      <w:pPr>
        <w:pStyle w:val="ListBullet"/>
        <w:spacing w:after="40" w:line="252" w:lineRule="auto"/>
        <w:ind w:left="259" w:hanging="173"/>
      </w:pPr>
      <w:r>
        <w:t>2. The Sandisk heterogeneous expert adapter, in-process with the LLM runtime, groups routed tokens by model version, layer, expert and physical destination. Placement is deployment-time state; it does not predict future “hot” experts.</w:t>
      </w:r>
    </w:p>
    <w:p w14:paraId="756BD9AF" w14:textId="77777777" w:rsidR="0085422C" w:rsidRDefault="00000000">
      <w:pPr>
        <w:pStyle w:val="ListBullet"/>
        <w:spacing w:after="40" w:line="252" w:lineRule="auto"/>
        <w:ind w:left="259" w:hanging="173"/>
      </w:pPr>
      <w:r>
        <w:t>3. For an ATMOS-owned expert, the adapter submits hidden activations through the Sandisk transport abstraction into registered ATMOS buffers. Host-staged transport is always supported; direct peer DMA is a platform-specific optimization.</w:t>
      </w:r>
    </w:p>
    <w:p w14:paraId="458B008A" w14:textId="77777777" w:rsidR="0085422C" w:rsidRDefault="00000000">
      <w:pPr>
        <w:pStyle w:val="ListBullet"/>
        <w:spacing w:after="40" w:line="252" w:lineRule="auto"/>
        <w:ind w:left="259" w:hanging="173"/>
      </w:pPr>
      <w:r>
        <w:t>4. ATMOS moves the required working tiles through HBF/LPDDR/SRAM and the NPU executes the expert FFN. Expert weights stay resident in ATMOS; no request-time weight copy to GPU is required.</w:t>
      </w:r>
    </w:p>
    <w:p w14:paraId="00A0929E" w14:textId="77777777" w:rsidR="0085422C" w:rsidRDefault="00000000">
      <w:pPr>
        <w:pStyle w:val="ListBullet"/>
        <w:spacing w:after="40" w:line="252" w:lineRule="auto"/>
        <w:ind w:left="259" w:hanging="173"/>
      </w:pPr>
      <w:r>
        <w:t>5. The GPU continuation path restores token order, applies the learned gate exactly once, combines all required top-k contributions and advances to the next dependent layer. The native GPU collective stack remains untouched.</w:t>
      </w:r>
    </w:p>
    <w:p w14:paraId="2B255AC4" w14:textId="77777777" w:rsidR="0085422C" w:rsidRDefault="00000000">
      <w:pPr>
        <w:pStyle w:val="ListBullet"/>
        <w:spacing w:after="40" w:line="252" w:lineRule="auto"/>
        <w:ind w:left="259" w:hanging="173"/>
      </w:pPr>
      <w:r>
        <w:t>6. At deployment scale, complete expert coverage and replica placement are optimized against the actual rack topology, demand and failure policy. RTX POC/MVP placement is not assumed to be optimal for NVL or Helios.</w:t>
      </w:r>
    </w:p>
    <w:tbl>
      <w:tblPr>
        <w:tblStyle w:val="TableGrid"/>
        <w:tblW w:w="0" w:type="auto"/>
        <w:tblLook w:val="04A0" w:firstRow="1" w:lastRow="0" w:firstColumn="1" w:lastColumn="0" w:noHBand="0" w:noVBand="1"/>
      </w:tblPr>
      <w:tblGrid>
        <w:gridCol w:w="10358"/>
      </w:tblGrid>
      <w:tr w:rsidR="005A5290" w14:paraId="783FA3E9" w14:textId="77777777" w:rsidTr="005A5290">
        <w:tc>
          <w:tcPr>
            <w:tcW w:w="10584" w:type="dxa"/>
          </w:tcPr>
          <w:p w14:paraId="7952CAEB" w14:textId="7A79A921" w:rsidR="005A5290" w:rsidRDefault="005A5290" w:rsidP="000E731F">
            <w:pPr>
              <w:spacing w:after="20"/>
              <w:jc w:val="center"/>
            </w:pPr>
            <w:r w:rsidRPr="00020EED">
              <w:rPr>
                <w:noProof/>
              </w:rPr>
              <w:lastRenderedPageBreak/>
              <w:drawing>
                <wp:inline distT="0" distB="0" distL="0" distR="0" wp14:anchorId="285A54A5" wp14:editId="52D08A6C">
                  <wp:extent cx="5776109" cy="4332083"/>
                  <wp:effectExtent l="0" t="0" r="2540" b="0"/>
                  <wp:docPr id="201190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5270" name=""/>
                          <pic:cNvPicPr/>
                        </pic:nvPicPr>
                        <pic:blipFill>
                          <a:blip r:embed="rId12"/>
                          <a:stretch>
                            <a:fillRect/>
                          </a:stretch>
                        </pic:blipFill>
                        <pic:spPr>
                          <a:xfrm>
                            <a:off x="0" y="0"/>
                            <a:ext cx="5862857" cy="4397144"/>
                          </a:xfrm>
                          <a:prstGeom prst="rect">
                            <a:avLst/>
                          </a:prstGeom>
                        </pic:spPr>
                      </pic:pic>
                    </a:graphicData>
                  </a:graphic>
                </wp:inline>
              </w:drawing>
            </w:r>
          </w:p>
        </w:tc>
      </w:tr>
    </w:tbl>
    <w:p w14:paraId="5317E0DA" w14:textId="33074BFF" w:rsidR="0085422C" w:rsidRDefault="0085422C" w:rsidP="000E731F">
      <w:pPr>
        <w:spacing w:after="20"/>
        <w:jc w:val="center"/>
      </w:pPr>
    </w:p>
    <w:p w14:paraId="5619F3C2" w14:textId="77777777" w:rsidR="0085422C" w:rsidRDefault="00000000">
      <w:pPr>
        <w:keepNext/>
        <w:spacing w:before="60" w:after="60"/>
        <w:rPr>
          <w:b/>
          <w:color w:val="16324F"/>
          <w:sz w:val="25"/>
        </w:rPr>
      </w:pPr>
      <w:r>
        <w:rPr>
          <w:b/>
          <w:color w:val="16324F"/>
          <w:sz w:val="25"/>
        </w:rPr>
        <w:t>Serving-stack impact: common Sandisk core with NVIDIA and AMD platform seams</w:t>
      </w:r>
    </w:p>
    <w:p w14:paraId="050951D0" w14:textId="77777777" w:rsidR="002451E4" w:rsidRDefault="002451E4" w:rsidP="002451E4">
      <w:pPr>
        <w:spacing w:before="20" w:after="80"/>
      </w:pPr>
      <w:r>
        <w:rPr>
          <w:i/>
          <w:color w:val="66727D"/>
          <w:sz w:val="16"/>
        </w:rPr>
        <w:t xml:space="preserve">Source / note: V = verify/reuse; M = configure/modify; N = new </w:t>
      </w:r>
      <w:proofErr w:type="spellStart"/>
      <w:r>
        <w:rPr>
          <w:i/>
          <w:color w:val="66727D"/>
          <w:sz w:val="16"/>
        </w:rPr>
        <w:t>Sandisk</w:t>
      </w:r>
      <w:proofErr w:type="spellEnd"/>
      <w:r>
        <w:rPr>
          <w:i/>
          <w:color w:val="66727D"/>
          <w:sz w:val="16"/>
        </w:rPr>
        <w:t>/partner artifact. The architecture is deliberately built around stock vendor-supported GPU software. No product feature is allowed to depend on a proprietary NVIDIA or AMD firmware/driver modification; if a peer path is unavailable, the system retains host staging or changes the physical integration.</w:t>
      </w:r>
    </w:p>
    <w:p w14:paraId="47CFAC14" w14:textId="77777777" w:rsidR="002451E4" w:rsidRDefault="002451E4">
      <w:pPr>
        <w:keepNext/>
        <w:spacing w:before="60" w:after="60"/>
      </w:pPr>
    </w:p>
    <w:tbl>
      <w:tblPr>
        <w:tblStyle w:val="TableGrid"/>
        <w:tblW w:w="0" w:type="auto"/>
        <w:jc w:val="center"/>
        <w:tblLayout w:type="fixed"/>
        <w:tblLook w:val="04A0" w:firstRow="1" w:lastRow="0" w:firstColumn="1" w:lastColumn="0" w:noHBand="0" w:noVBand="1"/>
      </w:tblPr>
      <w:tblGrid>
        <w:gridCol w:w="1004"/>
        <w:gridCol w:w="1228"/>
        <w:gridCol w:w="604"/>
        <w:gridCol w:w="3096"/>
        <w:gridCol w:w="2951"/>
        <w:gridCol w:w="1224"/>
      </w:tblGrid>
      <w:tr w:rsidR="0085422C" w14:paraId="7850599C" w14:textId="77777777" w:rsidTr="002451E4">
        <w:trPr>
          <w:tblHeader/>
          <w:jc w:val="center"/>
        </w:trPr>
        <w:tc>
          <w:tcPr>
            <w:tcW w:w="1004" w:type="dxa"/>
            <w:shd w:val="clear" w:color="auto" w:fill="16324F"/>
            <w:tcMar>
              <w:top w:w="80" w:type="dxa"/>
              <w:left w:w="90" w:type="dxa"/>
              <w:bottom w:w="80" w:type="dxa"/>
              <w:right w:w="90" w:type="dxa"/>
            </w:tcMar>
            <w:vAlign w:val="center"/>
          </w:tcPr>
          <w:p w14:paraId="3CA93291" w14:textId="77777777" w:rsidR="00846FAB" w:rsidRDefault="00000000">
            <w:r>
              <w:rPr>
                <w:b/>
                <w:color w:val="FFFFFF"/>
                <w:sz w:val="14"/>
              </w:rPr>
              <w:t>Domain</w:t>
            </w:r>
          </w:p>
        </w:tc>
        <w:tc>
          <w:tcPr>
            <w:tcW w:w="1228" w:type="dxa"/>
            <w:shd w:val="clear" w:color="auto" w:fill="16324F"/>
            <w:tcMar>
              <w:top w:w="80" w:type="dxa"/>
              <w:left w:w="90" w:type="dxa"/>
              <w:bottom w:w="80" w:type="dxa"/>
              <w:right w:w="90" w:type="dxa"/>
            </w:tcMar>
            <w:vAlign w:val="center"/>
          </w:tcPr>
          <w:p w14:paraId="4205BD64" w14:textId="77777777" w:rsidR="00846FAB" w:rsidRDefault="00000000">
            <w:r>
              <w:rPr>
                <w:b/>
                <w:color w:val="FFFFFF"/>
                <w:sz w:val="14"/>
              </w:rPr>
              <w:t>Artifact</w:t>
            </w:r>
          </w:p>
        </w:tc>
        <w:tc>
          <w:tcPr>
            <w:tcW w:w="604" w:type="dxa"/>
            <w:shd w:val="clear" w:color="auto" w:fill="16324F"/>
            <w:tcMar>
              <w:top w:w="80" w:type="dxa"/>
              <w:left w:w="90" w:type="dxa"/>
              <w:bottom w:w="80" w:type="dxa"/>
              <w:right w:w="90" w:type="dxa"/>
            </w:tcMar>
            <w:vAlign w:val="center"/>
          </w:tcPr>
          <w:p w14:paraId="713F8190" w14:textId="77777777" w:rsidR="00846FAB" w:rsidRDefault="00000000">
            <w:r>
              <w:rPr>
                <w:b/>
                <w:color w:val="FFFFFF"/>
                <w:sz w:val="14"/>
              </w:rPr>
              <w:t>Action</w:t>
            </w:r>
          </w:p>
        </w:tc>
        <w:tc>
          <w:tcPr>
            <w:tcW w:w="3096" w:type="dxa"/>
            <w:shd w:val="clear" w:color="auto" w:fill="16324F"/>
            <w:tcMar>
              <w:top w:w="80" w:type="dxa"/>
              <w:left w:w="90" w:type="dxa"/>
              <w:bottom w:w="80" w:type="dxa"/>
              <w:right w:w="90" w:type="dxa"/>
            </w:tcMar>
            <w:vAlign w:val="center"/>
          </w:tcPr>
          <w:p w14:paraId="2C5A6228" w14:textId="77777777" w:rsidR="00846FAB" w:rsidRDefault="00000000">
            <w:r>
              <w:rPr>
                <w:b/>
                <w:color w:val="FFFFFF"/>
                <w:sz w:val="14"/>
              </w:rPr>
              <w:t xml:space="preserve">Common </w:t>
            </w:r>
            <w:proofErr w:type="spellStart"/>
            <w:r>
              <w:rPr>
                <w:b/>
                <w:color w:val="FFFFFF"/>
                <w:sz w:val="14"/>
              </w:rPr>
              <w:t>Sandisk</w:t>
            </w:r>
            <w:proofErr w:type="spellEnd"/>
            <w:r>
              <w:rPr>
                <w:b/>
                <w:color w:val="FFFFFF"/>
                <w:sz w:val="14"/>
              </w:rPr>
              <w:t xml:space="preserve"> requirement</w:t>
            </w:r>
          </w:p>
        </w:tc>
        <w:tc>
          <w:tcPr>
            <w:tcW w:w="2951" w:type="dxa"/>
            <w:shd w:val="clear" w:color="auto" w:fill="16324F"/>
            <w:tcMar>
              <w:top w:w="80" w:type="dxa"/>
              <w:left w:w="90" w:type="dxa"/>
              <w:bottom w:w="80" w:type="dxa"/>
              <w:right w:w="90" w:type="dxa"/>
            </w:tcMar>
            <w:vAlign w:val="center"/>
          </w:tcPr>
          <w:p w14:paraId="22746124" w14:textId="77777777" w:rsidR="00846FAB" w:rsidRDefault="00000000">
            <w:r>
              <w:rPr>
                <w:b/>
                <w:color w:val="FFFFFF"/>
                <w:sz w:val="14"/>
              </w:rPr>
              <w:t>GPU-platform path (NVIDIA / AMD)</w:t>
            </w:r>
          </w:p>
        </w:tc>
        <w:tc>
          <w:tcPr>
            <w:tcW w:w="1224" w:type="dxa"/>
            <w:shd w:val="clear" w:color="auto" w:fill="16324F"/>
            <w:vAlign w:val="center"/>
          </w:tcPr>
          <w:p w14:paraId="65BF55ED" w14:textId="77777777" w:rsidR="00846FAB" w:rsidRDefault="00000000">
            <w:r>
              <w:rPr>
                <w:b/>
                <w:color w:val="FFFFFF"/>
                <w:sz w:val="14"/>
              </w:rPr>
              <w:t>Primary owner</w:t>
            </w:r>
          </w:p>
        </w:tc>
      </w:tr>
      <w:tr w:rsidR="0085422C" w14:paraId="45BDDFB8" w14:textId="77777777" w:rsidTr="002451E4">
        <w:trPr>
          <w:cantSplit/>
          <w:jc w:val="center"/>
        </w:trPr>
        <w:tc>
          <w:tcPr>
            <w:tcW w:w="1004" w:type="dxa"/>
            <w:tcMar>
              <w:top w:w="70" w:type="dxa"/>
              <w:left w:w="80" w:type="dxa"/>
              <w:bottom w:w="70" w:type="dxa"/>
              <w:right w:w="80" w:type="dxa"/>
            </w:tcMar>
            <w:vAlign w:val="center"/>
          </w:tcPr>
          <w:p w14:paraId="3D8AA0D2" w14:textId="77777777" w:rsidR="00846FAB" w:rsidRDefault="00000000">
            <w:r>
              <w:rPr>
                <w:sz w:val="14"/>
              </w:rPr>
              <w:t>Software</w:t>
            </w:r>
          </w:p>
        </w:tc>
        <w:tc>
          <w:tcPr>
            <w:tcW w:w="1228" w:type="dxa"/>
            <w:tcMar>
              <w:top w:w="70" w:type="dxa"/>
              <w:left w:w="80" w:type="dxa"/>
              <w:bottom w:w="70" w:type="dxa"/>
              <w:right w:w="80" w:type="dxa"/>
            </w:tcMar>
            <w:vAlign w:val="center"/>
          </w:tcPr>
          <w:p w14:paraId="0A486864" w14:textId="77777777" w:rsidR="00846FAB" w:rsidRDefault="00000000">
            <w:r>
              <w:rPr>
                <w:sz w:val="14"/>
              </w:rPr>
              <w:t>Model contract / learned router</w:t>
            </w:r>
          </w:p>
        </w:tc>
        <w:tc>
          <w:tcPr>
            <w:tcW w:w="604" w:type="dxa"/>
            <w:tcMar>
              <w:top w:w="70" w:type="dxa"/>
              <w:left w:w="80" w:type="dxa"/>
              <w:bottom w:w="70" w:type="dxa"/>
              <w:right w:w="80" w:type="dxa"/>
            </w:tcMar>
            <w:vAlign w:val="center"/>
          </w:tcPr>
          <w:p w14:paraId="16D97E7A" w14:textId="77777777" w:rsidR="00846FAB" w:rsidRDefault="00000000">
            <w:r>
              <w:rPr>
                <w:sz w:val="14"/>
              </w:rPr>
              <w:t>V</w:t>
            </w:r>
          </w:p>
        </w:tc>
        <w:tc>
          <w:tcPr>
            <w:tcW w:w="3096" w:type="dxa"/>
            <w:tcMar>
              <w:top w:w="70" w:type="dxa"/>
              <w:left w:w="80" w:type="dxa"/>
              <w:bottom w:w="70" w:type="dxa"/>
              <w:right w:w="80" w:type="dxa"/>
            </w:tcMar>
            <w:vAlign w:val="center"/>
          </w:tcPr>
          <w:p w14:paraId="30D5C000" w14:textId="77777777" w:rsidR="00846FAB" w:rsidRDefault="00000000">
            <w:r>
              <w:rPr>
                <w:sz w:val="14"/>
              </w:rPr>
              <w:t>Freeze checkpoint, tokenizer, expert function, top-k and gate normalization. Trace export only; neural expert selection is unchanged.</w:t>
            </w:r>
          </w:p>
        </w:tc>
        <w:tc>
          <w:tcPr>
            <w:tcW w:w="2951" w:type="dxa"/>
            <w:tcMar>
              <w:top w:w="70" w:type="dxa"/>
              <w:left w:w="80" w:type="dxa"/>
              <w:bottom w:w="70" w:type="dxa"/>
              <w:right w:w="80" w:type="dxa"/>
            </w:tcMar>
            <w:vAlign w:val="center"/>
          </w:tcPr>
          <w:p w14:paraId="133383E3" w14:textId="77777777" w:rsidR="00846FAB" w:rsidRDefault="00000000">
            <w:r>
              <w:rPr>
                <w:sz w:val="14"/>
              </w:rPr>
              <w:t>NVIDIA: unchanged model semantics.</w:t>
            </w:r>
            <w:r>
              <w:rPr>
                <w:sz w:val="14"/>
              </w:rPr>
              <w:br/>
              <w:t>AMD: unchanged model semantics.</w:t>
            </w:r>
          </w:p>
        </w:tc>
        <w:tc>
          <w:tcPr>
            <w:tcW w:w="1224" w:type="dxa"/>
            <w:vAlign w:val="center"/>
          </w:tcPr>
          <w:p w14:paraId="3A5764AC" w14:textId="77777777" w:rsidR="00846FAB" w:rsidRDefault="00000000">
            <w:proofErr w:type="spellStart"/>
            <w:r>
              <w:rPr>
                <w:sz w:val="14"/>
              </w:rPr>
              <w:t>Sandisk</w:t>
            </w:r>
            <w:proofErr w:type="spellEnd"/>
          </w:p>
        </w:tc>
      </w:tr>
      <w:tr w:rsidR="0085422C" w14:paraId="0394135D" w14:textId="77777777" w:rsidTr="002451E4">
        <w:trPr>
          <w:cantSplit/>
          <w:jc w:val="center"/>
        </w:trPr>
        <w:tc>
          <w:tcPr>
            <w:tcW w:w="1004" w:type="dxa"/>
            <w:shd w:val="clear" w:color="auto" w:fill="F3F6F8"/>
            <w:tcMar>
              <w:top w:w="70" w:type="dxa"/>
              <w:left w:w="80" w:type="dxa"/>
              <w:bottom w:w="70" w:type="dxa"/>
              <w:right w:w="80" w:type="dxa"/>
            </w:tcMar>
            <w:vAlign w:val="center"/>
          </w:tcPr>
          <w:p w14:paraId="203C6964"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48A3E91C" w14:textId="77777777" w:rsidR="00846FAB" w:rsidRDefault="00000000">
            <w:proofErr w:type="spellStart"/>
            <w:r>
              <w:rPr>
                <w:sz w:val="14"/>
              </w:rPr>
              <w:t>ExpertPack</w:t>
            </w:r>
            <w:proofErr w:type="spellEnd"/>
            <w:r>
              <w:rPr>
                <w:sz w:val="14"/>
              </w:rPr>
              <w:t xml:space="preserve"> compiler</w:t>
            </w:r>
          </w:p>
        </w:tc>
        <w:tc>
          <w:tcPr>
            <w:tcW w:w="604" w:type="dxa"/>
            <w:shd w:val="clear" w:color="auto" w:fill="F3F6F8"/>
            <w:tcMar>
              <w:top w:w="70" w:type="dxa"/>
              <w:left w:w="80" w:type="dxa"/>
              <w:bottom w:w="70" w:type="dxa"/>
              <w:right w:w="80" w:type="dxa"/>
            </w:tcMar>
            <w:vAlign w:val="center"/>
          </w:tcPr>
          <w:p w14:paraId="5332B176"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5ACED0FC" w14:textId="77777777" w:rsidR="00846FAB" w:rsidRDefault="00000000">
            <w:r>
              <w:rPr>
                <w:sz w:val="14"/>
              </w:rPr>
              <w:t>Compile every ATMOS-owned (layer, expert) FFN into a versioned NPU pack with weight layout, precision/scales, scratch budget and golden outputs.</w:t>
            </w:r>
          </w:p>
        </w:tc>
        <w:tc>
          <w:tcPr>
            <w:tcW w:w="2951" w:type="dxa"/>
            <w:shd w:val="clear" w:color="auto" w:fill="F3F6F8"/>
            <w:tcMar>
              <w:top w:w="70" w:type="dxa"/>
              <w:left w:w="80" w:type="dxa"/>
              <w:bottom w:w="70" w:type="dxa"/>
              <w:right w:w="80" w:type="dxa"/>
            </w:tcMar>
            <w:vAlign w:val="center"/>
          </w:tcPr>
          <w:p w14:paraId="4B343A93" w14:textId="77777777" w:rsidR="00846FAB" w:rsidRDefault="00000000">
            <w:r>
              <w:rPr>
                <w:sz w:val="14"/>
              </w:rPr>
              <w:t>Same pack identity and expert ABI for both GPU ecosystems.</w:t>
            </w:r>
          </w:p>
        </w:tc>
        <w:tc>
          <w:tcPr>
            <w:tcW w:w="1224" w:type="dxa"/>
            <w:shd w:val="clear" w:color="auto" w:fill="F3F6F8"/>
            <w:vAlign w:val="center"/>
          </w:tcPr>
          <w:p w14:paraId="2DB7E9E0" w14:textId="02EFBDE4" w:rsidR="00846FAB" w:rsidRDefault="00000000">
            <w:proofErr w:type="spellStart"/>
            <w:r>
              <w:rPr>
                <w:sz w:val="14"/>
              </w:rPr>
              <w:t>Sandisk</w:t>
            </w:r>
            <w:proofErr w:type="spellEnd"/>
            <w:r>
              <w:rPr>
                <w:sz w:val="14"/>
              </w:rPr>
              <w:t xml:space="preserve"> + </w:t>
            </w:r>
            <w:proofErr w:type="spellStart"/>
            <w:r w:rsidR="002451E4">
              <w:rPr>
                <w:rFonts w:eastAsia="Noto Sans"/>
                <w:color w:val="24313D"/>
                <w:sz w:val="13"/>
              </w:rPr>
              <w:t>Tenstorrent</w:t>
            </w:r>
            <w:proofErr w:type="spellEnd"/>
          </w:p>
        </w:tc>
      </w:tr>
      <w:tr w:rsidR="0085422C" w14:paraId="1128D9B1" w14:textId="77777777" w:rsidTr="002451E4">
        <w:trPr>
          <w:cantSplit/>
          <w:jc w:val="center"/>
        </w:trPr>
        <w:tc>
          <w:tcPr>
            <w:tcW w:w="1004" w:type="dxa"/>
            <w:tcMar>
              <w:top w:w="70" w:type="dxa"/>
              <w:left w:w="80" w:type="dxa"/>
              <w:bottom w:w="70" w:type="dxa"/>
              <w:right w:w="80" w:type="dxa"/>
            </w:tcMar>
            <w:vAlign w:val="center"/>
          </w:tcPr>
          <w:p w14:paraId="62B79A38" w14:textId="77777777" w:rsidR="00846FAB" w:rsidRDefault="00000000">
            <w:r>
              <w:rPr>
                <w:sz w:val="14"/>
              </w:rPr>
              <w:t>Software</w:t>
            </w:r>
          </w:p>
        </w:tc>
        <w:tc>
          <w:tcPr>
            <w:tcW w:w="1228" w:type="dxa"/>
            <w:tcMar>
              <w:top w:w="70" w:type="dxa"/>
              <w:left w:w="80" w:type="dxa"/>
              <w:bottom w:w="70" w:type="dxa"/>
              <w:right w:w="80" w:type="dxa"/>
            </w:tcMar>
            <w:vAlign w:val="center"/>
          </w:tcPr>
          <w:p w14:paraId="38A44277" w14:textId="77777777" w:rsidR="00846FAB" w:rsidRDefault="00000000">
            <w:proofErr w:type="spellStart"/>
            <w:r>
              <w:rPr>
                <w:sz w:val="14"/>
              </w:rPr>
              <w:t>vLLM</w:t>
            </w:r>
            <w:proofErr w:type="spellEnd"/>
            <w:r>
              <w:rPr>
                <w:sz w:val="14"/>
              </w:rPr>
              <w:t xml:space="preserve"> </w:t>
            </w:r>
            <w:proofErr w:type="spellStart"/>
            <w:r>
              <w:rPr>
                <w:sz w:val="14"/>
              </w:rPr>
              <w:t>MoE</w:t>
            </w:r>
            <w:proofErr w:type="spellEnd"/>
            <w:r>
              <w:rPr>
                <w:sz w:val="14"/>
              </w:rPr>
              <w:t xml:space="preserve"> integration</w:t>
            </w:r>
          </w:p>
        </w:tc>
        <w:tc>
          <w:tcPr>
            <w:tcW w:w="604" w:type="dxa"/>
            <w:tcMar>
              <w:top w:w="70" w:type="dxa"/>
              <w:left w:w="80" w:type="dxa"/>
              <w:bottom w:w="70" w:type="dxa"/>
              <w:right w:w="80" w:type="dxa"/>
            </w:tcMar>
            <w:vAlign w:val="center"/>
          </w:tcPr>
          <w:p w14:paraId="1096AD32" w14:textId="77777777" w:rsidR="00846FAB" w:rsidRDefault="00000000">
            <w:r>
              <w:rPr>
                <w:sz w:val="14"/>
              </w:rPr>
              <w:t>M/N</w:t>
            </w:r>
          </w:p>
        </w:tc>
        <w:tc>
          <w:tcPr>
            <w:tcW w:w="3096" w:type="dxa"/>
            <w:tcMar>
              <w:top w:w="70" w:type="dxa"/>
              <w:left w:w="80" w:type="dxa"/>
              <w:bottom w:w="70" w:type="dxa"/>
              <w:right w:w="80" w:type="dxa"/>
            </w:tcMar>
            <w:vAlign w:val="center"/>
          </w:tcPr>
          <w:p w14:paraId="7F7F0218" w14:textId="77777777" w:rsidR="00846FAB" w:rsidRDefault="00000000">
            <w:r>
              <w:rPr>
                <w:sz w:val="14"/>
              </w:rPr>
              <w:t>Add one ATMOS-aware prepare/expert/finalize seam. Skip GPU allocation of ATMOS-owned experts and preserve customer APIs.</w:t>
            </w:r>
          </w:p>
        </w:tc>
        <w:tc>
          <w:tcPr>
            <w:tcW w:w="2951" w:type="dxa"/>
            <w:tcMar>
              <w:top w:w="70" w:type="dxa"/>
              <w:left w:w="80" w:type="dxa"/>
              <w:bottom w:w="70" w:type="dxa"/>
              <w:right w:w="80" w:type="dxa"/>
            </w:tcMar>
            <w:vAlign w:val="center"/>
          </w:tcPr>
          <w:p w14:paraId="468055FE" w14:textId="77777777" w:rsidR="00846FAB" w:rsidRDefault="00000000">
            <w:r>
              <w:rPr>
                <w:sz w:val="14"/>
              </w:rPr>
              <w:t xml:space="preserve">NVIDIA: pinned </w:t>
            </w:r>
            <w:proofErr w:type="spellStart"/>
            <w:r>
              <w:rPr>
                <w:sz w:val="14"/>
              </w:rPr>
              <w:t>vLLM</w:t>
            </w:r>
            <w:proofErr w:type="spellEnd"/>
            <w:r>
              <w:rPr>
                <w:sz w:val="14"/>
              </w:rPr>
              <w:t>/</w:t>
            </w:r>
            <w:proofErr w:type="spellStart"/>
            <w:r>
              <w:rPr>
                <w:sz w:val="14"/>
              </w:rPr>
              <w:t>PyTorch</w:t>
            </w:r>
            <w:proofErr w:type="spellEnd"/>
            <w:r>
              <w:rPr>
                <w:sz w:val="14"/>
              </w:rPr>
              <w:t>/CUDA build.</w:t>
            </w:r>
            <w:r>
              <w:rPr>
                <w:sz w:val="14"/>
              </w:rPr>
              <w:br/>
              <w:t xml:space="preserve">AMD: pinned </w:t>
            </w:r>
            <w:proofErr w:type="spellStart"/>
            <w:r>
              <w:rPr>
                <w:sz w:val="14"/>
              </w:rPr>
              <w:t>vLLM</w:t>
            </w:r>
            <w:proofErr w:type="spellEnd"/>
            <w:r>
              <w:rPr>
                <w:sz w:val="14"/>
              </w:rPr>
              <w:t>/</w:t>
            </w:r>
            <w:proofErr w:type="spellStart"/>
            <w:r>
              <w:rPr>
                <w:sz w:val="14"/>
              </w:rPr>
              <w:t>PyTorch</w:t>
            </w:r>
            <w:proofErr w:type="spellEnd"/>
            <w:r>
              <w:rPr>
                <w:sz w:val="14"/>
              </w:rPr>
              <w:t>/</w:t>
            </w:r>
            <w:proofErr w:type="spellStart"/>
            <w:r>
              <w:rPr>
                <w:sz w:val="14"/>
              </w:rPr>
              <w:t>ROCm</w:t>
            </w:r>
            <w:proofErr w:type="spellEnd"/>
            <w:r>
              <w:rPr>
                <w:sz w:val="14"/>
              </w:rPr>
              <w:t xml:space="preserve"> build. No separate model fork.</w:t>
            </w:r>
          </w:p>
        </w:tc>
        <w:tc>
          <w:tcPr>
            <w:tcW w:w="1224" w:type="dxa"/>
            <w:vAlign w:val="center"/>
          </w:tcPr>
          <w:p w14:paraId="446FD41B" w14:textId="470A94A0"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575AB167" w14:textId="77777777" w:rsidTr="002451E4">
        <w:trPr>
          <w:cantSplit/>
          <w:jc w:val="center"/>
        </w:trPr>
        <w:tc>
          <w:tcPr>
            <w:tcW w:w="1004" w:type="dxa"/>
            <w:shd w:val="clear" w:color="auto" w:fill="F3F6F8"/>
            <w:tcMar>
              <w:top w:w="70" w:type="dxa"/>
              <w:left w:w="80" w:type="dxa"/>
              <w:bottom w:w="70" w:type="dxa"/>
              <w:right w:w="80" w:type="dxa"/>
            </w:tcMar>
            <w:vAlign w:val="center"/>
          </w:tcPr>
          <w:p w14:paraId="67341285"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53B7737F" w14:textId="77777777" w:rsidR="00846FAB" w:rsidRDefault="00000000">
            <w:r>
              <w:rPr>
                <w:sz w:val="14"/>
              </w:rPr>
              <w:t>Heterogeneous expert adapter / placement</w:t>
            </w:r>
          </w:p>
        </w:tc>
        <w:tc>
          <w:tcPr>
            <w:tcW w:w="604" w:type="dxa"/>
            <w:shd w:val="clear" w:color="auto" w:fill="F3F6F8"/>
            <w:tcMar>
              <w:top w:w="70" w:type="dxa"/>
              <w:left w:w="80" w:type="dxa"/>
              <w:bottom w:w="70" w:type="dxa"/>
              <w:right w:w="80" w:type="dxa"/>
            </w:tcMar>
            <w:vAlign w:val="center"/>
          </w:tcPr>
          <w:p w14:paraId="3FD6C0A7"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2CA9A7A0" w14:textId="77777777" w:rsidR="00846FAB" w:rsidRDefault="00000000">
            <w:r>
              <w:rPr>
                <w:sz w:val="14"/>
              </w:rPr>
              <w:t>Map (model, layer, expert) to resident ATMOS owners; group tokens; preserve identity, gates, queue bounds and placement epochs.</w:t>
            </w:r>
          </w:p>
        </w:tc>
        <w:tc>
          <w:tcPr>
            <w:tcW w:w="2951" w:type="dxa"/>
            <w:shd w:val="clear" w:color="auto" w:fill="F3F6F8"/>
            <w:tcMar>
              <w:top w:w="70" w:type="dxa"/>
              <w:left w:w="80" w:type="dxa"/>
              <w:bottom w:w="70" w:type="dxa"/>
              <w:right w:w="80" w:type="dxa"/>
            </w:tcMar>
            <w:vAlign w:val="center"/>
          </w:tcPr>
          <w:p w14:paraId="0390809E" w14:textId="77777777" w:rsidR="00846FAB" w:rsidRDefault="00000000">
            <w:r>
              <w:rPr>
                <w:sz w:val="14"/>
              </w:rPr>
              <w:t>Vendor-neutral logic; no CUDA/NCCL or HIP/RCCL rank identity for ATMOS.</w:t>
            </w:r>
          </w:p>
        </w:tc>
        <w:tc>
          <w:tcPr>
            <w:tcW w:w="1224" w:type="dxa"/>
            <w:shd w:val="clear" w:color="auto" w:fill="F3F6F8"/>
            <w:vAlign w:val="center"/>
          </w:tcPr>
          <w:p w14:paraId="59A2D88E" w14:textId="6F1B0B8F"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7C420609" w14:textId="77777777" w:rsidTr="002451E4">
        <w:trPr>
          <w:cantSplit/>
          <w:jc w:val="center"/>
        </w:trPr>
        <w:tc>
          <w:tcPr>
            <w:tcW w:w="1004" w:type="dxa"/>
            <w:tcMar>
              <w:top w:w="70" w:type="dxa"/>
              <w:left w:w="80" w:type="dxa"/>
              <w:bottom w:w="70" w:type="dxa"/>
              <w:right w:w="80" w:type="dxa"/>
            </w:tcMar>
            <w:vAlign w:val="center"/>
          </w:tcPr>
          <w:p w14:paraId="4D5492E2" w14:textId="77777777" w:rsidR="00846FAB" w:rsidRDefault="00000000">
            <w:r>
              <w:rPr>
                <w:sz w:val="14"/>
              </w:rPr>
              <w:t>Software</w:t>
            </w:r>
          </w:p>
        </w:tc>
        <w:tc>
          <w:tcPr>
            <w:tcW w:w="1228" w:type="dxa"/>
            <w:tcMar>
              <w:top w:w="70" w:type="dxa"/>
              <w:left w:w="80" w:type="dxa"/>
              <w:bottom w:w="70" w:type="dxa"/>
              <w:right w:w="80" w:type="dxa"/>
            </w:tcMar>
            <w:vAlign w:val="center"/>
          </w:tcPr>
          <w:p w14:paraId="4093D978" w14:textId="77777777" w:rsidR="00846FAB" w:rsidRDefault="00000000">
            <w:r>
              <w:rPr>
                <w:sz w:val="14"/>
              </w:rPr>
              <w:t>GPU framework seam</w:t>
            </w:r>
          </w:p>
        </w:tc>
        <w:tc>
          <w:tcPr>
            <w:tcW w:w="604" w:type="dxa"/>
            <w:tcMar>
              <w:top w:w="70" w:type="dxa"/>
              <w:left w:w="80" w:type="dxa"/>
              <w:bottom w:w="70" w:type="dxa"/>
              <w:right w:w="80" w:type="dxa"/>
            </w:tcMar>
            <w:vAlign w:val="center"/>
          </w:tcPr>
          <w:p w14:paraId="030AA39E" w14:textId="77777777" w:rsidR="00846FAB" w:rsidRDefault="00000000">
            <w:r>
              <w:rPr>
                <w:sz w:val="14"/>
              </w:rPr>
              <w:t>M</w:t>
            </w:r>
          </w:p>
        </w:tc>
        <w:tc>
          <w:tcPr>
            <w:tcW w:w="3096" w:type="dxa"/>
            <w:tcMar>
              <w:top w:w="70" w:type="dxa"/>
              <w:left w:w="80" w:type="dxa"/>
              <w:bottom w:w="70" w:type="dxa"/>
              <w:right w:w="80" w:type="dxa"/>
            </w:tcMar>
            <w:vAlign w:val="center"/>
          </w:tcPr>
          <w:p w14:paraId="4A33A1C4" w14:textId="77777777" w:rsidR="00846FAB" w:rsidRDefault="00000000">
            <w:r>
              <w:rPr>
                <w:sz w:val="14"/>
              </w:rPr>
              <w:t xml:space="preserve">Implement packing, result restore/combine, async buffers and explicit synchronization in </w:t>
            </w:r>
            <w:proofErr w:type="spellStart"/>
            <w:r>
              <w:rPr>
                <w:sz w:val="14"/>
              </w:rPr>
              <w:t>Sandisk</w:t>
            </w:r>
            <w:proofErr w:type="spellEnd"/>
            <w:r>
              <w:rPr>
                <w:sz w:val="14"/>
              </w:rPr>
              <w:t xml:space="preserve"> code.</w:t>
            </w:r>
          </w:p>
        </w:tc>
        <w:tc>
          <w:tcPr>
            <w:tcW w:w="2951" w:type="dxa"/>
            <w:tcMar>
              <w:top w:w="70" w:type="dxa"/>
              <w:left w:w="80" w:type="dxa"/>
              <w:bottom w:w="70" w:type="dxa"/>
              <w:right w:w="80" w:type="dxa"/>
            </w:tcMar>
            <w:vAlign w:val="center"/>
          </w:tcPr>
          <w:p w14:paraId="39D1ACFB" w14:textId="77777777" w:rsidR="00846FAB" w:rsidRDefault="00000000">
            <w:r>
              <w:rPr>
                <w:sz w:val="14"/>
              </w:rPr>
              <w:t xml:space="preserve">NVIDIA: stock </w:t>
            </w:r>
            <w:proofErr w:type="spellStart"/>
            <w:r>
              <w:rPr>
                <w:sz w:val="14"/>
              </w:rPr>
              <w:t>PyTorch</w:t>
            </w:r>
            <w:proofErr w:type="spellEnd"/>
            <w:r>
              <w:rPr>
                <w:sz w:val="14"/>
              </w:rPr>
              <w:t>/CUDA APIs.</w:t>
            </w:r>
            <w:r>
              <w:rPr>
                <w:sz w:val="14"/>
              </w:rPr>
              <w:br/>
              <w:t xml:space="preserve">AMD: stock </w:t>
            </w:r>
            <w:proofErr w:type="spellStart"/>
            <w:r>
              <w:rPr>
                <w:sz w:val="14"/>
              </w:rPr>
              <w:t>PyTorch</w:t>
            </w:r>
            <w:proofErr w:type="spellEnd"/>
            <w:r>
              <w:rPr>
                <w:sz w:val="14"/>
              </w:rPr>
              <w:t>/</w:t>
            </w:r>
            <w:proofErr w:type="spellStart"/>
            <w:r>
              <w:rPr>
                <w:sz w:val="14"/>
              </w:rPr>
              <w:t>ROCm</w:t>
            </w:r>
            <w:proofErr w:type="spellEnd"/>
            <w:r>
              <w:rPr>
                <w:sz w:val="14"/>
              </w:rPr>
              <w:t>/HIP APIs. No GPU driver/FW patches.</w:t>
            </w:r>
          </w:p>
        </w:tc>
        <w:tc>
          <w:tcPr>
            <w:tcW w:w="1224" w:type="dxa"/>
            <w:vAlign w:val="center"/>
          </w:tcPr>
          <w:p w14:paraId="3BE5DC52" w14:textId="78A860EA"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7FD7AE74" w14:textId="77777777" w:rsidTr="002451E4">
        <w:trPr>
          <w:cantSplit/>
          <w:jc w:val="center"/>
        </w:trPr>
        <w:tc>
          <w:tcPr>
            <w:tcW w:w="1004" w:type="dxa"/>
            <w:shd w:val="clear" w:color="auto" w:fill="F3F6F8"/>
            <w:tcMar>
              <w:top w:w="70" w:type="dxa"/>
              <w:left w:w="80" w:type="dxa"/>
              <w:bottom w:w="70" w:type="dxa"/>
              <w:right w:w="80" w:type="dxa"/>
            </w:tcMar>
            <w:vAlign w:val="center"/>
          </w:tcPr>
          <w:p w14:paraId="0BEE75B8" w14:textId="77777777" w:rsidR="00846FAB" w:rsidRDefault="00000000">
            <w:r>
              <w:rPr>
                <w:sz w:val="14"/>
              </w:rPr>
              <w:lastRenderedPageBreak/>
              <w:t>Software</w:t>
            </w:r>
          </w:p>
        </w:tc>
        <w:tc>
          <w:tcPr>
            <w:tcW w:w="1228" w:type="dxa"/>
            <w:shd w:val="clear" w:color="auto" w:fill="F3F6F8"/>
            <w:tcMar>
              <w:top w:w="70" w:type="dxa"/>
              <w:left w:w="80" w:type="dxa"/>
              <w:bottom w:w="70" w:type="dxa"/>
              <w:right w:w="80" w:type="dxa"/>
            </w:tcMar>
            <w:vAlign w:val="center"/>
          </w:tcPr>
          <w:p w14:paraId="5626BD47" w14:textId="77777777" w:rsidR="00846FAB" w:rsidRDefault="00000000">
            <w:r>
              <w:rPr>
                <w:sz w:val="14"/>
              </w:rPr>
              <w:t>GPU collectives</w:t>
            </w:r>
          </w:p>
        </w:tc>
        <w:tc>
          <w:tcPr>
            <w:tcW w:w="604" w:type="dxa"/>
            <w:shd w:val="clear" w:color="auto" w:fill="F3F6F8"/>
            <w:tcMar>
              <w:top w:w="70" w:type="dxa"/>
              <w:left w:w="80" w:type="dxa"/>
              <w:bottom w:w="70" w:type="dxa"/>
              <w:right w:w="80" w:type="dxa"/>
            </w:tcMar>
            <w:vAlign w:val="center"/>
          </w:tcPr>
          <w:p w14:paraId="273837CB" w14:textId="77777777" w:rsidR="00846FAB" w:rsidRDefault="00000000">
            <w:r>
              <w:rPr>
                <w:sz w:val="14"/>
              </w:rPr>
              <w:t>V</w:t>
            </w:r>
          </w:p>
        </w:tc>
        <w:tc>
          <w:tcPr>
            <w:tcW w:w="3096" w:type="dxa"/>
            <w:shd w:val="clear" w:color="auto" w:fill="F3F6F8"/>
            <w:tcMar>
              <w:top w:w="70" w:type="dxa"/>
              <w:left w:w="80" w:type="dxa"/>
              <w:bottom w:w="70" w:type="dxa"/>
              <w:right w:w="80" w:type="dxa"/>
            </w:tcMar>
            <w:vAlign w:val="center"/>
          </w:tcPr>
          <w:p w14:paraId="32C128E9" w14:textId="77777777" w:rsidR="00846FAB" w:rsidRDefault="00000000">
            <w:r>
              <w:rPr>
                <w:sz w:val="14"/>
              </w:rPr>
              <w:t>Keep ATMOS outside the GPU collective domain; revalidate GPU rank/group configuration after experts move off GPU.</w:t>
            </w:r>
          </w:p>
        </w:tc>
        <w:tc>
          <w:tcPr>
            <w:tcW w:w="2951" w:type="dxa"/>
            <w:shd w:val="clear" w:color="auto" w:fill="F3F6F8"/>
            <w:tcMar>
              <w:top w:w="70" w:type="dxa"/>
              <w:left w:w="80" w:type="dxa"/>
              <w:bottom w:w="70" w:type="dxa"/>
              <w:right w:w="80" w:type="dxa"/>
            </w:tcMar>
            <w:vAlign w:val="center"/>
          </w:tcPr>
          <w:p w14:paraId="374B3508" w14:textId="77777777" w:rsidR="00846FAB" w:rsidRDefault="00000000">
            <w:r>
              <w:rPr>
                <w:sz w:val="14"/>
              </w:rPr>
              <w:t>NVIDIA: stock NCCL.</w:t>
            </w:r>
            <w:r>
              <w:rPr>
                <w:sz w:val="14"/>
              </w:rPr>
              <w:br/>
              <w:t>AMD: stock RCCL. No collective-library modification.</w:t>
            </w:r>
          </w:p>
        </w:tc>
        <w:tc>
          <w:tcPr>
            <w:tcW w:w="1224" w:type="dxa"/>
            <w:shd w:val="clear" w:color="auto" w:fill="F3F6F8"/>
            <w:vAlign w:val="center"/>
          </w:tcPr>
          <w:p w14:paraId="5B3E4B32" w14:textId="79A3DAF5" w:rsidR="00846FAB" w:rsidRDefault="002451E4">
            <w:r>
              <w:rPr>
                <w:sz w:val="14"/>
              </w:rPr>
              <w:t xml:space="preserve">Vendor </w:t>
            </w:r>
            <w:r w:rsidR="00000000">
              <w:rPr>
                <w:sz w:val="14"/>
              </w:rPr>
              <w:t>Runtime</w:t>
            </w:r>
          </w:p>
        </w:tc>
      </w:tr>
      <w:tr w:rsidR="0085422C" w14:paraId="16498F67" w14:textId="77777777" w:rsidTr="002451E4">
        <w:trPr>
          <w:cantSplit/>
          <w:jc w:val="center"/>
        </w:trPr>
        <w:tc>
          <w:tcPr>
            <w:tcW w:w="1004" w:type="dxa"/>
            <w:tcMar>
              <w:top w:w="70" w:type="dxa"/>
              <w:left w:w="80" w:type="dxa"/>
              <w:bottom w:w="70" w:type="dxa"/>
              <w:right w:w="80" w:type="dxa"/>
            </w:tcMar>
            <w:vAlign w:val="center"/>
          </w:tcPr>
          <w:p w14:paraId="104C8A8F" w14:textId="77777777" w:rsidR="00846FAB" w:rsidRDefault="00000000">
            <w:r>
              <w:rPr>
                <w:sz w:val="14"/>
              </w:rPr>
              <w:t>Software</w:t>
            </w:r>
          </w:p>
        </w:tc>
        <w:tc>
          <w:tcPr>
            <w:tcW w:w="1228" w:type="dxa"/>
            <w:tcMar>
              <w:top w:w="70" w:type="dxa"/>
              <w:left w:w="80" w:type="dxa"/>
              <w:bottom w:w="70" w:type="dxa"/>
              <w:right w:w="80" w:type="dxa"/>
            </w:tcMar>
            <w:vAlign w:val="center"/>
          </w:tcPr>
          <w:p w14:paraId="636C5182" w14:textId="77777777" w:rsidR="00846FAB" w:rsidRDefault="00000000">
            <w:r>
              <w:rPr>
                <w:sz w:val="14"/>
              </w:rPr>
              <w:t>ATMOS SDK + Linux driver</w:t>
            </w:r>
          </w:p>
        </w:tc>
        <w:tc>
          <w:tcPr>
            <w:tcW w:w="604" w:type="dxa"/>
            <w:tcMar>
              <w:top w:w="70" w:type="dxa"/>
              <w:left w:w="80" w:type="dxa"/>
              <w:bottom w:w="70" w:type="dxa"/>
              <w:right w:w="80" w:type="dxa"/>
            </w:tcMar>
            <w:vAlign w:val="center"/>
          </w:tcPr>
          <w:p w14:paraId="4D7FE5F5" w14:textId="77777777" w:rsidR="00846FAB" w:rsidRDefault="00000000">
            <w:r>
              <w:rPr>
                <w:sz w:val="14"/>
              </w:rPr>
              <w:t>N</w:t>
            </w:r>
          </w:p>
        </w:tc>
        <w:tc>
          <w:tcPr>
            <w:tcW w:w="3096" w:type="dxa"/>
            <w:tcMar>
              <w:top w:w="70" w:type="dxa"/>
              <w:left w:w="80" w:type="dxa"/>
              <w:bottom w:w="70" w:type="dxa"/>
              <w:right w:w="80" w:type="dxa"/>
            </w:tcMar>
            <w:vAlign w:val="center"/>
          </w:tcPr>
          <w:p w14:paraId="3EA5B9E7" w14:textId="77777777" w:rsidR="00846FAB" w:rsidRDefault="00000000">
            <w:r>
              <w:rPr>
                <w:sz w:val="14"/>
              </w:rPr>
              <w:t>Discovery, buffer registration, queue/DMA submission, completion, cancel/error, reset invalidation, telemetry and bounded BAR access.</w:t>
            </w:r>
          </w:p>
        </w:tc>
        <w:tc>
          <w:tcPr>
            <w:tcW w:w="2951" w:type="dxa"/>
            <w:tcMar>
              <w:top w:w="70" w:type="dxa"/>
              <w:left w:w="80" w:type="dxa"/>
              <w:bottom w:w="70" w:type="dxa"/>
              <w:right w:w="80" w:type="dxa"/>
            </w:tcMar>
            <w:vAlign w:val="center"/>
          </w:tcPr>
          <w:p w14:paraId="76D99AD9" w14:textId="77777777" w:rsidR="00846FAB" w:rsidRDefault="00000000">
            <w:r>
              <w:rPr>
                <w:sz w:val="14"/>
              </w:rPr>
              <w:t>Identical ATMOS API contract; host build may differ (x86-64 vs Arm64) by platform.</w:t>
            </w:r>
          </w:p>
        </w:tc>
        <w:tc>
          <w:tcPr>
            <w:tcW w:w="1224" w:type="dxa"/>
            <w:vAlign w:val="center"/>
          </w:tcPr>
          <w:p w14:paraId="15165F0F" w14:textId="7D762188"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75ACA6C6" w14:textId="77777777" w:rsidTr="002451E4">
        <w:trPr>
          <w:cantSplit/>
          <w:jc w:val="center"/>
        </w:trPr>
        <w:tc>
          <w:tcPr>
            <w:tcW w:w="1004" w:type="dxa"/>
            <w:shd w:val="clear" w:color="auto" w:fill="F3F6F8"/>
            <w:tcMar>
              <w:top w:w="70" w:type="dxa"/>
              <w:left w:w="80" w:type="dxa"/>
              <w:bottom w:w="70" w:type="dxa"/>
              <w:right w:w="80" w:type="dxa"/>
            </w:tcMar>
            <w:vAlign w:val="center"/>
          </w:tcPr>
          <w:p w14:paraId="1F0F2ACD"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23E9BFC9" w14:textId="77777777" w:rsidR="00846FAB" w:rsidRDefault="00000000">
            <w:r>
              <w:rPr>
                <w:sz w:val="14"/>
              </w:rPr>
              <w:t>Kubernetes allocation</w:t>
            </w:r>
          </w:p>
        </w:tc>
        <w:tc>
          <w:tcPr>
            <w:tcW w:w="604" w:type="dxa"/>
            <w:shd w:val="clear" w:color="auto" w:fill="F3F6F8"/>
            <w:tcMar>
              <w:top w:w="70" w:type="dxa"/>
              <w:left w:w="80" w:type="dxa"/>
              <w:bottom w:w="70" w:type="dxa"/>
              <w:right w:w="80" w:type="dxa"/>
            </w:tcMar>
            <w:vAlign w:val="center"/>
          </w:tcPr>
          <w:p w14:paraId="596F362B" w14:textId="77777777" w:rsidR="00846FAB" w:rsidRDefault="00000000">
            <w:r>
              <w:rPr>
                <w:sz w:val="14"/>
              </w:rPr>
              <w:t>M/N</w:t>
            </w:r>
          </w:p>
        </w:tc>
        <w:tc>
          <w:tcPr>
            <w:tcW w:w="3096" w:type="dxa"/>
            <w:shd w:val="clear" w:color="auto" w:fill="F3F6F8"/>
            <w:tcMar>
              <w:top w:w="70" w:type="dxa"/>
              <w:left w:w="80" w:type="dxa"/>
              <w:bottom w:w="70" w:type="dxa"/>
              <w:right w:w="80" w:type="dxa"/>
            </w:tcMar>
            <w:vAlign w:val="center"/>
          </w:tcPr>
          <w:p w14:paraId="1A7DF9A6" w14:textId="77777777" w:rsidR="00846FAB" w:rsidRDefault="00000000">
            <w:r>
              <w:rPr>
                <w:sz w:val="14"/>
              </w:rPr>
              <w:t>Expose ATMOS as whole-device resources initially; co-allocate qualified GPU+ATMOS groups and publish topology/health.</w:t>
            </w:r>
          </w:p>
        </w:tc>
        <w:tc>
          <w:tcPr>
            <w:tcW w:w="2951" w:type="dxa"/>
            <w:shd w:val="clear" w:color="auto" w:fill="F3F6F8"/>
            <w:tcMar>
              <w:top w:w="70" w:type="dxa"/>
              <w:left w:w="80" w:type="dxa"/>
              <w:bottom w:w="70" w:type="dxa"/>
              <w:right w:w="80" w:type="dxa"/>
            </w:tcMar>
            <w:vAlign w:val="center"/>
          </w:tcPr>
          <w:p w14:paraId="6DDF099A" w14:textId="77777777" w:rsidR="00846FAB" w:rsidRDefault="00000000">
            <w:r>
              <w:rPr>
                <w:sz w:val="14"/>
              </w:rPr>
              <w:t>NVIDIA: preserve NVIDIA GPU Operator.</w:t>
            </w:r>
            <w:r>
              <w:rPr>
                <w:sz w:val="14"/>
              </w:rPr>
              <w:br/>
              <w:t xml:space="preserve">AMD: preserve AMD GPU Operator. </w:t>
            </w:r>
            <w:proofErr w:type="spellStart"/>
            <w:r>
              <w:rPr>
                <w:sz w:val="14"/>
              </w:rPr>
              <w:t>Sandisk</w:t>
            </w:r>
            <w:proofErr w:type="spellEnd"/>
            <w:r>
              <w:rPr>
                <w:sz w:val="14"/>
              </w:rPr>
              <w:t xml:space="preserve"> operator remains separate.</w:t>
            </w:r>
          </w:p>
        </w:tc>
        <w:tc>
          <w:tcPr>
            <w:tcW w:w="1224" w:type="dxa"/>
            <w:shd w:val="clear" w:color="auto" w:fill="F3F6F8"/>
            <w:vAlign w:val="center"/>
          </w:tcPr>
          <w:p w14:paraId="208050E8" w14:textId="409F45AA" w:rsidR="00846FAB" w:rsidRDefault="002451E4">
            <w:proofErr w:type="spellStart"/>
            <w:r>
              <w:rPr>
                <w:sz w:val="14"/>
              </w:rPr>
              <w:t>Sandisk</w:t>
            </w:r>
            <w:proofErr w:type="spellEnd"/>
            <w:r>
              <w:rPr>
                <w:sz w:val="14"/>
              </w:rPr>
              <w:t xml:space="preserve"> + </w:t>
            </w:r>
            <w:proofErr w:type="spellStart"/>
            <w:r>
              <w:rPr>
                <w:rFonts w:eastAsia="Noto Sans"/>
                <w:color w:val="24313D"/>
                <w:sz w:val="13"/>
              </w:rPr>
              <w:t>Tenstorrent</w:t>
            </w:r>
            <w:proofErr w:type="spellEnd"/>
          </w:p>
        </w:tc>
      </w:tr>
      <w:tr w:rsidR="0085422C" w14:paraId="1BF6ABDB" w14:textId="77777777" w:rsidTr="002451E4">
        <w:trPr>
          <w:cantSplit/>
          <w:jc w:val="center"/>
        </w:trPr>
        <w:tc>
          <w:tcPr>
            <w:tcW w:w="1004" w:type="dxa"/>
            <w:tcMar>
              <w:top w:w="70" w:type="dxa"/>
              <w:left w:w="80" w:type="dxa"/>
              <w:bottom w:w="70" w:type="dxa"/>
              <w:right w:w="80" w:type="dxa"/>
            </w:tcMar>
            <w:vAlign w:val="center"/>
          </w:tcPr>
          <w:p w14:paraId="7B86F99B" w14:textId="77777777" w:rsidR="00846FAB" w:rsidRDefault="00000000">
            <w:r>
              <w:rPr>
                <w:sz w:val="14"/>
              </w:rPr>
              <w:t>Software</w:t>
            </w:r>
          </w:p>
        </w:tc>
        <w:tc>
          <w:tcPr>
            <w:tcW w:w="1228" w:type="dxa"/>
            <w:tcMar>
              <w:top w:w="70" w:type="dxa"/>
              <w:left w:w="80" w:type="dxa"/>
              <w:bottom w:w="70" w:type="dxa"/>
              <w:right w:w="80" w:type="dxa"/>
            </w:tcMar>
            <w:vAlign w:val="center"/>
          </w:tcPr>
          <w:p w14:paraId="04229CEF" w14:textId="77777777" w:rsidR="00846FAB" w:rsidRDefault="00000000">
            <w:r>
              <w:rPr>
                <w:sz w:val="14"/>
              </w:rPr>
              <w:t>Operator / lifecycle</w:t>
            </w:r>
          </w:p>
        </w:tc>
        <w:tc>
          <w:tcPr>
            <w:tcW w:w="604" w:type="dxa"/>
            <w:tcMar>
              <w:top w:w="70" w:type="dxa"/>
              <w:left w:w="80" w:type="dxa"/>
              <w:bottom w:w="70" w:type="dxa"/>
              <w:right w:w="80" w:type="dxa"/>
            </w:tcMar>
            <w:vAlign w:val="center"/>
          </w:tcPr>
          <w:p w14:paraId="3EEB2669" w14:textId="77777777" w:rsidR="00846FAB" w:rsidRDefault="00000000">
            <w:r>
              <w:rPr>
                <w:sz w:val="14"/>
              </w:rPr>
              <w:t>N</w:t>
            </w:r>
          </w:p>
        </w:tc>
        <w:tc>
          <w:tcPr>
            <w:tcW w:w="3096" w:type="dxa"/>
            <w:tcMar>
              <w:top w:w="70" w:type="dxa"/>
              <w:left w:w="80" w:type="dxa"/>
              <w:bottom w:w="70" w:type="dxa"/>
              <w:right w:w="80" w:type="dxa"/>
            </w:tcMar>
            <w:vAlign w:val="center"/>
          </w:tcPr>
          <w:p w14:paraId="5E2D5CB7" w14:textId="77777777" w:rsidR="00846FAB" w:rsidRDefault="00000000">
            <w:r>
              <w:rPr>
                <w:sz w:val="14"/>
              </w:rPr>
              <w:t>Stage complete ExpertPacks, publish readiness only for a complete generation, drain/update/rollback/recover and fail closed on missing experts.</w:t>
            </w:r>
          </w:p>
        </w:tc>
        <w:tc>
          <w:tcPr>
            <w:tcW w:w="2951" w:type="dxa"/>
            <w:tcMar>
              <w:top w:w="70" w:type="dxa"/>
              <w:left w:w="80" w:type="dxa"/>
              <w:bottom w:w="70" w:type="dxa"/>
              <w:right w:w="80" w:type="dxa"/>
            </w:tcMar>
            <w:vAlign w:val="center"/>
          </w:tcPr>
          <w:p w14:paraId="0D4AB8C4" w14:textId="77777777" w:rsidR="00846FAB" w:rsidRDefault="00000000">
            <w:r>
              <w:rPr>
                <w:sz w:val="14"/>
              </w:rPr>
              <w:t>Common lifecycle contract; package separately for supported distro/CPU architecture.</w:t>
            </w:r>
          </w:p>
        </w:tc>
        <w:tc>
          <w:tcPr>
            <w:tcW w:w="1224" w:type="dxa"/>
            <w:vAlign w:val="center"/>
          </w:tcPr>
          <w:p w14:paraId="069EFA58" w14:textId="77777777" w:rsidR="00846FAB" w:rsidRDefault="00000000">
            <w:r>
              <w:rPr>
                <w:sz w:val="14"/>
              </w:rPr>
              <w:t>SRE/release</w:t>
            </w:r>
          </w:p>
        </w:tc>
      </w:tr>
      <w:tr w:rsidR="0085422C" w14:paraId="3A54C79A" w14:textId="77777777" w:rsidTr="002451E4">
        <w:trPr>
          <w:cantSplit/>
          <w:jc w:val="center"/>
        </w:trPr>
        <w:tc>
          <w:tcPr>
            <w:tcW w:w="1004" w:type="dxa"/>
            <w:shd w:val="clear" w:color="auto" w:fill="F3F6F8"/>
            <w:tcMar>
              <w:top w:w="70" w:type="dxa"/>
              <w:left w:w="80" w:type="dxa"/>
              <w:bottom w:w="70" w:type="dxa"/>
              <w:right w:w="80" w:type="dxa"/>
            </w:tcMar>
            <w:vAlign w:val="center"/>
          </w:tcPr>
          <w:p w14:paraId="612BB8A3" w14:textId="77777777" w:rsidR="00846FAB" w:rsidRDefault="00000000">
            <w:r>
              <w:rPr>
                <w:sz w:val="14"/>
              </w:rPr>
              <w:t>Software</w:t>
            </w:r>
          </w:p>
        </w:tc>
        <w:tc>
          <w:tcPr>
            <w:tcW w:w="1228" w:type="dxa"/>
            <w:shd w:val="clear" w:color="auto" w:fill="F3F6F8"/>
            <w:tcMar>
              <w:top w:w="70" w:type="dxa"/>
              <w:left w:w="80" w:type="dxa"/>
              <w:bottom w:w="70" w:type="dxa"/>
              <w:right w:w="80" w:type="dxa"/>
            </w:tcMar>
            <w:vAlign w:val="center"/>
          </w:tcPr>
          <w:p w14:paraId="65573B60" w14:textId="77777777" w:rsidR="00846FAB" w:rsidRDefault="00000000">
            <w:r>
              <w:rPr>
                <w:sz w:val="14"/>
              </w:rPr>
              <w:t>Telemetry / evidence</w:t>
            </w:r>
          </w:p>
        </w:tc>
        <w:tc>
          <w:tcPr>
            <w:tcW w:w="604" w:type="dxa"/>
            <w:shd w:val="clear" w:color="auto" w:fill="F3F6F8"/>
            <w:tcMar>
              <w:top w:w="70" w:type="dxa"/>
              <w:left w:w="80" w:type="dxa"/>
              <w:bottom w:w="70" w:type="dxa"/>
              <w:right w:w="80" w:type="dxa"/>
            </w:tcMar>
            <w:vAlign w:val="center"/>
          </w:tcPr>
          <w:p w14:paraId="5E8DBCDF" w14:textId="77777777" w:rsidR="00846FAB" w:rsidRDefault="00000000">
            <w:r>
              <w:rPr>
                <w:sz w:val="14"/>
              </w:rPr>
              <w:t>N</w:t>
            </w:r>
          </w:p>
        </w:tc>
        <w:tc>
          <w:tcPr>
            <w:tcW w:w="3096" w:type="dxa"/>
            <w:shd w:val="clear" w:color="auto" w:fill="F3F6F8"/>
            <w:tcMar>
              <w:top w:w="70" w:type="dxa"/>
              <w:left w:w="80" w:type="dxa"/>
              <w:bottom w:w="70" w:type="dxa"/>
              <w:right w:w="80" w:type="dxa"/>
            </w:tcMar>
            <w:vAlign w:val="center"/>
          </w:tcPr>
          <w:p w14:paraId="7E939F88" w14:textId="77777777" w:rsidR="00846FAB" w:rsidRDefault="00000000">
            <w:r>
              <w:rPr>
                <w:sz w:val="14"/>
              </w:rPr>
              <w:t>Correlate request/layer/token IDs across GPU, transport and NPU; expose queue time, bytes, errors, TTFT/TPOT and accepted throughput.</w:t>
            </w:r>
          </w:p>
        </w:tc>
        <w:tc>
          <w:tcPr>
            <w:tcW w:w="2951" w:type="dxa"/>
            <w:shd w:val="clear" w:color="auto" w:fill="F3F6F8"/>
            <w:tcMar>
              <w:top w:w="70" w:type="dxa"/>
              <w:left w:w="80" w:type="dxa"/>
              <w:bottom w:w="70" w:type="dxa"/>
              <w:right w:w="80" w:type="dxa"/>
            </w:tcMar>
            <w:vAlign w:val="center"/>
          </w:tcPr>
          <w:p w14:paraId="005C3386" w14:textId="77777777" w:rsidR="00846FAB" w:rsidRDefault="00000000">
            <w:r>
              <w:rPr>
                <w:sz w:val="14"/>
              </w:rPr>
              <w:t>Common schema so RTX, NVL and Helios results can be compared without changing definitions.</w:t>
            </w:r>
          </w:p>
        </w:tc>
        <w:tc>
          <w:tcPr>
            <w:tcW w:w="1224" w:type="dxa"/>
            <w:shd w:val="clear" w:color="auto" w:fill="F3F6F8"/>
            <w:vAlign w:val="center"/>
          </w:tcPr>
          <w:p w14:paraId="6C314C9B" w14:textId="77777777" w:rsidR="00846FAB" w:rsidRDefault="00000000">
            <w:r>
              <w:rPr>
                <w:sz w:val="14"/>
              </w:rPr>
              <w:t>Perf/validation</w:t>
            </w:r>
          </w:p>
        </w:tc>
      </w:tr>
      <w:tr w:rsidR="0085422C" w14:paraId="03F8E51D" w14:textId="77777777" w:rsidTr="002451E4">
        <w:trPr>
          <w:cantSplit/>
          <w:jc w:val="center"/>
        </w:trPr>
        <w:tc>
          <w:tcPr>
            <w:tcW w:w="1004" w:type="dxa"/>
            <w:tcMar>
              <w:top w:w="70" w:type="dxa"/>
              <w:left w:w="80" w:type="dxa"/>
              <w:bottom w:w="70" w:type="dxa"/>
              <w:right w:w="80" w:type="dxa"/>
            </w:tcMar>
            <w:vAlign w:val="center"/>
          </w:tcPr>
          <w:p w14:paraId="617A3962" w14:textId="77777777" w:rsidR="00846FAB" w:rsidRDefault="00000000">
            <w:r>
              <w:rPr>
                <w:sz w:val="14"/>
              </w:rPr>
              <w:t>Hardware</w:t>
            </w:r>
          </w:p>
        </w:tc>
        <w:tc>
          <w:tcPr>
            <w:tcW w:w="1228" w:type="dxa"/>
            <w:tcMar>
              <w:top w:w="70" w:type="dxa"/>
              <w:left w:w="80" w:type="dxa"/>
              <w:bottom w:w="70" w:type="dxa"/>
              <w:right w:w="80" w:type="dxa"/>
            </w:tcMar>
            <w:vAlign w:val="center"/>
          </w:tcPr>
          <w:p w14:paraId="28F847A9" w14:textId="77777777" w:rsidR="00846FAB" w:rsidRDefault="00000000">
            <w:r>
              <w:rPr>
                <w:sz w:val="14"/>
              </w:rPr>
              <w:t>ATMOS NPU + HBF/LPDDR path</w:t>
            </w:r>
          </w:p>
        </w:tc>
        <w:tc>
          <w:tcPr>
            <w:tcW w:w="604" w:type="dxa"/>
            <w:tcMar>
              <w:top w:w="70" w:type="dxa"/>
              <w:left w:w="80" w:type="dxa"/>
              <w:bottom w:w="70" w:type="dxa"/>
              <w:right w:w="80" w:type="dxa"/>
            </w:tcMar>
            <w:vAlign w:val="center"/>
          </w:tcPr>
          <w:p w14:paraId="57E1D6D0" w14:textId="77777777" w:rsidR="00846FAB" w:rsidRDefault="00000000">
            <w:r>
              <w:rPr>
                <w:sz w:val="14"/>
              </w:rPr>
              <w:t>V/M</w:t>
            </w:r>
          </w:p>
        </w:tc>
        <w:tc>
          <w:tcPr>
            <w:tcW w:w="3096" w:type="dxa"/>
            <w:tcMar>
              <w:top w:w="70" w:type="dxa"/>
              <w:left w:w="80" w:type="dxa"/>
              <w:bottom w:w="70" w:type="dxa"/>
              <w:right w:w="80" w:type="dxa"/>
            </w:tcMar>
            <w:vAlign w:val="center"/>
          </w:tcPr>
          <w:p w14:paraId="0DFAE127" w14:textId="77777777" w:rsidR="00846FAB" w:rsidRDefault="00000000">
            <w:r>
              <w:rPr>
                <w:sz w:val="14"/>
              </w:rPr>
              <w:t>Qualify exact routed-FFN shapes, precision, useful HBF delivery, LPDDR contention, tile/ring buffers, thermals and small-batch behavior.</w:t>
            </w:r>
          </w:p>
        </w:tc>
        <w:tc>
          <w:tcPr>
            <w:tcW w:w="2951" w:type="dxa"/>
            <w:tcMar>
              <w:top w:w="70" w:type="dxa"/>
              <w:left w:w="80" w:type="dxa"/>
              <w:bottom w:w="70" w:type="dxa"/>
              <w:right w:w="80" w:type="dxa"/>
            </w:tcMar>
            <w:vAlign w:val="center"/>
          </w:tcPr>
          <w:p w14:paraId="6C9C44BF" w14:textId="77777777" w:rsidR="00846FAB" w:rsidRDefault="00000000">
            <w:r>
              <w:rPr>
                <w:sz w:val="14"/>
              </w:rPr>
              <w:t>Independent of GPU vendor; service curve must be re-tested under each host/rack traffic pattern.</w:t>
            </w:r>
          </w:p>
        </w:tc>
        <w:tc>
          <w:tcPr>
            <w:tcW w:w="1224" w:type="dxa"/>
            <w:vAlign w:val="center"/>
          </w:tcPr>
          <w:p w14:paraId="42063A57" w14:textId="77777777" w:rsidR="00846FAB" w:rsidRDefault="00000000">
            <w:r>
              <w:rPr>
                <w:sz w:val="14"/>
              </w:rPr>
              <w:t>NPU + memory</w:t>
            </w:r>
          </w:p>
        </w:tc>
      </w:tr>
      <w:tr w:rsidR="0085422C" w14:paraId="1764F3D7" w14:textId="77777777" w:rsidTr="002451E4">
        <w:trPr>
          <w:cantSplit/>
          <w:jc w:val="center"/>
        </w:trPr>
        <w:tc>
          <w:tcPr>
            <w:tcW w:w="1004" w:type="dxa"/>
            <w:shd w:val="clear" w:color="auto" w:fill="F3F6F8"/>
            <w:tcMar>
              <w:top w:w="70" w:type="dxa"/>
              <w:left w:w="80" w:type="dxa"/>
              <w:bottom w:w="70" w:type="dxa"/>
              <w:right w:w="80" w:type="dxa"/>
            </w:tcMar>
            <w:vAlign w:val="center"/>
          </w:tcPr>
          <w:p w14:paraId="7E7A4447"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339A4138" w14:textId="77777777" w:rsidR="00846FAB" w:rsidRDefault="00000000">
            <w:r>
              <w:rPr>
                <w:sz w:val="14"/>
              </w:rPr>
              <w:t>PCIe endpoint / DMA</w:t>
            </w:r>
          </w:p>
        </w:tc>
        <w:tc>
          <w:tcPr>
            <w:tcW w:w="604" w:type="dxa"/>
            <w:shd w:val="clear" w:color="auto" w:fill="F3F6F8"/>
            <w:tcMar>
              <w:top w:w="70" w:type="dxa"/>
              <w:left w:w="80" w:type="dxa"/>
              <w:bottom w:w="70" w:type="dxa"/>
              <w:right w:w="80" w:type="dxa"/>
            </w:tcMar>
            <w:vAlign w:val="center"/>
          </w:tcPr>
          <w:p w14:paraId="3FC4CAB3" w14:textId="77777777" w:rsidR="00846FAB" w:rsidRDefault="00000000">
            <w:r>
              <w:rPr>
                <w:sz w:val="14"/>
              </w:rPr>
              <w:t>V/M</w:t>
            </w:r>
          </w:p>
        </w:tc>
        <w:tc>
          <w:tcPr>
            <w:tcW w:w="3096" w:type="dxa"/>
            <w:shd w:val="clear" w:color="auto" w:fill="F3F6F8"/>
            <w:tcMar>
              <w:top w:w="70" w:type="dxa"/>
              <w:left w:w="80" w:type="dxa"/>
              <w:bottom w:w="70" w:type="dxa"/>
              <w:right w:w="80" w:type="dxa"/>
            </w:tcMar>
            <w:vAlign w:val="center"/>
          </w:tcPr>
          <w:p w14:paraId="7BA10832" w14:textId="77777777" w:rsidR="00846FAB" w:rsidRDefault="00000000">
            <w:r>
              <w:rPr>
                <w:sz w:val="14"/>
              </w:rPr>
              <w:t>Fix endpoint generation, address widths, MSI-X, registered buffers, DMA descriptors, ordering, completions and errors.</w:t>
            </w:r>
          </w:p>
        </w:tc>
        <w:tc>
          <w:tcPr>
            <w:tcW w:w="2951" w:type="dxa"/>
            <w:shd w:val="clear" w:color="auto" w:fill="F3F6F8"/>
            <w:tcMar>
              <w:top w:w="70" w:type="dxa"/>
              <w:left w:w="80" w:type="dxa"/>
              <w:bottom w:w="70" w:type="dxa"/>
              <w:right w:w="80" w:type="dxa"/>
            </w:tcMar>
            <w:vAlign w:val="center"/>
          </w:tcPr>
          <w:p w14:paraId="6BC457D4" w14:textId="77777777" w:rsidR="00846FAB" w:rsidRDefault="00000000">
            <w:r>
              <w:rPr>
                <w:sz w:val="14"/>
              </w:rPr>
              <w:t>Same endpoint contract; platform-specific root/IOMMU and host architecture are requalified.</w:t>
            </w:r>
          </w:p>
        </w:tc>
        <w:tc>
          <w:tcPr>
            <w:tcW w:w="1224" w:type="dxa"/>
            <w:shd w:val="clear" w:color="auto" w:fill="F3F6F8"/>
            <w:vAlign w:val="center"/>
          </w:tcPr>
          <w:p w14:paraId="666A4EFB" w14:textId="77777777" w:rsidR="00846FAB" w:rsidRDefault="00000000">
            <w:r>
              <w:rPr>
                <w:sz w:val="14"/>
              </w:rPr>
              <w:t>Silicon/FW</w:t>
            </w:r>
          </w:p>
        </w:tc>
      </w:tr>
      <w:tr w:rsidR="0085422C" w14:paraId="297828F5" w14:textId="77777777" w:rsidTr="002451E4">
        <w:trPr>
          <w:cantSplit/>
          <w:jc w:val="center"/>
        </w:trPr>
        <w:tc>
          <w:tcPr>
            <w:tcW w:w="1004" w:type="dxa"/>
            <w:tcMar>
              <w:top w:w="70" w:type="dxa"/>
              <w:left w:w="80" w:type="dxa"/>
              <w:bottom w:w="70" w:type="dxa"/>
              <w:right w:w="80" w:type="dxa"/>
            </w:tcMar>
            <w:vAlign w:val="center"/>
          </w:tcPr>
          <w:p w14:paraId="16EB2DDD" w14:textId="77777777" w:rsidR="00846FAB" w:rsidRDefault="00000000">
            <w:r>
              <w:rPr>
                <w:sz w:val="14"/>
              </w:rPr>
              <w:t>Hardware</w:t>
            </w:r>
          </w:p>
        </w:tc>
        <w:tc>
          <w:tcPr>
            <w:tcW w:w="1228" w:type="dxa"/>
            <w:tcMar>
              <w:top w:w="70" w:type="dxa"/>
              <w:left w:w="80" w:type="dxa"/>
              <w:bottom w:w="70" w:type="dxa"/>
              <w:right w:w="80" w:type="dxa"/>
            </w:tcMar>
            <w:vAlign w:val="center"/>
          </w:tcPr>
          <w:p w14:paraId="574B37F2" w14:textId="77777777" w:rsidR="00846FAB" w:rsidRDefault="00000000">
            <w:r>
              <w:rPr>
                <w:sz w:val="14"/>
              </w:rPr>
              <w:t>GPU-to-ATMOS transport</w:t>
            </w:r>
          </w:p>
        </w:tc>
        <w:tc>
          <w:tcPr>
            <w:tcW w:w="604" w:type="dxa"/>
            <w:tcMar>
              <w:top w:w="70" w:type="dxa"/>
              <w:left w:w="80" w:type="dxa"/>
              <w:bottom w:w="70" w:type="dxa"/>
              <w:right w:w="80" w:type="dxa"/>
            </w:tcMar>
            <w:vAlign w:val="center"/>
          </w:tcPr>
          <w:p w14:paraId="7BAE35BF" w14:textId="77777777" w:rsidR="00846FAB" w:rsidRDefault="00000000">
            <w:r>
              <w:rPr>
                <w:sz w:val="14"/>
              </w:rPr>
              <w:t>V/M</w:t>
            </w:r>
          </w:p>
        </w:tc>
        <w:tc>
          <w:tcPr>
            <w:tcW w:w="3096" w:type="dxa"/>
            <w:tcMar>
              <w:top w:w="70" w:type="dxa"/>
              <w:left w:w="80" w:type="dxa"/>
              <w:bottom w:w="70" w:type="dxa"/>
              <w:right w:w="80" w:type="dxa"/>
            </w:tcMar>
            <w:vAlign w:val="center"/>
          </w:tcPr>
          <w:p w14:paraId="6550E3BC" w14:textId="77777777" w:rsidR="00846FAB" w:rsidRDefault="00000000">
            <w:r>
              <w:rPr>
                <w:sz w:val="14"/>
              </w:rPr>
              <w:t>Host-staged pinned-memory path is the required baseline. Direct GPU-memory peer DMA is optional only through documented interfaces.</w:t>
            </w:r>
          </w:p>
        </w:tc>
        <w:tc>
          <w:tcPr>
            <w:tcW w:w="2951" w:type="dxa"/>
            <w:tcMar>
              <w:top w:w="70" w:type="dxa"/>
              <w:left w:w="80" w:type="dxa"/>
              <w:bottom w:w="70" w:type="dxa"/>
              <w:right w:w="80" w:type="dxa"/>
            </w:tcMar>
            <w:vAlign w:val="center"/>
          </w:tcPr>
          <w:p w14:paraId="6B3D8D2B" w14:textId="77777777" w:rsidR="00846FAB" w:rsidRDefault="00000000">
            <w:r>
              <w:rPr>
                <w:sz w:val="14"/>
              </w:rPr>
              <w:t>NVIDIA: public supported CUDA/driver path only.</w:t>
            </w:r>
            <w:r>
              <w:rPr>
                <w:sz w:val="14"/>
              </w:rPr>
              <w:br/>
              <w:t>AMD: public/open ROCm/HIP/amdgpu path only. No proprietary patch dependency.</w:t>
            </w:r>
          </w:p>
        </w:tc>
        <w:tc>
          <w:tcPr>
            <w:tcW w:w="1224" w:type="dxa"/>
            <w:vAlign w:val="center"/>
          </w:tcPr>
          <w:p w14:paraId="335D9DB6" w14:textId="77777777" w:rsidR="00846FAB" w:rsidRDefault="00000000">
            <w:r>
              <w:rPr>
                <w:sz w:val="14"/>
              </w:rPr>
              <w:t>Sandisk + OEM</w:t>
            </w:r>
          </w:p>
        </w:tc>
      </w:tr>
      <w:tr w:rsidR="0085422C" w14:paraId="7E27028C" w14:textId="77777777" w:rsidTr="002451E4">
        <w:trPr>
          <w:cantSplit/>
          <w:jc w:val="center"/>
        </w:trPr>
        <w:tc>
          <w:tcPr>
            <w:tcW w:w="1004" w:type="dxa"/>
            <w:shd w:val="clear" w:color="auto" w:fill="F3F6F8"/>
            <w:tcMar>
              <w:top w:w="70" w:type="dxa"/>
              <w:left w:w="80" w:type="dxa"/>
              <w:bottom w:w="70" w:type="dxa"/>
              <w:right w:w="80" w:type="dxa"/>
            </w:tcMar>
            <w:vAlign w:val="center"/>
          </w:tcPr>
          <w:p w14:paraId="01C810AE"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7334963C" w14:textId="77777777" w:rsidR="00846FAB" w:rsidRDefault="00000000">
            <w:r>
              <w:rPr>
                <w:sz w:val="14"/>
              </w:rPr>
              <w:t>Native GPU scale-up fabric</w:t>
            </w:r>
          </w:p>
        </w:tc>
        <w:tc>
          <w:tcPr>
            <w:tcW w:w="604" w:type="dxa"/>
            <w:shd w:val="clear" w:color="auto" w:fill="F3F6F8"/>
            <w:tcMar>
              <w:top w:w="70" w:type="dxa"/>
              <w:left w:w="80" w:type="dxa"/>
              <w:bottom w:w="70" w:type="dxa"/>
              <w:right w:w="80" w:type="dxa"/>
            </w:tcMar>
            <w:vAlign w:val="center"/>
          </w:tcPr>
          <w:p w14:paraId="43747063" w14:textId="77777777" w:rsidR="00846FAB" w:rsidRDefault="00000000">
            <w:r>
              <w:rPr>
                <w:sz w:val="14"/>
              </w:rPr>
              <w:t>V</w:t>
            </w:r>
          </w:p>
        </w:tc>
        <w:tc>
          <w:tcPr>
            <w:tcW w:w="3096" w:type="dxa"/>
            <w:shd w:val="clear" w:color="auto" w:fill="F3F6F8"/>
            <w:tcMar>
              <w:top w:w="70" w:type="dxa"/>
              <w:left w:w="80" w:type="dxa"/>
              <w:bottom w:w="70" w:type="dxa"/>
              <w:right w:w="80" w:type="dxa"/>
            </w:tcMar>
            <w:vAlign w:val="center"/>
          </w:tcPr>
          <w:p w14:paraId="650868A5" w14:textId="77777777" w:rsidR="00846FAB" w:rsidRDefault="00000000">
            <w:r>
              <w:rPr>
                <w:sz w:val="14"/>
              </w:rPr>
              <w:t>Preserve the rack GPU fabric; ATMOS does not masquerade as a native GPU-fabric endpoint.</w:t>
            </w:r>
          </w:p>
        </w:tc>
        <w:tc>
          <w:tcPr>
            <w:tcW w:w="2951" w:type="dxa"/>
            <w:shd w:val="clear" w:color="auto" w:fill="F3F6F8"/>
            <w:tcMar>
              <w:top w:w="70" w:type="dxa"/>
              <w:left w:w="80" w:type="dxa"/>
              <w:bottom w:w="70" w:type="dxa"/>
              <w:right w:w="80" w:type="dxa"/>
            </w:tcMar>
            <w:vAlign w:val="center"/>
          </w:tcPr>
          <w:p w14:paraId="0EA36440" w14:textId="77777777" w:rsidR="00846FAB" w:rsidRDefault="00000000">
            <w:r>
              <w:rPr>
                <w:sz w:val="14"/>
              </w:rPr>
              <w:t>NVIDIA: do not modify NVLink/NVSwitch domain.</w:t>
            </w:r>
            <w:r>
              <w:rPr>
                <w:sz w:val="14"/>
              </w:rPr>
              <w:br/>
              <w:t>AMD: do not modify UALink domain.</w:t>
            </w:r>
          </w:p>
        </w:tc>
        <w:tc>
          <w:tcPr>
            <w:tcW w:w="1224" w:type="dxa"/>
            <w:shd w:val="clear" w:color="auto" w:fill="F3F6F8"/>
            <w:vAlign w:val="center"/>
          </w:tcPr>
          <w:p w14:paraId="2D49AAB7" w14:textId="77777777" w:rsidR="00846FAB" w:rsidRDefault="00000000">
            <w:r>
              <w:rPr>
                <w:sz w:val="14"/>
              </w:rPr>
              <w:t>OEM/platform</w:t>
            </w:r>
          </w:p>
        </w:tc>
      </w:tr>
      <w:tr w:rsidR="0085422C" w14:paraId="401DA61C" w14:textId="77777777" w:rsidTr="002451E4">
        <w:trPr>
          <w:cantSplit/>
          <w:jc w:val="center"/>
        </w:trPr>
        <w:tc>
          <w:tcPr>
            <w:tcW w:w="1004" w:type="dxa"/>
            <w:tcMar>
              <w:top w:w="70" w:type="dxa"/>
              <w:left w:w="80" w:type="dxa"/>
              <w:bottom w:w="70" w:type="dxa"/>
              <w:right w:w="80" w:type="dxa"/>
            </w:tcMar>
            <w:vAlign w:val="center"/>
          </w:tcPr>
          <w:p w14:paraId="3999AD6B" w14:textId="77777777" w:rsidR="00846FAB" w:rsidRDefault="00000000">
            <w:r>
              <w:rPr>
                <w:sz w:val="14"/>
              </w:rPr>
              <w:t>Hardware</w:t>
            </w:r>
          </w:p>
        </w:tc>
        <w:tc>
          <w:tcPr>
            <w:tcW w:w="1228" w:type="dxa"/>
            <w:tcMar>
              <w:top w:w="70" w:type="dxa"/>
              <w:left w:w="80" w:type="dxa"/>
              <w:bottom w:w="70" w:type="dxa"/>
              <w:right w:w="80" w:type="dxa"/>
            </w:tcMar>
            <w:vAlign w:val="center"/>
          </w:tcPr>
          <w:p w14:paraId="579EC5C0" w14:textId="77777777" w:rsidR="00846FAB" w:rsidRDefault="00000000">
            <w:r>
              <w:rPr>
                <w:sz w:val="14"/>
              </w:rPr>
              <w:t>Switch / backplane</w:t>
            </w:r>
          </w:p>
        </w:tc>
        <w:tc>
          <w:tcPr>
            <w:tcW w:w="604" w:type="dxa"/>
            <w:tcMar>
              <w:top w:w="70" w:type="dxa"/>
              <w:left w:w="80" w:type="dxa"/>
              <w:bottom w:w="70" w:type="dxa"/>
              <w:right w:w="80" w:type="dxa"/>
            </w:tcMar>
            <w:vAlign w:val="center"/>
          </w:tcPr>
          <w:p w14:paraId="01153577" w14:textId="77777777" w:rsidR="00846FAB" w:rsidRDefault="00000000">
            <w:r>
              <w:rPr>
                <w:sz w:val="14"/>
              </w:rPr>
              <w:t>V/M</w:t>
            </w:r>
          </w:p>
        </w:tc>
        <w:tc>
          <w:tcPr>
            <w:tcW w:w="3096" w:type="dxa"/>
            <w:tcMar>
              <w:top w:w="70" w:type="dxa"/>
              <w:left w:w="80" w:type="dxa"/>
              <w:bottom w:w="70" w:type="dxa"/>
              <w:right w:w="80" w:type="dxa"/>
            </w:tcMar>
            <w:vAlign w:val="center"/>
          </w:tcPr>
          <w:p w14:paraId="25B0BA20" w14:textId="77777777" w:rsidR="00846FAB" w:rsidRDefault="00000000">
            <w:r>
              <w:rPr>
                <w:sz w:val="14"/>
              </w:rPr>
              <w:t>Qualify selected Gen5 switch, x16+8×x4 map, cables/retimers, ACS/IOMMU/DPC, diagnostics and reset containment.</w:t>
            </w:r>
          </w:p>
        </w:tc>
        <w:tc>
          <w:tcPr>
            <w:tcW w:w="2951" w:type="dxa"/>
            <w:tcMar>
              <w:top w:w="70" w:type="dxa"/>
              <w:left w:w="80" w:type="dxa"/>
              <w:bottom w:w="70" w:type="dxa"/>
              <w:right w:w="80" w:type="dxa"/>
            </w:tcMar>
            <w:vAlign w:val="center"/>
          </w:tcPr>
          <w:p w14:paraId="07E11155" w14:textId="77777777" w:rsidR="00846FAB" w:rsidRDefault="00000000">
            <w:r>
              <w:rPr>
                <w:sz w:val="14"/>
              </w:rPr>
              <w:t>Common ATMOS subsystem; exact upstream/root connection is different on RTX, NVL and Helios.</w:t>
            </w:r>
          </w:p>
        </w:tc>
        <w:tc>
          <w:tcPr>
            <w:tcW w:w="1224" w:type="dxa"/>
            <w:vAlign w:val="center"/>
          </w:tcPr>
          <w:p w14:paraId="60628F3B" w14:textId="77777777" w:rsidR="00846FAB" w:rsidRDefault="00000000">
            <w:r>
              <w:rPr>
                <w:sz w:val="14"/>
              </w:rPr>
              <w:t>OEM + switch FAE</w:t>
            </w:r>
          </w:p>
        </w:tc>
      </w:tr>
      <w:tr w:rsidR="0085422C" w14:paraId="479AADD7" w14:textId="77777777" w:rsidTr="002451E4">
        <w:trPr>
          <w:cantSplit/>
          <w:jc w:val="center"/>
        </w:trPr>
        <w:tc>
          <w:tcPr>
            <w:tcW w:w="1004" w:type="dxa"/>
            <w:shd w:val="clear" w:color="auto" w:fill="F3F6F8"/>
            <w:tcMar>
              <w:top w:w="70" w:type="dxa"/>
              <w:left w:w="80" w:type="dxa"/>
              <w:bottom w:w="70" w:type="dxa"/>
              <w:right w:w="80" w:type="dxa"/>
            </w:tcMar>
            <w:vAlign w:val="center"/>
          </w:tcPr>
          <w:p w14:paraId="4C7A4FF8" w14:textId="77777777" w:rsidR="00846FAB" w:rsidRDefault="00000000">
            <w:r>
              <w:rPr>
                <w:sz w:val="14"/>
              </w:rPr>
              <w:t>Hardware</w:t>
            </w:r>
          </w:p>
        </w:tc>
        <w:tc>
          <w:tcPr>
            <w:tcW w:w="1228" w:type="dxa"/>
            <w:shd w:val="clear" w:color="auto" w:fill="F3F6F8"/>
            <w:tcMar>
              <w:top w:w="70" w:type="dxa"/>
              <w:left w:w="80" w:type="dxa"/>
              <w:bottom w:w="70" w:type="dxa"/>
              <w:right w:w="80" w:type="dxa"/>
            </w:tcMar>
            <w:vAlign w:val="center"/>
          </w:tcPr>
          <w:p w14:paraId="0B5AC818" w14:textId="77777777" w:rsidR="00846FAB" w:rsidRDefault="00000000">
            <w:r>
              <w:rPr>
                <w:sz w:val="14"/>
              </w:rPr>
              <w:t>Server / rack envelope</w:t>
            </w:r>
          </w:p>
        </w:tc>
        <w:tc>
          <w:tcPr>
            <w:tcW w:w="604" w:type="dxa"/>
            <w:shd w:val="clear" w:color="auto" w:fill="F3F6F8"/>
            <w:tcMar>
              <w:top w:w="70" w:type="dxa"/>
              <w:left w:w="80" w:type="dxa"/>
              <w:bottom w:w="70" w:type="dxa"/>
              <w:right w:w="80" w:type="dxa"/>
            </w:tcMar>
            <w:vAlign w:val="center"/>
          </w:tcPr>
          <w:p w14:paraId="34BB02E2" w14:textId="77777777" w:rsidR="00846FAB" w:rsidRDefault="00000000">
            <w:r>
              <w:rPr>
                <w:sz w:val="14"/>
              </w:rPr>
              <w:t>V/M</w:t>
            </w:r>
          </w:p>
        </w:tc>
        <w:tc>
          <w:tcPr>
            <w:tcW w:w="3096" w:type="dxa"/>
            <w:shd w:val="clear" w:color="auto" w:fill="F3F6F8"/>
            <w:tcMar>
              <w:top w:w="70" w:type="dxa"/>
              <w:left w:w="80" w:type="dxa"/>
              <w:bottom w:w="70" w:type="dxa"/>
              <w:right w:w="80" w:type="dxa"/>
            </w:tcMar>
            <w:vAlign w:val="center"/>
          </w:tcPr>
          <w:p w14:paraId="056A5A7E" w14:textId="77777777" w:rsidR="00846FAB" w:rsidRDefault="00000000">
            <w:r>
              <w:rPr>
                <w:sz w:val="14"/>
              </w:rPr>
              <w:t>Preserve GPU/NIC service, account for displaced storage, mixed-load power, cooling, BMC telemetry, serviceability and failure coupling.</w:t>
            </w:r>
          </w:p>
        </w:tc>
        <w:tc>
          <w:tcPr>
            <w:tcW w:w="2951" w:type="dxa"/>
            <w:shd w:val="clear" w:color="auto" w:fill="F3F6F8"/>
            <w:tcMar>
              <w:top w:w="70" w:type="dxa"/>
              <w:left w:w="80" w:type="dxa"/>
              <w:bottom w:w="70" w:type="dxa"/>
              <w:right w:w="80" w:type="dxa"/>
            </w:tcMar>
            <w:vAlign w:val="center"/>
          </w:tcPr>
          <w:p w14:paraId="5C1E44B3" w14:textId="77777777" w:rsidR="00846FAB" w:rsidRDefault="00000000">
            <w:r>
              <w:rPr>
                <w:sz w:val="14"/>
              </w:rPr>
              <w:t>NVIDIA: NVL OEM/Grace/Vera host path.</w:t>
            </w:r>
            <w:r>
              <w:rPr>
                <w:sz w:val="14"/>
              </w:rPr>
              <w:br/>
              <w:t>AMD: Helios ORW/EPYC Venice/OEM path.</w:t>
            </w:r>
          </w:p>
        </w:tc>
        <w:tc>
          <w:tcPr>
            <w:tcW w:w="1224" w:type="dxa"/>
            <w:shd w:val="clear" w:color="auto" w:fill="F3F6F8"/>
            <w:vAlign w:val="center"/>
          </w:tcPr>
          <w:p w14:paraId="103E7852" w14:textId="77777777" w:rsidR="00846FAB" w:rsidRDefault="00000000">
            <w:r>
              <w:rPr>
                <w:sz w:val="14"/>
              </w:rPr>
              <w:t>OEM engineering</w:t>
            </w:r>
          </w:p>
        </w:tc>
      </w:tr>
      <w:tr w:rsidR="0085422C" w14:paraId="0E0D4087" w14:textId="77777777" w:rsidTr="002451E4">
        <w:trPr>
          <w:cantSplit/>
          <w:jc w:val="center"/>
        </w:trPr>
        <w:tc>
          <w:tcPr>
            <w:tcW w:w="1004" w:type="dxa"/>
            <w:tcMar>
              <w:top w:w="70" w:type="dxa"/>
              <w:left w:w="80" w:type="dxa"/>
              <w:bottom w:w="70" w:type="dxa"/>
              <w:right w:w="80" w:type="dxa"/>
            </w:tcMar>
            <w:vAlign w:val="center"/>
          </w:tcPr>
          <w:p w14:paraId="140BF8F6" w14:textId="77777777" w:rsidR="00846FAB" w:rsidRDefault="00000000">
            <w:r>
              <w:rPr>
                <w:sz w:val="14"/>
              </w:rPr>
              <w:t>Product</w:t>
            </w:r>
          </w:p>
        </w:tc>
        <w:tc>
          <w:tcPr>
            <w:tcW w:w="1228" w:type="dxa"/>
            <w:tcMar>
              <w:top w:w="70" w:type="dxa"/>
              <w:left w:w="80" w:type="dxa"/>
              <w:bottom w:w="70" w:type="dxa"/>
              <w:right w:w="80" w:type="dxa"/>
            </w:tcMar>
            <w:vAlign w:val="center"/>
          </w:tcPr>
          <w:p w14:paraId="2A5A9F67" w14:textId="77777777" w:rsidR="00846FAB" w:rsidRDefault="00000000">
            <w:r>
              <w:rPr>
                <w:sz w:val="14"/>
              </w:rPr>
              <w:t>Compatibility manifest</w:t>
            </w:r>
          </w:p>
        </w:tc>
        <w:tc>
          <w:tcPr>
            <w:tcW w:w="604" w:type="dxa"/>
            <w:tcMar>
              <w:top w:w="70" w:type="dxa"/>
              <w:left w:w="80" w:type="dxa"/>
              <w:bottom w:w="70" w:type="dxa"/>
              <w:right w:w="80" w:type="dxa"/>
            </w:tcMar>
            <w:vAlign w:val="center"/>
          </w:tcPr>
          <w:p w14:paraId="71A2086F" w14:textId="77777777" w:rsidR="00846FAB" w:rsidRDefault="00000000">
            <w:r>
              <w:rPr>
                <w:sz w:val="14"/>
              </w:rPr>
              <w:t>N</w:t>
            </w:r>
          </w:p>
        </w:tc>
        <w:tc>
          <w:tcPr>
            <w:tcW w:w="3096" w:type="dxa"/>
            <w:tcMar>
              <w:top w:w="70" w:type="dxa"/>
              <w:left w:w="80" w:type="dxa"/>
              <w:bottom w:w="70" w:type="dxa"/>
              <w:right w:w="80" w:type="dxa"/>
            </w:tcMar>
            <w:vAlign w:val="center"/>
          </w:tcPr>
          <w:p w14:paraId="702A783E" w14:textId="77777777" w:rsidR="00846FAB" w:rsidRDefault="00000000">
            <w:r>
              <w:rPr>
                <w:sz w:val="14"/>
              </w:rPr>
              <w:t>Bind ATMOS hardware/firmware, switch, OS, vLLM, model/pack hashes, Kubernetes, workload envelope and known limits.</w:t>
            </w:r>
          </w:p>
        </w:tc>
        <w:tc>
          <w:tcPr>
            <w:tcW w:w="2951" w:type="dxa"/>
            <w:tcMar>
              <w:top w:w="70" w:type="dxa"/>
              <w:left w:w="80" w:type="dxa"/>
              <w:bottom w:w="70" w:type="dxa"/>
              <w:right w:w="80" w:type="dxa"/>
            </w:tcMar>
            <w:vAlign w:val="center"/>
          </w:tcPr>
          <w:p w14:paraId="2853CE59" w14:textId="77777777" w:rsidR="00846FAB" w:rsidRDefault="00000000">
            <w:r>
              <w:rPr>
                <w:sz w:val="14"/>
              </w:rPr>
              <w:t>Separate qualified manifests for RTX MVP, NVIDIA NVL and AMD Helios.</w:t>
            </w:r>
          </w:p>
        </w:tc>
        <w:tc>
          <w:tcPr>
            <w:tcW w:w="1224" w:type="dxa"/>
            <w:vAlign w:val="center"/>
          </w:tcPr>
          <w:p w14:paraId="321FEE7F" w14:textId="77777777" w:rsidR="00846FAB" w:rsidRDefault="00000000">
            <w:r>
              <w:rPr>
                <w:sz w:val="14"/>
              </w:rPr>
              <w:t>Sandisk release</w:t>
            </w:r>
          </w:p>
        </w:tc>
      </w:tr>
      <w:tr w:rsidR="00846FAB" w14:paraId="60041DFB" w14:textId="77777777" w:rsidTr="002451E4">
        <w:trPr>
          <w:jc w:val="center"/>
        </w:trPr>
        <w:tc>
          <w:tcPr>
            <w:tcW w:w="1004" w:type="dxa"/>
            <w:shd w:val="clear" w:color="auto" w:fill="F3F6F8"/>
            <w:vAlign w:val="center"/>
          </w:tcPr>
          <w:p w14:paraId="2D712BF9" w14:textId="77777777" w:rsidR="00846FAB" w:rsidRDefault="00000000">
            <w:r>
              <w:rPr>
                <w:sz w:val="14"/>
              </w:rPr>
              <w:t>Product</w:t>
            </w:r>
          </w:p>
        </w:tc>
        <w:tc>
          <w:tcPr>
            <w:tcW w:w="1228" w:type="dxa"/>
            <w:shd w:val="clear" w:color="auto" w:fill="F3F6F8"/>
            <w:vAlign w:val="center"/>
          </w:tcPr>
          <w:p w14:paraId="69B0BA62" w14:textId="77777777" w:rsidR="00846FAB" w:rsidRDefault="00000000">
            <w:r>
              <w:rPr>
                <w:sz w:val="14"/>
              </w:rPr>
              <w:t>Economic / support contract</w:t>
            </w:r>
          </w:p>
        </w:tc>
        <w:tc>
          <w:tcPr>
            <w:tcW w:w="604" w:type="dxa"/>
            <w:shd w:val="clear" w:color="auto" w:fill="F3F6F8"/>
            <w:vAlign w:val="center"/>
          </w:tcPr>
          <w:p w14:paraId="3BEB3405" w14:textId="77777777" w:rsidR="00846FAB" w:rsidRDefault="00000000">
            <w:r>
              <w:rPr>
                <w:sz w:val="14"/>
              </w:rPr>
              <w:t>N</w:t>
            </w:r>
          </w:p>
        </w:tc>
        <w:tc>
          <w:tcPr>
            <w:tcW w:w="3096" w:type="dxa"/>
            <w:shd w:val="clear" w:color="auto" w:fill="F3F6F8"/>
            <w:vAlign w:val="center"/>
          </w:tcPr>
          <w:p w14:paraId="4937654E" w14:textId="77777777" w:rsidR="00846FAB" w:rsidRDefault="00000000">
            <w:r>
              <w:rPr>
                <w:sz w:val="14"/>
              </w:rPr>
              <w:t>Report qualified service rate, SLO, failure reserve, avoidable GPU/rack cost and one accountable support route.</w:t>
            </w:r>
          </w:p>
        </w:tc>
        <w:tc>
          <w:tcPr>
            <w:tcW w:w="2951" w:type="dxa"/>
            <w:shd w:val="clear" w:color="auto" w:fill="F3F6F8"/>
            <w:vAlign w:val="center"/>
          </w:tcPr>
          <w:p w14:paraId="6D3631BB" w14:textId="77777777" w:rsidR="00846FAB" w:rsidRDefault="00000000">
            <w:r>
              <w:rPr>
                <w:sz w:val="14"/>
              </w:rPr>
              <w:t>ROI is earned separately per platform; RTX economics are not transferred to rack scale.</w:t>
            </w:r>
          </w:p>
        </w:tc>
        <w:tc>
          <w:tcPr>
            <w:tcW w:w="1224" w:type="dxa"/>
            <w:shd w:val="clear" w:color="auto" w:fill="F3F6F8"/>
            <w:vAlign w:val="center"/>
          </w:tcPr>
          <w:p w14:paraId="531ECF50" w14:textId="77777777" w:rsidR="00846FAB" w:rsidRDefault="00000000">
            <w:r>
              <w:rPr>
                <w:sz w:val="14"/>
              </w:rPr>
              <w:t>Product + SA</w:t>
            </w:r>
          </w:p>
        </w:tc>
      </w:tr>
    </w:tbl>
    <w:p w14:paraId="18FF11EF" w14:textId="77777777" w:rsidR="0085422C" w:rsidRDefault="0085422C">
      <w:pPr>
        <w:spacing w:after="20"/>
      </w:pPr>
    </w:p>
    <w:p w14:paraId="4F46DB74" w14:textId="77777777" w:rsidR="0085422C" w:rsidRDefault="00000000">
      <w:pPr>
        <w:keepNext/>
        <w:spacing w:before="60" w:after="60"/>
      </w:pPr>
      <w:r>
        <w:rPr>
          <w:b/>
          <w:color w:val="16324F"/>
          <w:sz w:val="25"/>
        </w:rPr>
        <w:t>Definition of done for Part II</w:t>
      </w:r>
    </w:p>
    <w:p w14:paraId="6C5DCC2D" w14:textId="77777777" w:rsidR="0085422C" w:rsidRDefault="00000000">
      <w:pPr>
        <w:spacing w:after="100" w:line="259" w:lineRule="auto"/>
      </w:pPr>
      <w:r>
        <w:rPr>
          <w:sz w:val="18"/>
        </w:rPr>
        <w:t>The common expert ABI, vLLM adapter, ATMOS runtime/driver and switched E3.S subsystem must first operate as a reproducible RTX POC/MVP while preserving model quality and the required TTFT/TPOT. Product completion requires the same logical contract to pass on at least one named rack-scale target — NVIDIA NVL or AMD Helios — using the stock GPU stack, a qualified physical route and a measured economic benefit. The two rack platforms are released independently.</w:t>
      </w:r>
    </w:p>
    <w:p w14:paraId="656ECEC9" w14:textId="77777777" w:rsidR="0085422C" w:rsidRDefault="0085422C">
      <w:pPr>
        <w:spacing w:after="20"/>
      </w:pPr>
    </w:p>
    <w:p w14:paraId="66FFD932" w14:textId="77777777" w:rsidR="0085422C" w:rsidRDefault="0085422C"/>
    <w:p w14:paraId="003C4DC0" w14:textId="255B24EE" w:rsidR="0085422C" w:rsidRPr="005A5290" w:rsidRDefault="005835B4" w:rsidP="005A5290">
      <w:pPr>
        <w:rPr>
          <w:b/>
          <w:color w:val="16324F"/>
          <w:sz w:val="36"/>
        </w:rPr>
      </w:pPr>
      <w:r>
        <w:rPr>
          <w:b/>
          <w:color w:val="16324F"/>
          <w:sz w:val="36"/>
        </w:rPr>
        <w:br w:type="page"/>
      </w:r>
      <w:r w:rsidR="00000000">
        <w:rPr>
          <w:b/>
          <w:color w:val="16324F"/>
          <w:sz w:val="36"/>
        </w:rPr>
        <w:lastRenderedPageBreak/>
        <w:t>Part III — Insurance scenario: RTX MVP calibration and rack-scale translation</w:t>
      </w:r>
    </w:p>
    <w:p w14:paraId="247F7886" w14:textId="77777777" w:rsidR="0085422C" w:rsidRDefault="00000000">
      <w:pPr>
        <w:spacing w:after="100" w:line="259" w:lineRule="auto"/>
      </w:pPr>
      <w:r>
        <w:t>The following scenario remains intentionally concrete, but it is now used as an RTX POC/MVP calibration case rather than the final production sizing. It shows how the heterogeneous expert architecture could create measurable headroom with ~235B and ~671B MoE classes. Once the MVP is measured, the same demand, model quality and latency contract is replayed against NVIDIA NVL and AMD Helios using their own GPU memory, scale-up fabric, rack topology and service rate.</w:t>
      </w:r>
    </w:p>
    <w:p w14:paraId="493F61E1" w14:textId="77777777" w:rsidR="0085422C" w:rsidRDefault="00000000">
      <w:pPr>
        <w:keepNext/>
        <w:spacing w:before="60" w:after="60"/>
      </w:pPr>
      <w:r>
        <w:rPr>
          <w:rFonts w:eastAsia="Noto Sans"/>
          <w:b/>
          <w:color w:val="16324F"/>
          <w:sz w:val="25"/>
        </w:rPr>
        <w:t>Scenario demand</w:t>
      </w:r>
    </w:p>
    <w:tbl>
      <w:tblPr>
        <w:tblStyle w:val="TableGrid"/>
        <w:tblW w:w="0" w:type="auto"/>
        <w:jc w:val="center"/>
        <w:tblLayout w:type="fixed"/>
        <w:tblLook w:val="04A0" w:firstRow="1" w:lastRow="0" w:firstColumn="1" w:lastColumn="0" w:noHBand="0" w:noVBand="1"/>
      </w:tblPr>
      <w:tblGrid>
        <w:gridCol w:w="2088"/>
        <w:gridCol w:w="7704"/>
      </w:tblGrid>
      <w:tr w:rsidR="0085422C" w14:paraId="692BFC0D" w14:textId="77777777">
        <w:trPr>
          <w:tblHeader/>
          <w:jc w:val="center"/>
        </w:trPr>
        <w:tc>
          <w:tcPr>
            <w:tcW w:w="2088" w:type="dxa"/>
            <w:shd w:val="clear" w:color="auto" w:fill="16324F"/>
            <w:tcMar>
              <w:top w:w="80" w:type="dxa"/>
              <w:left w:w="90" w:type="dxa"/>
              <w:bottom w:w="80" w:type="dxa"/>
              <w:right w:w="90" w:type="dxa"/>
            </w:tcMar>
            <w:vAlign w:val="center"/>
          </w:tcPr>
          <w:p w14:paraId="1F9ADB9E" w14:textId="77777777" w:rsidR="0085422C" w:rsidRDefault="00000000">
            <w:r>
              <w:rPr>
                <w:rFonts w:eastAsia="Noto Sans"/>
                <w:b/>
                <w:color w:val="FFFFFF"/>
                <w:sz w:val="16"/>
              </w:rPr>
              <w:t>Input</w:t>
            </w:r>
          </w:p>
        </w:tc>
        <w:tc>
          <w:tcPr>
            <w:tcW w:w="7704" w:type="dxa"/>
            <w:shd w:val="clear" w:color="auto" w:fill="16324F"/>
            <w:tcMar>
              <w:top w:w="80" w:type="dxa"/>
              <w:left w:w="90" w:type="dxa"/>
              <w:bottom w:w="80" w:type="dxa"/>
              <w:right w:w="90" w:type="dxa"/>
            </w:tcMar>
            <w:vAlign w:val="center"/>
          </w:tcPr>
          <w:p w14:paraId="12E7FEF0" w14:textId="77777777" w:rsidR="0085422C" w:rsidRDefault="00000000">
            <w:r>
              <w:rPr>
                <w:rFonts w:eastAsia="Noto Sans"/>
                <w:b/>
                <w:color w:val="FFFFFF"/>
                <w:sz w:val="16"/>
              </w:rPr>
              <w:t>Assumption</w:t>
            </w:r>
          </w:p>
        </w:tc>
      </w:tr>
      <w:tr w:rsidR="0085422C" w14:paraId="017B5DBF" w14:textId="77777777">
        <w:trPr>
          <w:cantSplit/>
          <w:jc w:val="center"/>
        </w:trPr>
        <w:tc>
          <w:tcPr>
            <w:tcW w:w="2088" w:type="dxa"/>
            <w:tcMar>
              <w:top w:w="70" w:type="dxa"/>
              <w:left w:w="80" w:type="dxa"/>
              <w:bottom w:w="70" w:type="dxa"/>
              <w:right w:w="80" w:type="dxa"/>
            </w:tcMar>
          </w:tcPr>
          <w:p w14:paraId="577167C5" w14:textId="77777777" w:rsidR="0085422C" w:rsidRDefault="00000000">
            <w:r>
              <w:rPr>
                <w:rFonts w:eastAsia="Noto Sans"/>
                <w:b/>
                <w:color w:val="24313D"/>
                <w:sz w:val="16"/>
              </w:rPr>
              <w:t>User scale</w:t>
            </w:r>
          </w:p>
        </w:tc>
        <w:tc>
          <w:tcPr>
            <w:tcW w:w="7704" w:type="dxa"/>
            <w:tcMar>
              <w:top w:w="70" w:type="dxa"/>
              <w:left w:w="80" w:type="dxa"/>
              <w:bottom w:w="70" w:type="dxa"/>
              <w:right w:w="80" w:type="dxa"/>
            </w:tcMar>
          </w:tcPr>
          <w:p w14:paraId="34A6E3BB" w14:textId="77777777" w:rsidR="0085422C" w:rsidRDefault="00000000">
            <w:r>
              <w:rPr>
                <w:rFonts w:eastAsia="Noto Sans"/>
                <w:color w:val="24313D"/>
                <w:sz w:val="16"/>
              </w:rPr>
              <w:t>60,000 active-user population; assume 40% active on a selected day.</w:t>
            </w:r>
          </w:p>
        </w:tc>
      </w:tr>
      <w:tr w:rsidR="0085422C" w14:paraId="394BCBDD" w14:textId="77777777">
        <w:trPr>
          <w:cantSplit/>
          <w:jc w:val="center"/>
        </w:trPr>
        <w:tc>
          <w:tcPr>
            <w:tcW w:w="2088" w:type="dxa"/>
            <w:shd w:val="clear" w:color="auto" w:fill="F6F8FA"/>
            <w:tcMar>
              <w:top w:w="70" w:type="dxa"/>
              <w:left w:w="80" w:type="dxa"/>
              <w:bottom w:w="70" w:type="dxa"/>
              <w:right w:w="80" w:type="dxa"/>
            </w:tcMar>
          </w:tcPr>
          <w:p w14:paraId="74C80F92" w14:textId="77777777" w:rsidR="0085422C" w:rsidRDefault="00000000">
            <w:r>
              <w:rPr>
                <w:rFonts w:eastAsia="Noto Sans"/>
                <w:b/>
                <w:color w:val="24313D"/>
                <w:sz w:val="16"/>
              </w:rPr>
              <w:t>Daily calls</w:t>
            </w:r>
          </w:p>
        </w:tc>
        <w:tc>
          <w:tcPr>
            <w:tcW w:w="7704" w:type="dxa"/>
            <w:shd w:val="clear" w:color="auto" w:fill="F6F8FA"/>
            <w:tcMar>
              <w:top w:w="70" w:type="dxa"/>
              <w:left w:w="80" w:type="dxa"/>
              <w:bottom w:w="70" w:type="dxa"/>
              <w:right w:w="80" w:type="dxa"/>
            </w:tcMar>
          </w:tcPr>
          <w:p w14:paraId="3A0A542B" w14:textId="77777777" w:rsidR="0085422C" w:rsidRDefault="00000000">
            <w:r>
              <w:rPr>
                <w:rFonts w:eastAsia="Noto Sans"/>
                <w:color w:val="24313D"/>
                <w:sz w:val="16"/>
              </w:rPr>
              <w:t>10 model calls per active user → 240,000 calls/day.</w:t>
            </w:r>
          </w:p>
        </w:tc>
      </w:tr>
      <w:tr w:rsidR="0085422C" w14:paraId="16AF6F2D" w14:textId="77777777">
        <w:trPr>
          <w:cantSplit/>
          <w:jc w:val="center"/>
        </w:trPr>
        <w:tc>
          <w:tcPr>
            <w:tcW w:w="2088" w:type="dxa"/>
            <w:tcMar>
              <w:top w:w="70" w:type="dxa"/>
              <w:left w:w="80" w:type="dxa"/>
              <w:bottom w:w="70" w:type="dxa"/>
              <w:right w:w="80" w:type="dxa"/>
            </w:tcMar>
          </w:tcPr>
          <w:p w14:paraId="2BD8B9C0" w14:textId="77777777" w:rsidR="0085422C" w:rsidRDefault="00000000">
            <w:r>
              <w:rPr>
                <w:rFonts w:eastAsia="Noto Sans"/>
                <w:b/>
                <w:color w:val="24313D"/>
                <w:sz w:val="16"/>
              </w:rPr>
              <w:t>Service window</w:t>
            </w:r>
          </w:p>
        </w:tc>
        <w:tc>
          <w:tcPr>
            <w:tcW w:w="7704" w:type="dxa"/>
            <w:tcMar>
              <w:top w:w="70" w:type="dxa"/>
              <w:left w:w="80" w:type="dxa"/>
              <w:bottom w:w="70" w:type="dxa"/>
              <w:right w:w="80" w:type="dxa"/>
            </w:tcMar>
          </w:tcPr>
          <w:p w14:paraId="345AB3C5" w14:textId="77777777" w:rsidR="0085422C" w:rsidRDefault="00000000">
            <w:r>
              <w:rPr>
                <w:rFonts w:eastAsia="Noto Sans"/>
                <w:color w:val="24313D"/>
                <w:sz w:val="16"/>
              </w:rPr>
              <w:t>8-hour concentrated business window → 8.33 calls/s mean.</w:t>
            </w:r>
          </w:p>
        </w:tc>
      </w:tr>
      <w:tr w:rsidR="0085422C" w14:paraId="1934235C" w14:textId="77777777">
        <w:trPr>
          <w:cantSplit/>
          <w:jc w:val="center"/>
        </w:trPr>
        <w:tc>
          <w:tcPr>
            <w:tcW w:w="2088" w:type="dxa"/>
            <w:shd w:val="clear" w:color="auto" w:fill="F6F8FA"/>
            <w:tcMar>
              <w:top w:w="70" w:type="dxa"/>
              <w:left w:w="80" w:type="dxa"/>
              <w:bottom w:w="70" w:type="dxa"/>
              <w:right w:w="80" w:type="dxa"/>
            </w:tcMar>
          </w:tcPr>
          <w:p w14:paraId="6348C652" w14:textId="77777777" w:rsidR="0085422C" w:rsidRDefault="00000000">
            <w:r>
              <w:rPr>
                <w:rFonts w:eastAsia="Noto Sans"/>
                <w:b/>
                <w:color w:val="24313D"/>
                <w:sz w:val="16"/>
              </w:rPr>
              <w:t>Peak factor</w:t>
            </w:r>
          </w:p>
        </w:tc>
        <w:tc>
          <w:tcPr>
            <w:tcW w:w="7704" w:type="dxa"/>
            <w:shd w:val="clear" w:color="auto" w:fill="F6F8FA"/>
            <w:tcMar>
              <w:top w:w="70" w:type="dxa"/>
              <w:left w:w="80" w:type="dxa"/>
              <w:bottom w:w="70" w:type="dxa"/>
              <w:right w:w="80" w:type="dxa"/>
            </w:tcMar>
          </w:tcPr>
          <w:p w14:paraId="79ED21BC" w14:textId="77777777" w:rsidR="0085422C" w:rsidRDefault="00000000">
            <w:r>
              <w:rPr>
                <w:rFonts w:eastAsia="Noto Sans"/>
                <w:color w:val="24313D"/>
                <w:sz w:val="16"/>
              </w:rPr>
              <w:t>3× mean → 25 calls/s peak.</w:t>
            </w:r>
          </w:p>
        </w:tc>
      </w:tr>
      <w:tr w:rsidR="0085422C" w14:paraId="28F2C45E" w14:textId="77777777">
        <w:trPr>
          <w:cantSplit/>
          <w:jc w:val="center"/>
        </w:trPr>
        <w:tc>
          <w:tcPr>
            <w:tcW w:w="2088" w:type="dxa"/>
            <w:tcMar>
              <w:top w:w="70" w:type="dxa"/>
              <w:left w:w="80" w:type="dxa"/>
              <w:bottom w:w="70" w:type="dxa"/>
              <w:right w:w="80" w:type="dxa"/>
            </w:tcMar>
          </w:tcPr>
          <w:p w14:paraId="003D2FDB" w14:textId="77777777" w:rsidR="0085422C" w:rsidRDefault="00000000">
            <w:r>
              <w:rPr>
                <w:rFonts w:eastAsia="Noto Sans"/>
                <w:b/>
                <w:color w:val="24313D"/>
                <w:sz w:val="16"/>
              </w:rPr>
              <w:t>Traffic mix</w:t>
            </w:r>
          </w:p>
        </w:tc>
        <w:tc>
          <w:tcPr>
            <w:tcW w:w="7704" w:type="dxa"/>
            <w:tcMar>
              <w:top w:w="70" w:type="dxa"/>
              <w:left w:w="80" w:type="dxa"/>
              <w:bottom w:w="70" w:type="dxa"/>
              <w:right w:w="80" w:type="dxa"/>
            </w:tcMar>
          </w:tcPr>
          <w:p w14:paraId="46619736" w14:textId="77777777" w:rsidR="0085422C" w:rsidRDefault="00000000">
            <w:r>
              <w:rPr>
                <w:rFonts w:eastAsia="Noto Sans"/>
                <w:color w:val="24313D"/>
                <w:sz w:val="16"/>
              </w:rPr>
              <w:t>80% claims-assistant traffic (20 RPS peak); 20% complex-claims traffic (5 RPS peak).</w:t>
            </w:r>
          </w:p>
        </w:tc>
      </w:tr>
      <w:tr w:rsidR="0085422C" w14:paraId="23B336FF" w14:textId="77777777">
        <w:trPr>
          <w:cantSplit/>
          <w:jc w:val="center"/>
        </w:trPr>
        <w:tc>
          <w:tcPr>
            <w:tcW w:w="2088" w:type="dxa"/>
            <w:shd w:val="clear" w:color="auto" w:fill="F6F8FA"/>
            <w:tcMar>
              <w:top w:w="70" w:type="dxa"/>
              <w:left w:w="80" w:type="dxa"/>
              <w:bottom w:w="70" w:type="dxa"/>
              <w:right w:w="80" w:type="dxa"/>
            </w:tcMar>
          </w:tcPr>
          <w:p w14:paraId="04641288" w14:textId="77777777" w:rsidR="0085422C" w:rsidRDefault="00000000">
            <w:r>
              <w:rPr>
                <w:rFonts w:eastAsia="Noto Sans"/>
                <w:b/>
                <w:color w:val="24313D"/>
                <w:sz w:val="16"/>
              </w:rPr>
              <w:t>Availability</w:t>
            </w:r>
          </w:p>
        </w:tc>
        <w:tc>
          <w:tcPr>
            <w:tcW w:w="7704" w:type="dxa"/>
            <w:shd w:val="clear" w:color="auto" w:fill="F6F8FA"/>
            <w:tcMar>
              <w:top w:w="70" w:type="dxa"/>
              <w:left w:w="80" w:type="dxa"/>
              <w:bottom w:w="70" w:type="dxa"/>
              <w:right w:w="80" w:type="dxa"/>
            </w:tcMar>
          </w:tcPr>
          <w:p w14:paraId="0E27B0B8" w14:textId="77777777" w:rsidR="0085422C" w:rsidRDefault="00000000">
            <w:r>
              <w:rPr>
                <w:rFonts w:eastAsia="Noto Sans"/>
                <w:color w:val="24313D"/>
                <w:sz w:val="16"/>
              </w:rPr>
              <w:t>Each independently scalable service class carries one complete replica/group of reserve capacity.</w:t>
            </w:r>
          </w:p>
        </w:tc>
      </w:tr>
      <w:tr w:rsidR="0085422C" w14:paraId="46622D07" w14:textId="77777777">
        <w:trPr>
          <w:cantSplit/>
          <w:jc w:val="center"/>
        </w:trPr>
        <w:tc>
          <w:tcPr>
            <w:tcW w:w="2088" w:type="dxa"/>
            <w:tcMar>
              <w:top w:w="70" w:type="dxa"/>
              <w:left w:w="80" w:type="dxa"/>
              <w:bottom w:w="70" w:type="dxa"/>
              <w:right w:w="80" w:type="dxa"/>
            </w:tcMar>
          </w:tcPr>
          <w:p w14:paraId="2D51984C" w14:textId="77777777" w:rsidR="0085422C" w:rsidRDefault="00000000">
            <w:r>
              <w:rPr>
                <w:rFonts w:eastAsia="Noto Sans"/>
                <w:b/>
                <w:color w:val="24313D"/>
                <w:sz w:val="16"/>
              </w:rPr>
              <w:t>Latency contract</w:t>
            </w:r>
          </w:p>
        </w:tc>
        <w:tc>
          <w:tcPr>
            <w:tcW w:w="7704" w:type="dxa"/>
            <w:tcMar>
              <w:top w:w="70" w:type="dxa"/>
              <w:left w:w="80" w:type="dxa"/>
              <w:bottom w:w="70" w:type="dxa"/>
              <w:right w:w="80" w:type="dxa"/>
            </w:tcMar>
          </w:tcPr>
          <w:p w14:paraId="2E4C7646" w14:textId="77777777" w:rsidR="0085422C" w:rsidRDefault="00000000">
            <w:r>
              <w:rPr>
                <w:rFonts w:eastAsia="Noto Sans"/>
                <w:color w:val="24313D"/>
                <w:sz w:val="16"/>
              </w:rPr>
              <w:t>Claims assistant: TTFT ≤2.5 s, TPOT ≤45 ms. Complex claims: TTFT ≤5 s, TPOT ≤70 ms.</w:t>
            </w:r>
          </w:p>
        </w:tc>
      </w:tr>
    </w:tbl>
    <w:p w14:paraId="3F6637F7" w14:textId="77777777" w:rsidR="0085422C" w:rsidRDefault="0085422C">
      <w:pPr>
        <w:spacing w:after="20"/>
      </w:pPr>
    </w:p>
    <w:p w14:paraId="4F7DD113" w14:textId="77777777" w:rsidR="0085422C" w:rsidRDefault="00000000">
      <w:pPr>
        <w:spacing w:before="20" w:after="80"/>
      </w:pPr>
      <w:r>
        <w:rPr>
          <w:rFonts w:eastAsia="Noto Sans"/>
          <w:b/>
          <w:color w:val="66727D"/>
          <w:sz w:val="14"/>
        </w:rPr>
        <w:t xml:space="preserve">Source / note: </w:t>
      </w:r>
      <w:r>
        <w:rPr>
          <w:rFonts w:eastAsia="Noto Sans"/>
          <w:i/>
          <w:color w:val="66727D"/>
          <w:sz w:val="14"/>
        </w:rPr>
        <w:t>The user count is an enterprise-scale anchor only. Activity, call count, traffic mix, context/output lengths, model choices, node rates and inventory are scenario assumptions for sizing—not customer disclosures.</w:t>
      </w:r>
    </w:p>
    <w:p w14:paraId="28CAB7A5" w14:textId="77777777" w:rsidR="0085422C" w:rsidRDefault="00000000">
      <w:pPr>
        <w:keepNext/>
        <w:spacing w:before="60" w:after="60"/>
      </w:pPr>
      <w:r>
        <w:rPr>
          <w:rFonts w:eastAsia="Noto Sans"/>
          <w:b/>
          <w:color w:val="16324F"/>
          <w:sz w:val="25"/>
        </w:rPr>
        <w:t>Two MoE classes — different expert populations and precision pressure</w:t>
      </w:r>
    </w:p>
    <w:tbl>
      <w:tblPr>
        <w:tblStyle w:val="TableGrid"/>
        <w:tblW w:w="0" w:type="auto"/>
        <w:jc w:val="center"/>
        <w:tblLayout w:type="fixed"/>
        <w:tblLook w:val="04A0" w:firstRow="1" w:lastRow="0" w:firstColumn="1" w:lastColumn="0" w:noHBand="0" w:noVBand="1"/>
      </w:tblPr>
      <w:tblGrid>
        <w:gridCol w:w="2088"/>
        <w:gridCol w:w="3168"/>
        <w:gridCol w:w="2376"/>
        <w:gridCol w:w="3168"/>
      </w:tblGrid>
      <w:tr w:rsidR="0085422C" w14:paraId="76D2BF0E" w14:textId="77777777">
        <w:trPr>
          <w:tblHeader/>
          <w:jc w:val="center"/>
        </w:trPr>
        <w:tc>
          <w:tcPr>
            <w:tcW w:w="2088" w:type="dxa"/>
            <w:shd w:val="clear" w:color="auto" w:fill="16324F"/>
            <w:tcMar>
              <w:top w:w="80" w:type="dxa"/>
              <w:left w:w="90" w:type="dxa"/>
              <w:bottom w:w="80" w:type="dxa"/>
              <w:right w:w="90" w:type="dxa"/>
            </w:tcMar>
            <w:vAlign w:val="center"/>
          </w:tcPr>
          <w:p w14:paraId="03F40472" w14:textId="77777777" w:rsidR="0085422C" w:rsidRDefault="00000000">
            <w:r>
              <w:rPr>
                <w:rFonts w:eastAsia="Noto Sans"/>
                <w:b/>
                <w:color w:val="FFFFFF"/>
                <w:sz w:val="15"/>
              </w:rPr>
              <w:t>Model class</w:t>
            </w:r>
          </w:p>
        </w:tc>
        <w:tc>
          <w:tcPr>
            <w:tcW w:w="3168" w:type="dxa"/>
            <w:shd w:val="clear" w:color="auto" w:fill="16324F"/>
            <w:tcMar>
              <w:top w:w="80" w:type="dxa"/>
              <w:left w:w="90" w:type="dxa"/>
              <w:bottom w:w="80" w:type="dxa"/>
              <w:right w:w="90" w:type="dxa"/>
            </w:tcMar>
            <w:vAlign w:val="center"/>
          </w:tcPr>
          <w:p w14:paraId="435B322D" w14:textId="77777777" w:rsidR="0085422C" w:rsidRDefault="00000000">
            <w:r>
              <w:rPr>
                <w:rFonts w:eastAsia="Noto Sans"/>
                <w:b/>
                <w:color w:val="FFFFFF"/>
                <w:sz w:val="15"/>
              </w:rPr>
              <w:t>Published / chosen geometry</w:t>
            </w:r>
          </w:p>
        </w:tc>
        <w:tc>
          <w:tcPr>
            <w:tcW w:w="2376" w:type="dxa"/>
            <w:shd w:val="clear" w:color="auto" w:fill="16324F"/>
            <w:tcMar>
              <w:top w:w="80" w:type="dxa"/>
              <w:left w:w="90" w:type="dxa"/>
              <w:bottom w:w="80" w:type="dxa"/>
              <w:right w:w="90" w:type="dxa"/>
            </w:tcMar>
            <w:vAlign w:val="center"/>
          </w:tcPr>
          <w:p w14:paraId="1CA0BAFF" w14:textId="77777777" w:rsidR="0085422C" w:rsidRDefault="00000000">
            <w:r>
              <w:rPr>
                <w:rFonts w:eastAsia="Noto Sans"/>
                <w:b/>
                <w:color w:val="FFFFFF"/>
                <w:sz w:val="15"/>
              </w:rPr>
              <w:t>Routed-expert raw size</w:t>
            </w:r>
          </w:p>
        </w:tc>
        <w:tc>
          <w:tcPr>
            <w:tcW w:w="3168" w:type="dxa"/>
            <w:shd w:val="clear" w:color="auto" w:fill="16324F"/>
            <w:tcMar>
              <w:top w:w="80" w:type="dxa"/>
              <w:left w:w="90" w:type="dxa"/>
              <w:bottom w:w="80" w:type="dxa"/>
              <w:right w:w="90" w:type="dxa"/>
            </w:tcMar>
            <w:vAlign w:val="center"/>
          </w:tcPr>
          <w:p w14:paraId="5D328986" w14:textId="77777777" w:rsidR="0085422C" w:rsidRDefault="00000000">
            <w:r>
              <w:rPr>
                <w:rFonts w:eastAsia="Noto Sans"/>
                <w:b/>
                <w:color w:val="FFFFFF"/>
                <w:sz w:val="15"/>
              </w:rPr>
              <w:t>8-ATMOS implication</w:t>
            </w:r>
          </w:p>
        </w:tc>
      </w:tr>
      <w:tr w:rsidR="0085422C" w14:paraId="712C12CC" w14:textId="77777777">
        <w:trPr>
          <w:cantSplit/>
          <w:jc w:val="center"/>
        </w:trPr>
        <w:tc>
          <w:tcPr>
            <w:tcW w:w="2088" w:type="dxa"/>
            <w:tcMar>
              <w:top w:w="70" w:type="dxa"/>
              <w:left w:w="80" w:type="dxa"/>
              <w:bottom w:w="70" w:type="dxa"/>
              <w:right w:w="80" w:type="dxa"/>
            </w:tcMar>
          </w:tcPr>
          <w:p w14:paraId="0DF87313" w14:textId="77777777" w:rsidR="0085422C" w:rsidRDefault="00000000">
            <w:r>
              <w:rPr>
                <w:rFonts w:eastAsia="Noto Sans"/>
                <w:b/>
                <w:color w:val="24313D"/>
                <w:sz w:val="15"/>
              </w:rPr>
              <w:t>Qwen3-235B-A22B</w:t>
            </w:r>
          </w:p>
        </w:tc>
        <w:tc>
          <w:tcPr>
            <w:tcW w:w="3168" w:type="dxa"/>
            <w:tcMar>
              <w:top w:w="70" w:type="dxa"/>
              <w:left w:w="80" w:type="dxa"/>
              <w:bottom w:w="70" w:type="dxa"/>
              <w:right w:w="80" w:type="dxa"/>
            </w:tcMar>
          </w:tcPr>
          <w:p w14:paraId="0F636477" w14:textId="77777777" w:rsidR="0085422C" w:rsidRDefault="00000000">
            <w:r>
              <w:rPr>
                <w:rFonts w:eastAsia="Noto Sans"/>
                <w:color w:val="24313D"/>
                <w:sz w:val="15"/>
              </w:rPr>
              <w:t>235B total / ~22B active; 94 layers; 128 routed experts per MoE layer; top-8.</w:t>
            </w:r>
          </w:p>
        </w:tc>
        <w:tc>
          <w:tcPr>
            <w:tcW w:w="2376" w:type="dxa"/>
            <w:tcMar>
              <w:top w:w="70" w:type="dxa"/>
              <w:left w:w="80" w:type="dxa"/>
              <w:bottom w:w="70" w:type="dxa"/>
              <w:right w:w="80" w:type="dxa"/>
            </w:tcMar>
          </w:tcPr>
          <w:p w14:paraId="7311E46C" w14:textId="77777777" w:rsidR="0085422C" w:rsidRDefault="00000000">
            <w:r>
              <w:rPr>
                <w:rFonts w:eastAsia="Noto Sans"/>
                <w:color w:val="24313D"/>
                <w:sz w:val="15"/>
              </w:rPr>
              <w:t>~227.1B routed-expert parameters → ~227 GB FP8 or ~454 GB at 16-bit.</w:t>
            </w:r>
          </w:p>
        </w:tc>
        <w:tc>
          <w:tcPr>
            <w:tcW w:w="3168" w:type="dxa"/>
            <w:tcMar>
              <w:top w:w="70" w:type="dxa"/>
              <w:left w:w="80" w:type="dxa"/>
              <w:bottom w:w="70" w:type="dxa"/>
              <w:right w:w="80" w:type="dxa"/>
            </w:tcMar>
          </w:tcPr>
          <w:p w14:paraId="1074F01C" w14:textId="77777777" w:rsidR="0085422C" w:rsidRDefault="00000000">
            <w:r>
              <w:rPr>
                <w:rFonts w:eastAsia="Noto Sans"/>
                <w:color w:val="24313D"/>
                <w:sz w:val="15"/>
              </w:rPr>
              <w:t>Both raw expert sets fit inside the 800-GB application HBF study budget, subject to pack/runtime reserve and per-device placement.</w:t>
            </w:r>
          </w:p>
        </w:tc>
      </w:tr>
      <w:tr w:rsidR="0085422C" w14:paraId="20B7F93E" w14:textId="77777777">
        <w:trPr>
          <w:cantSplit/>
          <w:jc w:val="center"/>
        </w:trPr>
        <w:tc>
          <w:tcPr>
            <w:tcW w:w="2088" w:type="dxa"/>
            <w:shd w:val="clear" w:color="auto" w:fill="F6F8FA"/>
            <w:tcMar>
              <w:top w:w="70" w:type="dxa"/>
              <w:left w:w="80" w:type="dxa"/>
              <w:bottom w:w="70" w:type="dxa"/>
              <w:right w:w="80" w:type="dxa"/>
            </w:tcMar>
          </w:tcPr>
          <w:p w14:paraId="42DA17E4" w14:textId="77777777" w:rsidR="0085422C" w:rsidRDefault="00000000">
            <w:r>
              <w:rPr>
                <w:rFonts w:eastAsia="Noto Sans"/>
                <w:b/>
                <w:color w:val="24313D"/>
                <w:sz w:val="15"/>
              </w:rPr>
              <w:t>DeepSeek-V3-class</w:t>
            </w:r>
          </w:p>
        </w:tc>
        <w:tc>
          <w:tcPr>
            <w:tcW w:w="3168" w:type="dxa"/>
            <w:shd w:val="clear" w:color="auto" w:fill="F6F8FA"/>
            <w:tcMar>
              <w:top w:w="70" w:type="dxa"/>
              <w:left w:w="80" w:type="dxa"/>
              <w:bottom w:w="70" w:type="dxa"/>
              <w:right w:w="80" w:type="dxa"/>
            </w:tcMar>
          </w:tcPr>
          <w:p w14:paraId="43D3625D" w14:textId="77777777" w:rsidR="0085422C" w:rsidRDefault="00000000">
            <w:r>
              <w:rPr>
                <w:rFonts w:eastAsia="Noto Sans"/>
                <w:color w:val="24313D"/>
                <w:sz w:val="15"/>
              </w:rPr>
              <w:t>~671B total / ~37B active; 61 layers, first 3 dense; 256 routed + 1 shared expert; top-8.</w:t>
            </w:r>
          </w:p>
        </w:tc>
        <w:tc>
          <w:tcPr>
            <w:tcW w:w="2376" w:type="dxa"/>
            <w:shd w:val="clear" w:color="auto" w:fill="F6F8FA"/>
            <w:tcMar>
              <w:top w:w="70" w:type="dxa"/>
              <w:left w:w="80" w:type="dxa"/>
              <w:bottom w:w="70" w:type="dxa"/>
              <w:right w:w="80" w:type="dxa"/>
            </w:tcMar>
          </w:tcPr>
          <w:p w14:paraId="1F717024" w14:textId="77777777" w:rsidR="0085422C" w:rsidRDefault="00000000">
            <w:r>
              <w:rPr>
                <w:rFonts w:eastAsia="Noto Sans"/>
                <w:color w:val="24313D"/>
                <w:sz w:val="15"/>
              </w:rPr>
              <w:t>~653.9B routed-expert parameters → ~654 GB FP8 or ~1.308 TB at 16-bit. Shared expert excluded from this routed count.</w:t>
            </w:r>
          </w:p>
        </w:tc>
        <w:tc>
          <w:tcPr>
            <w:tcW w:w="3168" w:type="dxa"/>
            <w:shd w:val="clear" w:color="auto" w:fill="F6F8FA"/>
            <w:tcMar>
              <w:top w:w="70" w:type="dxa"/>
              <w:left w:w="80" w:type="dxa"/>
              <w:bottom w:w="70" w:type="dxa"/>
              <w:right w:w="80" w:type="dxa"/>
            </w:tcMar>
          </w:tcPr>
          <w:p w14:paraId="5DE7CD33" w14:textId="77777777" w:rsidR="0085422C" w:rsidRDefault="00000000">
            <w:r>
              <w:rPr>
                <w:rFonts w:eastAsia="Noto Sans"/>
                <w:color w:val="24313D"/>
                <w:sz w:val="15"/>
              </w:rPr>
              <w:t>FP8 routed experts plausibly fit in 8 ATMOS under the 800-GB study budget. 16-bit does not; use mixed placement or at least two hybrid nodes / more devices.</w:t>
            </w:r>
          </w:p>
        </w:tc>
      </w:tr>
    </w:tbl>
    <w:p w14:paraId="4CE17F96" w14:textId="77777777" w:rsidR="0085422C" w:rsidRDefault="0085422C">
      <w:pPr>
        <w:spacing w:after="20"/>
      </w:pPr>
    </w:p>
    <w:p w14:paraId="01E882F3" w14:textId="77777777" w:rsidR="0085422C" w:rsidRDefault="00000000">
      <w:pPr>
        <w:spacing w:before="20" w:after="80"/>
      </w:pPr>
      <w:r>
        <w:rPr>
          <w:rFonts w:eastAsia="Noto Sans"/>
          <w:b/>
          <w:color w:val="66727D"/>
          <w:sz w:val="14"/>
        </w:rPr>
        <w:t xml:space="preserve">Source / note: </w:t>
      </w:r>
      <w:r>
        <w:rPr>
          <w:rFonts w:eastAsia="Noto Sans"/>
          <w:i/>
          <w:color w:val="66727D"/>
          <w:sz w:val="14"/>
        </w:rPr>
        <w:t>Qwen geometry is from the published Qwen3-235B-A22B configuration (128 experts, top-8, 94 layers, hidden 4096, MoE intermediate 1536). DeepSeek-V3 configuration publishes 256 routed experts, 1 shared expert, top-8 and 61 layers with the first three dense. Raw bytes exclude scales, packing, metadata, shared tensors and replicas.</w:t>
      </w:r>
    </w:p>
    <w:tbl>
      <w:tblPr>
        <w:tblW w:w="0" w:type="auto"/>
        <w:jc w:val="center"/>
        <w:tblLook w:val="04A0" w:firstRow="1" w:lastRow="0" w:firstColumn="1" w:lastColumn="0" w:noHBand="0" w:noVBand="1"/>
      </w:tblPr>
      <w:tblGrid>
        <w:gridCol w:w="10368"/>
      </w:tblGrid>
      <w:tr w:rsidR="0085422C" w14:paraId="53359EB1" w14:textId="77777777">
        <w:trPr>
          <w:jc w:val="center"/>
        </w:trPr>
        <w:tc>
          <w:tcPr>
            <w:tcW w:w="10368" w:type="dxa"/>
            <w:shd w:val="clear" w:color="auto" w:fill="E8F5F3"/>
            <w:tcMar>
              <w:top w:w="120" w:type="dxa"/>
              <w:left w:w="150" w:type="dxa"/>
              <w:bottom w:w="120" w:type="dxa"/>
              <w:right w:w="150" w:type="dxa"/>
            </w:tcMar>
          </w:tcPr>
          <w:p w14:paraId="4FF45581" w14:textId="77777777" w:rsidR="0085422C" w:rsidRDefault="00000000">
            <w:pPr>
              <w:spacing w:after="40"/>
            </w:pPr>
            <w:r>
              <w:rPr>
                <w:rFonts w:eastAsia="Noto Sans"/>
                <w:b/>
                <w:color w:val="0D887F"/>
                <w:sz w:val="18"/>
              </w:rPr>
              <w:t>WHY THE 700B-CLASS FP8 CASE IS ESPECIALLY INTERESTING</w:t>
            </w:r>
          </w:p>
          <w:p w14:paraId="6B811CAA" w14:textId="77777777" w:rsidR="0085422C" w:rsidRDefault="00000000">
            <w:pPr>
              <w:spacing w:after="0" w:line="252" w:lineRule="auto"/>
            </w:pPr>
            <w:r>
              <w:rPr>
                <w:rFonts w:eastAsia="Noto Sans"/>
                <w:color w:val="24313D"/>
                <w:sz w:val="18"/>
              </w:rPr>
              <w:t>Eight RTX PRO 6000 GPUs provide 768 GB nominal distributed GDDR. A ~671-GB raw FP8 model leaves little practical room for KV, workspace and fragmentation. If ~654 GB of routed experts can instead live and execute on the eight ATMOS devices, the GPU side keeps a much smaller non-expert working set plus live KV. That changes the service geometry even if per-request latency does not improve.</w:t>
            </w:r>
          </w:p>
        </w:tc>
      </w:tr>
    </w:tbl>
    <w:p w14:paraId="4B15CC95" w14:textId="77777777" w:rsidR="0085422C" w:rsidRDefault="0085422C">
      <w:pPr>
        <w:spacing w:after="20"/>
      </w:pPr>
    </w:p>
    <w:p w14:paraId="1E5659A1" w14:textId="77777777" w:rsidR="0085422C" w:rsidRDefault="00000000">
      <w:r>
        <w:br w:type="page"/>
      </w:r>
    </w:p>
    <w:p w14:paraId="71B945BC" w14:textId="77777777" w:rsidR="0085422C" w:rsidRDefault="00000000">
      <w:pPr>
        <w:keepNext/>
        <w:spacing w:before="80" w:after="40"/>
      </w:pPr>
      <w:r>
        <w:rPr>
          <w:rFonts w:eastAsia="Noto Sans"/>
          <w:b/>
          <w:color w:val="A73545"/>
          <w:sz w:val="17"/>
        </w:rPr>
        <w:lastRenderedPageBreak/>
        <w:t>SAME DEMAND • SAME MODEL QUALITY • SAME LATENCY SLA</w:t>
      </w:r>
    </w:p>
    <w:p w14:paraId="6BB52BBD" w14:textId="77777777" w:rsidR="0085422C" w:rsidRDefault="00000000">
      <w:pPr>
        <w:keepNext/>
        <w:spacing w:before="100" w:after="100"/>
      </w:pPr>
      <w:r>
        <w:rPr>
          <w:rFonts w:eastAsia="Noto Sans"/>
          <w:b/>
          <w:color w:val="16324F"/>
          <w:sz w:val="36"/>
        </w:rPr>
        <w:t>Baseline and hybrid sizing</w:t>
      </w:r>
    </w:p>
    <w:p w14:paraId="205BE7D3" w14:textId="77777777" w:rsidR="0085422C" w:rsidRDefault="00000000">
      <w:pPr>
        <w:spacing w:after="100" w:line="259" w:lineRule="auto"/>
      </w:pPr>
      <w:r>
        <w:rPr>
          <w:sz w:val="18"/>
        </w:rPr>
        <w:t>The node rates below are explicit planning assumptions for the RTX calibration case and are replaced by measured complete-service rates. They are useful only to set an MVP economic threshold. NVIDIA NVL and AMD Helios are not sized by multiplying or reusing these node ratios.</w:t>
      </w:r>
    </w:p>
    <w:tbl>
      <w:tblPr>
        <w:tblStyle w:val="TableGrid"/>
        <w:tblW w:w="0" w:type="auto"/>
        <w:jc w:val="center"/>
        <w:tblLayout w:type="fixed"/>
        <w:tblLook w:val="04A0" w:firstRow="1" w:lastRow="0" w:firstColumn="1" w:lastColumn="0" w:noHBand="0" w:noVBand="1"/>
      </w:tblPr>
      <w:tblGrid>
        <w:gridCol w:w="1944"/>
        <w:gridCol w:w="2880"/>
        <w:gridCol w:w="3024"/>
        <w:gridCol w:w="1007"/>
        <w:gridCol w:w="1800"/>
      </w:tblGrid>
      <w:tr w:rsidR="0085422C" w14:paraId="47E5D344" w14:textId="77777777">
        <w:trPr>
          <w:tblHeader/>
          <w:jc w:val="center"/>
        </w:trPr>
        <w:tc>
          <w:tcPr>
            <w:tcW w:w="1944" w:type="dxa"/>
            <w:shd w:val="clear" w:color="auto" w:fill="16324F"/>
            <w:tcMar>
              <w:top w:w="80" w:type="dxa"/>
              <w:left w:w="90" w:type="dxa"/>
              <w:bottom w:w="80" w:type="dxa"/>
              <w:right w:w="90" w:type="dxa"/>
            </w:tcMar>
            <w:vAlign w:val="center"/>
          </w:tcPr>
          <w:p w14:paraId="00D94E5E" w14:textId="77777777" w:rsidR="0085422C" w:rsidRDefault="00000000">
            <w:r>
              <w:rPr>
                <w:rFonts w:eastAsia="Noto Sans"/>
                <w:b/>
                <w:color w:val="FFFFFF"/>
                <w:sz w:val="14"/>
              </w:rPr>
              <w:t>Service class</w:t>
            </w:r>
          </w:p>
        </w:tc>
        <w:tc>
          <w:tcPr>
            <w:tcW w:w="2880" w:type="dxa"/>
            <w:shd w:val="clear" w:color="auto" w:fill="16324F"/>
            <w:tcMar>
              <w:top w:w="80" w:type="dxa"/>
              <w:left w:w="90" w:type="dxa"/>
              <w:bottom w:w="80" w:type="dxa"/>
              <w:right w:w="90" w:type="dxa"/>
            </w:tcMar>
            <w:vAlign w:val="center"/>
          </w:tcPr>
          <w:p w14:paraId="2BA00EEB" w14:textId="77777777" w:rsidR="00846FAB" w:rsidRDefault="00000000">
            <w:r>
              <w:rPr>
                <w:b/>
                <w:color w:val="FFFFFF"/>
                <w:sz w:val="14"/>
              </w:rPr>
              <w:t>GPU-only RTX POC/MVP baseline</w:t>
            </w:r>
          </w:p>
        </w:tc>
        <w:tc>
          <w:tcPr>
            <w:tcW w:w="3024" w:type="dxa"/>
            <w:shd w:val="clear" w:color="auto" w:fill="16324F"/>
            <w:tcMar>
              <w:top w:w="80" w:type="dxa"/>
              <w:left w:w="90" w:type="dxa"/>
              <w:bottom w:w="80" w:type="dxa"/>
              <w:right w:w="90" w:type="dxa"/>
            </w:tcMar>
            <w:vAlign w:val="center"/>
          </w:tcPr>
          <w:p w14:paraId="36690BA3" w14:textId="77777777" w:rsidR="00846FAB" w:rsidRDefault="00000000">
            <w:r>
              <w:rPr>
                <w:b/>
                <w:color w:val="FFFFFF"/>
                <w:sz w:val="14"/>
              </w:rPr>
              <w:t>RTX + ATMOS MVP target case</w:t>
            </w:r>
          </w:p>
        </w:tc>
        <w:tc>
          <w:tcPr>
            <w:tcW w:w="1007" w:type="dxa"/>
            <w:shd w:val="clear" w:color="auto" w:fill="16324F"/>
            <w:tcMar>
              <w:top w:w="80" w:type="dxa"/>
              <w:left w:w="90" w:type="dxa"/>
              <w:bottom w:w="80" w:type="dxa"/>
              <w:right w:w="90" w:type="dxa"/>
            </w:tcMar>
            <w:vAlign w:val="center"/>
          </w:tcPr>
          <w:p w14:paraId="76F04F61" w14:textId="77777777" w:rsidR="0085422C" w:rsidRDefault="00000000">
            <w:r>
              <w:rPr>
                <w:rFonts w:eastAsia="Noto Sans"/>
                <w:b/>
                <w:color w:val="FFFFFF"/>
                <w:sz w:val="14"/>
              </w:rPr>
              <w:t>Peak demand</w:t>
            </w:r>
          </w:p>
        </w:tc>
        <w:tc>
          <w:tcPr>
            <w:tcW w:w="1800" w:type="dxa"/>
            <w:shd w:val="clear" w:color="auto" w:fill="16324F"/>
            <w:tcMar>
              <w:top w:w="80" w:type="dxa"/>
              <w:left w:w="90" w:type="dxa"/>
              <w:bottom w:w="80" w:type="dxa"/>
              <w:right w:w="90" w:type="dxa"/>
            </w:tcMar>
            <w:vAlign w:val="center"/>
          </w:tcPr>
          <w:p w14:paraId="7C2238B1" w14:textId="77777777" w:rsidR="0085422C" w:rsidRDefault="00000000">
            <w:r>
              <w:rPr>
                <w:rFonts w:eastAsia="Noto Sans"/>
                <w:b/>
                <w:color w:val="FFFFFF"/>
                <w:sz w:val="14"/>
              </w:rPr>
              <w:t>Nodes incl. one reserve</w:t>
            </w:r>
          </w:p>
        </w:tc>
      </w:tr>
      <w:tr w:rsidR="0085422C" w14:paraId="05513E96" w14:textId="77777777">
        <w:trPr>
          <w:cantSplit/>
          <w:jc w:val="center"/>
        </w:trPr>
        <w:tc>
          <w:tcPr>
            <w:tcW w:w="1944" w:type="dxa"/>
            <w:tcMar>
              <w:top w:w="70" w:type="dxa"/>
              <w:left w:w="80" w:type="dxa"/>
              <w:bottom w:w="70" w:type="dxa"/>
              <w:right w:w="80" w:type="dxa"/>
            </w:tcMar>
          </w:tcPr>
          <w:p w14:paraId="56E6A002" w14:textId="77777777" w:rsidR="0085422C" w:rsidRDefault="00000000">
            <w:r>
              <w:rPr>
                <w:rFonts w:eastAsia="Noto Sans"/>
                <w:b/>
                <w:color w:val="24313D"/>
                <w:sz w:val="14"/>
              </w:rPr>
              <w:t>Claims assistant — Qwen3-235B class</w:t>
            </w:r>
          </w:p>
        </w:tc>
        <w:tc>
          <w:tcPr>
            <w:tcW w:w="2880" w:type="dxa"/>
            <w:tcMar>
              <w:top w:w="70" w:type="dxa"/>
              <w:left w:w="80" w:type="dxa"/>
              <w:bottom w:w="70" w:type="dxa"/>
              <w:right w:w="80" w:type="dxa"/>
            </w:tcMar>
          </w:tcPr>
          <w:p w14:paraId="6895516E" w14:textId="77777777" w:rsidR="0085422C" w:rsidRDefault="00000000">
            <w:r>
              <w:rPr>
                <w:rFonts w:eastAsia="Noto Sans"/>
                <w:color w:val="24313D"/>
                <w:sz w:val="14"/>
              </w:rPr>
              <w:t>1 × 8-RTX node per replica; 1.3 accepted RPS/node at the SLO.</w:t>
            </w:r>
          </w:p>
        </w:tc>
        <w:tc>
          <w:tcPr>
            <w:tcW w:w="3024" w:type="dxa"/>
            <w:tcMar>
              <w:top w:w="70" w:type="dxa"/>
              <w:left w:w="80" w:type="dxa"/>
              <w:bottom w:w="70" w:type="dxa"/>
              <w:right w:w="80" w:type="dxa"/>
            </w:tcMar>
          </w:tcPr>
          <w:p w14:paraId="4361C798" w14:textId="77777777" w:rsidR="0085422C" w:rsidRDefault="00000000">
            <w:r>
              <w:rPr>
                <w:rFonts w:eastAsia="Noto Sans"/>
                <w:color w:val="24313D"/>
                <w:sz w:val="14"/>
              </w:rPr>
              <w:t>1 × 8-RTX + 8-ATMOS node; 2.2 accepted RPS/node target.</w:t>
            </w:r>
          </w:p>
        </w:tc>
        <w:tc>
          <w:tcPr>
            <w:tcW w:w="1007" w:type="dxa"/>
            <w:tcMar>
              <w:top w:w="70" w:type="dxa"/>
              <w:left w:w="80" w:type="dxa"/>
              <w:bottom w:w="70" w:type="dxa"/>
              <w:right w:w="80" w:type="dxa"/>
            </w:tcMar>
          </w:tcPr>
          <w:p w14:paraId="1932FBDF" w14:textId="77777777" w:rsidR="0085422C" w:rsidRDefault="00000000">
            <w:r>
              <w:rPr>
                <w:rFonts w:eastAsia="Noto Sans"/>
                <w:color w:val="24313D"/>
                <w:sz w:val="14"/>
              </w:rPr>
              <w:t>20 RPS</w:t>
            </w:r>
          </w:p>
        </w:tc>
        <w:tc>
          <w:tcPr>
            <w:tcW w:w="1800" w:type="dxa"/>
            <w:tcMar>
              <w:top w:w="70" w:type="dxa"/>
              <w:left w:w="80" w:type="dxa"/>
              <w:bottom w:w="70" w:type="dxa"/>
              <w:right w:w="80" w:type="dxa"/>
            </w:tcMar>
          </w:tcPr>
          <w:p w14:paraId="53F551D5" w14:textId="77777777" w:rsidR="0085422C" w:rsidRDefault="00000000">
            <w:r>
              <w:rPr>
                <w:rFonts w:eastAsia="Noto Sans"/>
                <w:color w:val="24313D"/>
                <w:sz w:val="14"/>
              </w:rPr>
              <w:t>GPU-only: 1 + ceil(20/1.3) = 17</w:t>
            </w:r>
            <w:r>
              <w:rPr>
                <w:rFonts w:eastAsia="Noto Sans"/>
                <w:color w:val="24313D"/>
                <w:sz w:val="14"/>
              </w:rPr>
              <w:br/>
              <w:t>Hybrid: 1 + ceil(20/2.2) = 11</w:t>
            </w:r>
          </w:p>
        </w:tc>
      </w:tr>
      <w:tr w:rsidR="0085422C" w14:paraId="35064933" w14:textId="77777777">
        <w:trPr>
          <w:cantSplit/>
          <w:jc w:val="center"/>
        </w:trPr>
        <w:tc>
          <w:tcPr>
            <w:tcW w:w="1944" w:type="dxa"/>
            <w:shd w:val="clear" w:color="auto" w:fill="F3F6F8"/>
            <w:tcMar>
              <w:top w:w="70" w:type="dxa"/>
              <w:left w:w="80" w:type="dxa"/>
              <w:bottom w:w="70" w:type="dxa"/>
              <w:right w:w="80" w:type="dxa"/>
            </w:tcMar>
          </w:tcPr>
          <w:p w14:paraId="18DAAAAE" w14:textId="77777777" w:rsidR="0085422C" w:rsidRDefault="00000000">
            <w:r>
              <w:rPr>
                <w:rFonts w:eastAsia="Noto Sans"/>
                <w:b/>
                <w:color w:val="24313D"/>
                <w:sz w:val="14"/>
              </w:rPr>
              <w:t>Complex claims — ~671B FP8 MoE</w:t>
            </w:r>
          </w:p>
        </w:tc>
        <w:tc>
          <w:tcPr>
            <w:tcW w:w="2880" w:type="dxa"/>
            <w:shd w:val="clear" w:color="auto" w:fill="F3F6F8"/>
            <w:tcMar>
              <w:top w:w="70" w:type="dxa"/>
              <w:left w:w="80" w:type="dxa"/>
              <w:bottom w:w="70" w:type="dxa"/>
              <w:right w:w="80" w:type="dxa"/>
            </w:tcMar>
          </w:tcPr>
          <w:p w14:paraId="17D292CE" w14:textId="77777777" w:rsidR="0085422C" w:rsidRDefault="00000000">
            <w:r>
              <w:rPr>
                <w:rFonts w:eastAsia="Noto Sans"/>
                <w:color w:val="24313D"/>
                <w:sz w:val="14"/>
              </w:rPr>
              <w:t>2 × 8-RTX nodes per complete replica/group; 0.7 accepted RPS per two-node group.</w:t>
            </w:r>
          </w:p>
        </w:tc>
        <w:tc>
          <w:tcPr>
            <w:tcW w:w="3024" w:type="dxa"/>
            <w:shd w:val="clear" w:color="auto" w:fill="F3F6F8"/>
            <w:tcMar>
              <w:top w:w="70" w:type="dxa"/>
              <w:left w:w="80" w:type="dxa"/>
              <w:bottom w:w="70" w:type="dxa"/>
              <w:right w:w="80" w:type="dxa"/>
            </w:tcMar>
          </w:tcPr>
          <w:p w14:paraId="0456A828" w14:textId="77777777" w:rsidR="0085422C" w:rsidRDefault="00000000">
            <w:r>
              <w:rPr>
                <w:rFonts w:eastAsia="Noto Sans"/>
                <w:color w:val="24313D"/>
                <w:sz w:val="14"/>
              </w:rPr>
              <w:t>1 hybrid node if the FP8 routed-expert pack and non-expert GPU state fit; 0.7 accepted RPS/node target.</w:t>
            </w:r>
          </w:p>
        </w:tc>
        <w:tc>
          <w:tcPr>
            <w:tcW w:w="1007" w:type="dxa"/>
            <w:shd w:val="clear" w:color="auto" w:fill="F3F6F8"/>
            <w:tcMar>
              <w:top w:w="70" w:type="dxa"/>
              <w:left w:w="80" w:type="dxa"/>
              <w:bottom w:w="70" w:type="dxa"/>
              <w:right w:w="80" w:type="dxa"/>
            </w:tcMar>
          </w:tcPr>
          <w:p w14:paraId="0B7DA64E" w14:textId="77777777" w:rsidR="0085422C" w:rsidRDefault="00000000">
            <w:r>
              <w:rPr>
                <w:rFonts w:eastAsia="Noto Sans"/>
                <w:color w:val="24313D"/>
                <w:sz w:val="14"/>
              </w:rPr>
              <w:t>5 RPS</w:t>
            </w:r>
          </w:p>
        </w:tc>
        <w:tc>
          <w:tcPr>
            <w:tcW w:w="1800" w:type="dxa"/>
            <w:shd w:val="clear" w:color="auto" w:fill="F3F6F8"/>
            <w:tcMar>
              <w:top w:w="70" w:type="dxa"/>
              <w:left w:w="80" w:type="dxa"/>
              <w:bottom w:w="70" w:type="dxa"/>
              <w:right w:w="80" w:type="dxa"/>
            </w:tcMar>
          </w:tcPr>
          <w:p w14:paraId="6E61B269" w14:textId="77777777" w:rsidR="0085422C" w:rsidRDefault="00000000">
            <w:r>
              <w:rPr>
                <w:rFonts w:eastAsia="Noto Sans"/>
                <w:color w:val="24313D"/>
                <w:sz w:val="14"/>
              </w:rPr>
              <w:t>GPU-only: [1 + ceil(5/0.7)] × 2 = 18</w:t>
            </w:r>
            <w:r>
              <w:rPr>
                <w:rFonts w:eastAsia="Noto Sans"/>
                <w:color w:val="24313D"/>
                <w:sz w:val="14"/>
              </w:rPr>
              <w:br/>
              <w:t>Hybrid: 1 + ceil(5/0.7) = 9</w:t>
            </w:r>
          </w:p>
        </w:tc>
      </w:tr>
      <w:tr w:rsidR="0085422C" w14:paraId="1E505ADB" w14:textId="77777777">
        <w:trPr>
          <w:cantSplit/>
          <w:jc w:val="center"/>
        </w:trPr>
        <w:tc>
          <w:tcPr>
            <w:tcW w:w="1944" w:type="dxa"/>
            <w:tcMar>
              <w:top w:w="70" w:type="dxa"/>
              <w:left w:w="80" w:type="dxa"/>
              <w:bottom w:w="70" w:type="dxa"/>
              <w:right w:w="80" w:type="dxa"/>
            </w:tcMar>
          </w:tcPr>
          <w:p w14:paraId="4D330850" w14:textId="77777777" w:rsidR="0085422C" w:rsidRDefault="00000000">
            <w:r>
              <w:rPr>
                <w:rFonts w:eastAsia="Noto Sans"/>
                <w:b/>
                <w:color w:val="24313D"/>
                <w:sz w:val="14"/>
              </w:rPr>
              <w:t>TOTAL</w:t>
            </w:r>
          </w:p>
        </w:tc>
        <w:tc>
          <w:tcPr>
            <w:tcW w:w="2880" w:type="dxa"/>
            <w:tcMar>
              <w:top w:w="70" w:type="dxa"/>
              <w:left w:w="80" w:type="dxa"/>
              <w:bottom w:w="70" w:type="dxa"/>
              <w:right w:w="80" w:type="dxa"/>
            </w:tcMar>
          </w:tcPr>
          <w:p w14:paraId="39D2B649" w14:textId="77777777" w:rsidR="0085422C" w:rsidRDefault="00000000">
            <w:r>
              <w:rPr>
                <w:rFonts w:eastAsia="Noto Sans"/>
                <w:color w:val="24313D"/>
                <w:sz w:val="14"/>
              </w:rPr>
              <w:t>35 RTX servers = 280 RTX GPUs</w:t>
            </w:r>
          </w:p>
        </w:tc>
        <w:tc>
          <w:tcPr>
            <w:tcW w:w="3024" w:type="dxa"/>
            <w:tcMar>
              <w:top w:w="70" w:type="dxa"/>
              <w:left w:w="80" w:type="dxa"/>
              <w:bottom w:w="70" w:type="dxa"/>
              <w:right w:w="80" w:type="dxa"/>
            </w:tcMar>
          </w:tcPr>
          <w:p w14:paraId="63A7E476" w14:textId="77777777" w:rsidR="0085422C" w:rsidRDefault="00000000">
            <w:r>
              <w:rPr>
                <w:rFonts w:eastAsia="Noto Sans"/>
                <w:color w:val="24313D"/>
                <w:sz w:val="14"/>
              </w:rPr>
              <w:t>20 hybrid servers = 160 RTX GPUs + 160 ATMOS modules</w:t>
            </w:r>
          </w:p>
        </w:tc>
        <w:tc>
          <w:tcPr>
            <w:tcW w:w="1007" w:type="dxa"/>
            <w:tcMar>
              <w:top w:w="70" w:type="dxa"/>
              <w:left w:w="80" w:type="dxa"/>
              <w:bottom w:w="70" w:type="dxa"/>
              <w:right w:w="80" w:type="dxa"/>
            </w:tcMar>
          </w:tcPr>
          <w:p w14:paraId="3AF469D2" w14:textId="77777777" w:rsidR="0085422C" w:rsidRDefault="00000000">
            <w:r>
              <w:rPr>
                <w:rFonts w:eastAsia="Noto Sans"/>
                <w:color w:val="24313D"/>
                <w:sz w:val="14"/>
              </w:rPr>
              <w:t>25 RPS</w:t>
            </w:r>
          </w:p>
        </w:tc>
        <w:tc>
          <w:tcPr>
            <w:tcW w:w="1800" w:type="dxa"/>
            <w:tcMar>
              <w:top w:w="70" w:type="dxa"/>
              <w:left w:w="80" w:type="dxa"/>
              <w:bottom w:w="70" w:type="dxa"/>
              <w:right w:w="80" w:type="dxa"/>
            </w:tcMar>
          </w:tcPr>
          <w:p w14:paraId="4D8C66CB" w14:textId="77777777" w:rsidR="0085422C" w:rsidRDefault="00000000">
            <w:r>
              <w:rPr>
                <w:rFonts w:eastAsia="Noto Sans"/>
                <w:color w:val="24313D"/>
                <w:sz w:val="14"/>
              </w:rPr>
              <w:t>43% fewer servers and 120 fewer RTX GPUs in the target case</w:t>
            </w:r>
          </w:p>
        </w:tc>
      </w:tr>
    </w:tbl>
    <w:p w14:paraId="0BBA469F" w14:textId="77777777" w:rsidR="0085422C" w:rsidRDefault="0085422C">
      <w:pPr>
        <w:spacing w:after="20"/>
      </w:pPr>
    </w:p>
    <w:tbl>
      <w:tblPr>
        <w:tblStyle w:val="TableGrid"/>
        <w:tblW w:w="0" w:type="auto"/>
        <w:tblLook w:val="04A0" w:firstRow="1" w:lastRow="0" w:firstColumn="1" w:lastColumn="0" w:noHBand="0" w:noVBand="1"/>
      </w:tblPr>
      <w:tblGrid>
        <w:gridCol w:w="10358"/>
      </w:tblGrid>
      <w:tr w:rsidR="005A5290" w14:paraId="519247F3" w14:textId="77777777" w:rsidTr="005A5290">
        <w:tc>
          <w:tcPr>
            <w:tcW w:w="10584" w:type="dxa"/>
          </w:tcPr>
          <w:p w14:paraId="16302F46" w14:textId="43C33E93" w:rsidR="005A5290" w:rsidRDefault="005A5290">
            <w:pPr>
              <w:spacing w:after="40"/>
              <w:jc w:val="center"/>
            </w:pPr>
            <w:r>
              <w:rPr>
                <w:noProof/>
              </w:rPr>
              <w:drawing>
                <wp:inline distT="0" distB="0" distL="0" distR="0" wp14:anchorId="34445D47" wp14:editId="3DBB3865">
                  <wp:extent cx="5989320" cy="35598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nsurance_fleet.png"/>
                          <pic:cNvPicPr/>
                        </pic:nvPicPr>
                        <pic:blipFill>
                          <a:blip r:embed="rId13"/>
                          <a:stretch>
                            <a:fillRect/>
                          </a:stretch>
                        </pic:blipFill>
                        <pic:spPr>
                          <a:xfrm>
                            <a:off x="0" y="0"/>
                            <a:ext cx="5989320" cy="3559871"/>
                          </a:xfrm>
                          <a:prstGeom prst="rect">
                            <a:avLst/>
                          </a:prstGeom>
                        </pic:spPr>
                      </pic:pic>
                    </a:graphicData>
                  </a:graphic>
                </wp:inline>
              </w:drawing>
            </w:r>
          </w:p>
        </w:tc>
      </w:tr>
    </w:tbl>
    <w:p w14:paraId="04340B0C" w14:textId="4F8D5B44" w:rsidR="0085422C" w:rsidRDefault="0085422C">
      <w:pPr>
        <w:spacing w:after="40"/>
        <w:jc w:val="center"/>
      </w:pPr>
    </w:p>
    <w:p w14:paraId="5B987132" w14:textId="77777777" w:rsidR="0085422C" w:rsidRDefault="00000000">
      <w:pPr>
        <w:spacing w:after="100"/>
        <w:jc w:val="center"/>
      </w:pPr>
      <w:r>
        <w:rPr>
          <w:i/>
          <w:color w:val="66727D"/>
          <w:sz w:val="16"/>
        </w:rPr>
        <w:t>Figure 4. RTX MVP calibration only. The large-model benefit comes primarily from changing the complete replica geometry; the Qwen-class benefit also assumes higher accepted rate per hybrid node. Rack-scale NVL/Helios results must be re-measured from their own control configurations.</w:t>
      </w:r>
    </w:p>
    <w:p w14:paraId="023B80F5" w14:textId="77777777" w:rsidR="0085422C" w:rsidRDefault="00000000">
      <w:pPr>
        <w:keepNext/>
        <w:spacing w:before="60" w:after="60"/>
      </w:pPr>
      <w:r>
        <w:rPr>
          <w:rFonts w:eastAsia="Noto Sans"/>
          <w:b/>
          <w:color w:val="16324F"/>
          <w:sz w:val="25"/>
        </w:rPr>
        <w:t>Sensitivity: how much node improvement is required to justify the hybrid premium?</w:t>
      </w:r>
    </w:p>
    <w:p w14:paraId="3FCED8CC" w14:textId="77777777" w:rsidR="0085422C" w:rsidRDefault="00000000">
      <w:pPr>
        <w:spacing w:after="100" w:line="259" w:lineRule="auto"/>
      </w:pPr>
      <w:r>
        <w:rPr>
          <w:rFonts w:eastAsia="Noto Sans"/>
          <w:color w:val="24313D"/>
          <w:sz w:val="18"/>
        </w:rPr>
        <w:t>Normalize a GPU-only node’s comparable three-year cost to 100 units and assume the hybrid node costs 120 units after ATMOS modules, switch, power/support and platform overhead. Integration NRE is accounted separately. The table shows why the program needs service-rate evidence rather than a capacity-only story.</w:t>
      </w:r>
    </w:p>
    <w:tbl>
      <w:tblPr>
        <w:tblStyle w:val="TableGrid"/>
        <w:tblW w:w="0" w:type="auto"/>
        <w:jc w:val="center"/>
        <w:tblLayout w:type="fixed"/>
        <w:tblLook w:val="04A0" w:firstRow="1" w:lastRow="0" w:firstColumn="1" w:lastColumn="0" w:noHBand="0" w:noVBand="1"/>
      </w:tblPr>
      <w:tblGrid>
        <w:gridCol w:w="1800"/>
        <w:gridCol w:w="2016"/>
        <w:gridCol w:w="2304"/>
        <w:gridCol w:w="1440"/>
        <w:gridCol w:w="1440"/>
        <w:gridCol w:w="2880"/>
      </w:tblGrid>
      <w:tr w:rsidR="0085422C" w14:paraId="00F430ED" w14:textId="77777777">
        <w:trPr>
          <w:tblHeader/>
          <w:jc w:val="center"/>
        </w:trPr>
        <w:tc>
          <w:tcPr>
            <w:tcW w:w="1800" w:type="dxa"/>
            <w:shd w:val="clear" w:color="auto" w:fill="16324F"/>
            <w:tcMar>
              <w:top w:w="80" w:type="dxa"/>
              <w:left w:w="90" w:type="dxa"/>
              <w:bottom w:w="80" w:type="dxa"/>
              <w:right w:w="90" w:type="dxa"/>
            </w:tcMar>
            <w:vAlign w:val="center"/>
          </w:tcPr>
          <w:p w14:paraId="7D5FE0E0" w14:textId="77777777" w:rsidR="0085422C" w:rsidRDefault="00000000">
            <w:r>
              <w:rPr>
                <w:rFonts w:eastAsia="Noto Sans"/>
                <w:b/>
                <w:color w:val="FFFFFF"/>
                <w:sz w:val="15"/>
              </w:rPr>
              <w:t>Case</w:t>
            </w:r>
          </w:p>
        </w:tc>
        <w:tc>
          <w:tcPr>
            <w:tcW w:w="2016" w:type="dxa"/>
            <w:shd w:val="clear" w:color="auto" w:fill="16324F"/>
            <w:tcMar>
              <w:top w:w="80" w:type="dxa"/>
              <w:left w:w="90" w:type="dxa"/>
              <w:bottom w:w="80" w:type="dxa"/>
              <w:right w:w="90" w:type="dxa"/>
            </w:tcMar>
            <w:vAlign w:val="center"/>
          </w:tcPr>
          <w:p w14:paraId="6242EF41" w14:textId="77777777" w:rsidR="0085422C" w:rsidRDefault="00000000">
            <w:r>
              <w:rPr>
                <w:rFonts w:eastAsia="Noto Sans"/>
                <w:b/>
                <w:color w:val="FFFFFF"/>
                <w:sz w:val="15"/>
              </w:rPr>
              <w:t>Qwen hybrid qualified rate</w:t>
            </w:r>
          </w:p>
        </w:tc>
        <w:tc>
          <w:tcPr>
            <w:tcW w:w="2304" w:type="dxa"/>
            <w:shd w:val="clear" w:color="auto" w:fill="16324F"/>
            <w:tcMar>
              <w:top w:w="80" w:type="dxa"/>
              <w:left w:w="90" w:type="dxa"/>
              <w:bottom w:w="80" w:type="dxa"/>
              <w:right w:w="90" w:type="dxa"/>
            </w:tcMar>
            <w:vAlign w:val="center"/>
          </w:tcPr>
          <w:p w14:paraId="3CE17072" w14:textId="77777777" w:rsidR="0085422C" w:rsidRDefault="00000000">
            <w:r>
              <w:rPr>
                <w:rFonts w:eastAsia="Noto Sans"/>
                <w:b/>
                <w:color w:val="FFFFFF"/>
                <w:sz w:val="15"/>
              </w:rPr>
              <w:t>Large-MoE hybrid qualified rate</w:t>
            </w:r>
          </w:p>
        </w:tc>
        <w:tc>
          <w:tcPr>
            <w:tcW w:w="1440" w:type="dxa"/>
            <w:shd w:val="clear" w:color="auto" w:fill="16324F"/>
            <w:tcMar>
              <w:top w:w="80" w:type="dxa"/>
              <w:left w:w="90" w:type="dxa"/>
              <w:bottom w:w="80" w:type="dxa"/>
              <w:right w:w="90" w:type="dxa"/>
            </w:tcMar>
            <w:vAlign w:val="center"/>
          </w:tcPr>
          <w:p w14:paraId="2FA3AB78" w14:textId="77777777" w:rsidR="0085422C" w:rsidRDefault="00000000">
            <w:r>
              <w:rPr>
                <w:rFonts w:eastAsia="Noto Sans"/>
                <w:b/>
                <w:color w:val="FFFFFF"/>
                <w:sz w:val="15"/>
              </w:rPr>
              <w:t>Hybrid fleet</w:t>
            </w:r>
          </w:p>
        </w:tc>
        <w:tc>
          <w:tcPr>
            <w:tcW w:w="1440" w:type="dxa"/>
            <w:shd w:val="clear" w:color="auto" w:fill="16324F"/>
            <w:tcMar>
              <w:top w:w="80" w:type="dxa"/>
              <w:left w:w="90" w:type="dxa"/>
              <w:bottom w:w="80" w:type="dxa"/>
              <w:right w:w="90" w:type="dxa"/>
            </w:tcMar>
            <w:vAlign w:val="center"/>
          </w:tcPr>
          <w:p w14:paraId="34F5DD35" w14:textId="77777777" w:rsidR="0085422C" w:rsidRDefault="00000000">
            <w:r>
              <w:rPr>
                <w:rFonts w:eastAsia="Noto Sans"/>
                <w:b/>
                <w:color w:val="FFFFFF"/>
                <w:sz w:val="15"/>
              </w:rPr>
              <w:t>Node reduction</w:t>
            </w:r>
          </w:p>
        </w:tc>
        <w:tc>
          <w:tcPr>
            <w:tcW w:w="2880" w:type="dxa"/>
            <w:shd w:val="clear" w:color="auto" w:fill="16324F"/>
            <w:tcMar>
              <w:top w:w="80" w:type="dxa"/>
              <w:left w:w="90" w:type="dxa"/>
              <w:bottom w:w="80" w:type="dxa"/>
              <w:right w:w="90" w:type="dxa"/>
            </w:tcMar>
            <w:vAlign w:val="center"/>
          </w:tcPr>
          <w:p w14:paraId="57340016" w14:textId="77777777" w:rsidR="0085422C" w:rsidRDefault="00000000">
            <w:r>
              <w:rPr>
                <w:rFonts w:eastAsia="Noto Sans"/>
                <w:b/>
                <w:color w:val="FFFFFF"/>
                <w:sz w:val="15"/>
              </w:rPr>
              <w:t>Comparable cost vs GPU-only</w:t>
            </w:r>
          </w:p>
        </w:tc>
      </w:tr>
      <w:tr w:rsidR="0085422C" w14:paraId="6D4B46BD" w14:textId="77777777">
        <w:trPr>
          <w:cantSplit/>
          <w:jc w:val="center"/>
        </w:trPr>
        <w:tc>
          <w:tcPr>
            <w:tcW w:w="1800" w:type="dxa"/>
            <w:tcMar>
              <w:top w:w="70" w:type="dxa"/>
              <w:left w:w="80" w:type="dxa"/>
              <w:bottom w:w="70" w:type="dxa"/>
              <w:right w:w="80" w:type="dxa"/>
            </w:tcMar>
          </w:tcPr>
          <w:p w14:paraId="33059AE9" w14:textId="77777777" w:rsidR="0085422C" w:rsidRDefault="00000000">
            <w:r>
              <w:rPr>
                <w:rFonts w:eastAsia="Noto Sans"/>
                <w:b/>
                <w:color w:val="24313D"/>
                <w:sz w:val="15"/>
              </w:rPr>
              <w:lastRenderedPageBreak/>
              <w:t>Minimum useful</w:t>
            </w:r>
          </w:p>
        </w:tc>
        <w:tc>
          <w:tcPr>
            <w:tcW w:w="2016" w:type="dxa"/>
            <w:tcMar>
              <w:top w:w="70" w:type="dxa"/>
              <w:left w:w="80" w:type="dxa"/>
              <w:bottom w:w="70" w:type="dxa"/>
              <w:right w:w="80" w:type="dxa"/>
            </w:tcMar>
          </w:tcPr>
          <w:p w14:paraId="7914B9EE" w14:textId="77777777" w:rsidR="0085422C" w:rsidRDefault="00000000">
            <w:r>
              <w:rPr>
                <w:rFonts w:eastAsia="Noto Sans"/>
                <w:color w:val="24313D"/>
                <w:sz w:val="15"/>
              </w:rPr>
              <w:t>1.7 RPS/node</w:t>
            </w:r>
          </w:p>
        </w:tc>
        <w:tc>
          <w:tcPr>
            <w:tcW w:w="2304" w:type="dxa"/>
            <w:tcMar>
              <w:top w:w="70" w:type="dxa"/>
              <w:left w:w="80" w:type="dxa"/>
              <w:bottom w:w="70" w:type="dxa"/>
              <w:right w:w="80" w:type="dxa"/>
            </w:tcMar>
          </w:tcPr>
          <w:p w14:paraId="2B2DCA46" w14:textId="77777777" w:rsidR="0085422C" w:rsidRDefault="00000000">
            <w:r>
              <w:rPr>
                <w:rFonts w:eastAsia="Noto Sans"/>
                <w:color w:val="24313D"/>
                <w:sz w:val="15"/>
              </w:rPr>
              <w:t>0.55 RPS/node</w:t>
            </w:r>
          </w:p>
        </w:tc>
        <w:tc>
          <w:tcPr>
            <w:tcW w:w="1440" w:type="dxa"/>
            <w:tcMar>
              <w:top w:w="70" w:type="dxa"/>
              <w:left w:w="80" w:type="dxa"/>
              <w:bottom w:w="70" w:type="dxa"/>
              <w:right w:w="80" w:type="dxa"/>
            </w:tcMar>
          </w:tcPr>
          <w:p w14:paraId="16B5A364" w14:textId="77777777" w:rsidR="0085422C" w:rsidRDefault="00000000">
            <w:r>
              <w:rPr>
                <w:rFonts w:eastAsia="Noto Sans"/>
                <w:color w:val="24313D"/>
                <w:sz w:val="15"/>
              </w:rPr>
              <w:t>24 nodes</w:t>
            </w:r>
          </w:p>
        </w:tc>
        <w:tc>
          <w:tcPr>
            <w:tcW w:w="1440" w:type="dxa"/>
            <w:tcMar>
              <w:top w:w="70" w:type="dxa"/>
              <w:left w:w="80" w:type="dxa"/>
              <w:bottom w:w="70" w:type="dxa"/>
              <w:right w:w="80" w:type="dxa"/>
            </w:tcMar>
          </w:tcPr>
          <w:p w14:paraId="514A0380" w14:textId="77777777" w:rsidR="0085422C" w:rsidRDefault="00000000">
            <w:r>
              <w:rPr>
                <w:rFonts w:eastAsia="Noto Sans"/>
                <w:color w:val="24313D"/>
                <w:sz w:val="15"/>
              </w:rPr>
              <w:t>31%</w:t>
            </w:r>
          </w:p>
        </w:tc>
        <w:tc>
          <w:tcPr>
            <w:tcW w:w="2880" w:type="dxa"/>
            <w:tcMar>
              <w:top w:w="70" w:type="dxa"/>
              <w:left w:w="80" w:type="dxa"/>
              <w:bottom w:w="70" w:type="dxa"/>
              <w:right w:w="80" w:type="dxa"/>
            </w:tcMar>
          </w:tcPr>
          <w:p w14:paraId="1F752CFA" w14:textId="77777777" w:rsidR="0085422C" w:rsidRDefault="00000000">
            <w:r>
              <w:rPr>
                <w:rFonts w:eastAsia="Noto Sans"/>
                <w:color w:val="24313D"/>
                <w:sz w:val="15"/>
              </w:rPr>
              <w:t>2,880 vs 3,500 units → ~18% lower</w:t>
            </w:r>
          </w:p>
        </w:tc>
      </w:tr>
      <w:tr w:rsidR="0085422C" w14:paraId="18765B9F" w14:textId="77777777">
        <w:trPr>
          <w:cantSplit/>
          <w:jc w:val="center"/>
        </w:trPr>
        <w:tc>
          <w:tcPr>
            <w:tcW w:w="1800" w:type="dxa"/>
            <w:shd w:val="clear" w:color="auto" w:fill="F6F8FA"/>
            <w:tcMar>
              <w:top w:w="70" w:type="dxa"/>
              <w:left w:w="80" w:type="dxa"/>
              <w:bottom w:w="70" w:type="dxa"/>
              <w:right w:w="80" w:type="dxa"/>
            </w:tcMar>
          </w:tcPr>
          <w:p w14:paraId="7BE5AB48" w14:textId="77777777" w:rsidR="0085422C" w:rsidRDefault="00000000">
            <w:r>
              <w:rPr>
                <w:rFonts w:eastAsia="Noto Sans"/>
                <w:b/>
                <w:color w:val="24313D"/>
                <w:sz w:val="15"/>
              </w:rPr>
              <w:t>Target planning case</w:t>
            </w:r>
          </w:p>
        </w:tc>
        <w:tc>
          <w:tcPr>
            <w:tcW w:w="2016" w:type="dxa"/>
            <w:shd w:val="clear" w:color="auto" w:fill="F6F8FA"/>
            <w:tcMar>
              <w:top w:w="70" w:type="dxa"/>
              <w:left w:w="80" w:type="dxa"/>
              <w:bottom w:w="70" w:type="dxa"/>
              <w:right w:w="80" w:type="dxa"/>
            </w:tcMar>
          </w:tcPr>
          <w:p w14:paraId="34E8D547" w14:textId="77777777" w:rsidR="0085422C" w:rsidRDefault="00000000">
            <w:r>
              <w:rPr>
                <w:rFonts w:eastAsia="Noto Sans"/>
                <w:color w:val="24313D"/>
                <w:sz w:val="15"/>
              </w:rPr>
              <w:t>2.2 RPS/node</w:t>
            </w:r>
          </w:p>
        </w:tc>
        <w:tc>
          <w:tcPr>
            <w:tcW w:w="2304" w:type="dxa"/>
            <w:shd w:val="clear" w:color="auto" w:fill="F6F8FA"/>
            <w:tcMar>
              <w:top w:w="70" w:type="dxa"/>
              <w:left w:w="80" w:type="dxa"/>
              <w:bottom w:w="70" w:type="dxa"/>
              <w:right w:w="80" w:type="dxa"/>
            </w:tcMar>
          </w:tcPr>
          <w:p w14:paraId="634AE2D3" w14:textId="77777777" w:rsidR="0085422C" w:rsidRDefault="00000000">
            <w:r>
              <w:rPr>
                <w:rFonts w:eastAsia="Noto Sans"/>
                <w:color w:val="24313D"/>
                <w:sz w:val="15"/>
              </w:rPr>
              <w:t>0.70 RPS/node</w:t>
            </w:r>
          </w:p>
        </w:tc>
        <w:tc>
          <w:tcPr>
            <w:tcW w:w="1440" w:type="dxa"/>
            <w:shd w:val="clear" w:color="auto" w:fill="F6F8FA"/>
            <w:tcMar>
              <w:top w:w="70" w:type="dxa"/>
              <w:left w:w="80" w:type="dxa"/>
              <w:bottom w:w="70" w:type="dxa"/>
              <w:right w:w="80" w:type="dxa"/>
            </w:tcMar>
          </w:tcPr>
          <w:p w14:paraId="4AECB748" w14:textId="77777777" w:rsidR="0085422C" w:rsidRDefault="00000000">
            <w:r>
              <w:rPr>
                <w:rFonts w:eastAsia="Noto Sans"/>
                <w:color w:val="24313D"/>
                <w:sz w:val="15"/>
              </w:rPr>
              <w:t>20 nodes</w:t>
            </w:r>
          </w:p>
        </w:tc>
        <w:tc>
          <w:tcPr>
            <w:tcW w:w="1440" w:type="dxa"/>
            <w:shd w:val="clear" w:color="auto" w:fill="F6F8FA"/>
            <w:tcMar>
              <w:top w:w="70" w:type="dxa"/>
              <w:left w:w="80" w:type="dxa"/>
              <w:bottom w:w="70" w:type="dxa"/>
              <w:right w:w="80" w:type="dxa"/>
            </w:tcMar>
          </w:tcPr>
          <w:p w14:paraId="76401DF1" w14:textId="77777777" w:rsidR="0085422C" w:rsidRDefault="00000000">
            <w:r>
              <w:rPr>
                <w:rFonts w:eastAsia="Noto Sans"/>
                <w:color w:val="24313D"/>
                <w:sz w:val="15"/>
              </w:rPr>
              <w:t>43%</w:t>
            </w:r>
          </w:p>
        </w:tc>
        <w:tc>
          <w:tcPr>
            <w:tcW w:w="2880" w:type="dxa"/>
            <w:shd w:val="clear" w:color="auto" w:fill="F6F8FA"/>
            <w:tcMar>
              <w:top w:w="70" w:type="dxa"/>
              <w:left w:w="80" w:type="dxa"/>
              <w:bottom w:w="70" w:type="dxa"/>
              <w:right w:w="80" w:type="dxa"/>
            </w:tcMar>
          </w:tcPr>
          <w:p w14:paraId="14C9B01F" w14:textId="77777777" w:rsidR="0085422C" w:rsidRDefault="00000000">
            <w:r>
              <w:rPr>
                <w:rFonts w:eastAsia="Noto Sans"/>
                <w:color w:val="24313D"/>
                <w:sz w:val="15"/>
              </w:rPr>
              <w:t>2,400 vs 3,500 units → ~31% lower</w:t>
            </w:r>
          </w:p>
        </w:tc>
      </w:tr>
      <w:tr w:rsidR="0085422C" w14:paraId="6304B088" w14:textId="77777777">
        <w:trPr>
          <w:cantSplit/>
          <w:jc w:val="center"/>
        </w:trPr>
        <w:tc>
          <w:tcPr>
            <w:tcW w:w="1800" w:type="dxa"/>
            <w:tcMar>
              <w:top w:w="70" w:type="dxa"/>
              <w:left w:w="80" w:type="dxa"/>
              <w:bottom w:w="70" w:type="dxa"/>
              <w:right w:w="80" w:type="dxa"/>
            </w:tcMar>
          </w:tcPr>
          <w:p w14:paraId="0FA5ABBF" w14:textId="77777777" w:rsidR="0085422C" w:rsidRDefault="00000000">
            <w:r>
              <w:rPr>
                <w:rFonts w:eastAsia="Noto Sans"/>
                <w:b/>
                <w:color w:val="24313D"/>
                <w:sz w:val="15"/>
              </w:rPr>
              <w:t>Stretch</w:t>
            </w:r>
          </w:p>
        </w:tc>
        <w:tc>
          <w:tcPr>
            <w:tcW w:w="2016" w:type="dxa"/>
            <w:tcMar>
              <w:top w:w="70" w:type="dxa"/>
              <w:left w:w="80" w:type="dxa"/>
              <w:bottom w:w="70" w:type="dxa"/>
              <w:right w:w="80" w:type="dxa"/>
            </w:tcMar>
          </w:tcPr>
          <w:p w14:paraId="61BA6EB7" w14:textId="77777777" w:rsidR="0085422C" w:rsidRDefault="00000000">
            <w:r>
              <w:rPr>
                <w:rFonts w:eastAsia="Noto Sans"/>
                <w:color w:val="24313D"/>
                <w:sz w:val="15"/>
              </w:rPr>
              <w:t>2.6 RPS/node</w:t>
            </w:r>
          </w:p>
        </w:tc>
        <w:tc>
          <w:tcPr>
            <w:tcW w:w="2304" w:type="dxa"/>
            <w:tcMar>
              <w:top w:w="70" w:type="dxa"/>
              <w:left w:w="80" w:type="dxa"/>
              <w:bottom w:w="70" w:type="dxa"/>
              <w:right w:w="80" w:type="dxa"/>
            </w:tcMar>
          </w:tcPr>
          <w:p w14:paraId="48364263" w14:textId="77777777" w:rsidR="0085422C" w:rsidRDefault="00000000">
            <w:r>
              <w:rPr>
                <w:rFonts w:eastAsia="Noto Sans"/>
                <w:color w:val="24313D"/>
                <w:sz w:val="15"/>
              </w:rPr>
              <w:t>0.90 RPS/node</w:t>
            </w:r>
          </w:p>
        </w:tc>
        <w:tc>
          <w:tcPr>
            <w:tcW w:w="1440" w:type="dxa"/>
            <w:tcMar>
              <w:top w:w="70" w:type="dxa"/>
              <w:left w:w="80" w:type="dxa"/>
              <w:bottom w:w="70" w:type="dxa"/>
              <w:right w:w="80" w:type="dxa"/>
            </w:tcMar>
          </w:tcPr>
          <w:p w14:paraId="649DBCFC" w14:textId="77777777" w:rsidR="0085422C" w:rsidRDefault="00000000">
            <w:r>
              <w:rPr>
                <w:rFonts w:eastAsia="Noto Sans"/>
                <w:color w:val="24313D"/>
                <w:sz w:val="15"/>
              </w:rPr>
              <w:t>16 nodes</w:t>
            </w:r>
          </w:p>
        </w:tc>
        <w:tc>
          <w:tcPr>
            <w:tcW w:w="1440" w:type="dxa"/>
            <w:tcMar>
              <w:top w:w="70" w:type="dxa"/>
              <w:left w:w="80" w:type="dxa"/>
              <w:bottom w:w="70" w:type="dxa"/>
              <w:right w:w="80" w:type="dxa"/>
            </w:tcMar>
          </w:tcPr>
          <w:p w14:paraId="1267F467" w14:textId="77777777" w:rsidR="0085422C" w:rsidRDefault="00000000">
            <w:r>
              <w:rPr>
                <w:rFonts w:eastAsia="Noto Sans"/>
                <w:color w:val="24313D"/>
                <w:sz w:val="15"/>
              </w:rPr>
              <w:t>54%</w:t>
            </w:r>
          </w:p>
        </w:tc>
        <w:tc>
          <w:tcPr>
            <w:tcW w:w="2880" w:type="dxa"/>
            <w:tcMar>
              <w:top w:w="70" w:type="dxa"/>
              <w:left w:w="80" w:type="dxa"/>
              <w:bottom w:w="70" w:type="dxa"/>
              <w:right w:w="80" w:type="dxa"/>
            </w:tcMar>
          </w:tcPr>
          <w:p w14:paraId="3917D9A0" w14:textId="77777777" w:rsidR="0085422C" w:rsidRDefault="00000000">
            <w:r>
              <w:rPr>
                <w:rFonts w:eastAsia="Noto Sans"/>
                <w:color w:val="24313D"/>
                <w:sz w:val="15"/>
              </w:rPr>
              <w:t>1,920 vs 3,500 units → ~45% lower</w:t>
            </w:r>
          </w:p>
        </w:tc>
      </w:tr>
    </w:tbl>
    <w:p w14:paraId="45F53057" w14:textId="77777777" w:rsidR="0085422C" w:rsidRDefault="0085422C">
      <w:pPr>
        <w:spacing w:after="20"/>
      </w:pPr>
    </w:p>
    <w:p w14:paraId="6A4C58C3" w14:textId="77777777" w:rsidR="0085422C" w:rsidRDefault="00000000">
      <w:pPr>
        <w:spacing w:before="20" w:after="80"/>
      </w:pPr>
      <w:r>
        <w:rPr>
          <w:i/>
          <w:color w:val="66727D"/>
          <w:sz w:val="16"/>
        </w:rPr>
        <w:t>Source / note: These rates and the 20% hybrid-node premium are scenario inputs, not forecasts. The illustrative dollar translation is an RTX-MVP calibration only and must not be presented as NVL or Helios TCO. Rack-scale economics use actual GPU-rack quotes, power, networking, availability reserve and measured accepted service rate.</w:t>
      </w:r>
    </w:p>
    <w:p w14:paraId="0DF624E8" w14:textId="77777777" w:rsidR="0085422C" w:rsidRDefault="00000000">
      <w:pPr>
        <w:keepNext/>
        <w:spacing w:before="60" w:after="60"/>
      </w:pPr>
      <w:r>
        <w:rPr>
          <w:rFonts w:eastAsia="Noto Sans"/>
          <w:b/>
          <w:color w:val="16324F"/>
          <w:sz w:val="25"/>
        </w:rPr>
        <w:t>Operational effect beyond server count</w:t>
      </w:r>
    </w:p>
    <w:p w14:paraId="36F2999F" w14:textId="77777777" w:rsidR="0085422C" w:rsidRDefault="00000000">
      <w:pPr>
        <w:pStyle w:val="ListBullet"/>
        <w:spacing w:after="40" w:line="252" w:lineRule="auto"/>
        <w:ind w:left="259" w:hanging="173"/>
      </w:pPr>
      <w:r>
        <w:rPr>
          <w:rFonts w:eastAsia="Noto Sans"/>
          <w:color w:val="24313D"/>
        </w:rPr>
        <w:t>Fewer RTX nodes means fewer GPU/NIC/server firmware combinations to patch, monitor, spare and recover, but each hybrid node adds ATMOS firmware/driver and switch lifecycle that must be supported as one release.</w:t>
      </w:r>
    </w:p>
    <w:p w14:paraId="13FC2B3A" w14:textId="77777777" w:rsidR="0085422C" w:rsidRDefault="00000000">
      <w:pPr>
        <w:pStyle w:val="ListBullet"/>
        <w:spacing w:after="40" w:line="252" w:lineRule="auto"/>
        <w:ind w:left="259" w:hanging="173"/>
      </w:pPr>
      <w:r>
        <w:rPr>
          <w:rFonts w:eastAsia="Noto Sans"/>
          <w:color w:val="24313D"/>
        </w:rPr>
        <w:t>A complete local expert bank can reduce inter-node EP traffic for the supported group. That may simplify network sizing and tail behavior, but the saving is counted only when ports/bandwidth or service capacity can actually be removed or avoided.</w:t>
      </w:r>
    </w:p>
    <w:p w14:paraId="4C1307F7" w14:textId="77777777" w:rsidR="0085422C" w:rsidRDefault="00000000">
      <w:pPr>
        <w:pStyle w:val="ListBullet"/>
        <w:spacing w:after="40" w:line="252" w:lineRule="auto"/>
        <w:ind w:left="259" w:hanging="173"/>
      </w:pPr>
      <w:r>
        <w:rPr>
          <w:rFonts w:eastAsia="Noto Sans"/>
          <w:color w:val="24313D"/>
        </w:rPr>
        <w:t>More free RTX GDDR can be spent on live KV and active sequences. This can reduce admission pressure and queueing; any TTFT/TPOT improvement must be measured at identical offered load and is not included in the node-count arithmetic above.</w:t>
      </w:r>
    </w:p>
    <w:p w14:paraId="11257BE7" w14:textId="77777777" w:rsidR="0085422C" w:rsidRDefault="00000000">
      <w:pPr>
        <w:pStyle w:val="ListBullet"/>
        <w:spacing w:after="40" w:line="252" w:lineRule="auto"/>
        <w:ind w:left="259" w:hanging="173"/>
      </w:pPr>
      <w:r>
        <w:rPr>
          <w:rFonts w:eastAsia="Noto Sans"/>
          <w:color w:val="24313D"/>
        </w:rPr>
        <w:t>The 16-bit ~671B case is a deliberate limit case: the routed expert bank alone is ~1.31 TB raw, so eight ATMOS devices under the 800-GB study budget do not make it a one-node service. Precision and actual pack size determine the valid topology.</w:t>
      </w:r>
    </w:p>
    <w:tbl>
      <w:tblPr>
        <w:tblStyle w:val="TableGrid"/>
        <w:tblW w:w="0" w:type="auto"/>
        <w:jc w:val="center"/>
        <w:tblLayout w:type="fixed"/>
        <w:tblLook w:val="04A0" w:firstRow="1" w:lastRow="0" w:firstColumn="1" w:lastColumn="0" w:noHBand="0" w:noVBand="1"/>
      </w:tblPr>
      <w:tblGrid>
        <w:gridCol w:w="10224"/>
      </w:tblGrid>
      <w:tr w:rsidR="00846FAB" w14:paraId="6C4C294C" w14:textId="77777777">
        <w:trPr>
          <w:tblHeader/>
          <w:jc w:val="center"/>
        </w:trPr>
        <w:tc>
          <w:tcPr>
            <w:tcW w:w="10224" w:type="dxa"/>
            <w:shd w:val="clear" w:color="auto" w:fill="F9ECEF"/>
            <w:vAlign w:val="center"/>
          </w:tcPr>
          <w:p w14:paraId="660F1958" w14:textId="77777777" w:rsidR="00846FAB" w:rsidRDefault="00000000">
            <w:r>
              <w:rPr>
                <w:b/>
                <w:color w:val="A73545"/>
                <w:sz w:val="16"/>
              </w:rPr>
              <w:t>RACK-SCALE TRANSLATION RULE  Hold the model, request mix, quality, TTFT/TPOT and failure reserve constant. Compare GPU-only NVL with NVL+ATMOS and GPU-only Helios with Helios+ATMOS. Credit only measured gains such as more accepted tokens/requests per rack, more usable KV/concurrency, fewer active GPU trays/racks, or avoidable scale-out traffic. Do not transfer the 43% RTX-MVP node reduction.</w:t>
            </w:r>
          </w:p>
        </w:tc>
      </w:tr>
    </w:tbl>
    <w:p w14:paraId="40D92AC4" w14:textId="77777777" w:rsidR="0085422C" w:rsidRDefault="00000000">
      <w:r>
        <w:br w:type="page"/>
      </w:r>
    </w:p>
    <w:p w14:paraId="664A7918" w14:textId="77777777" w:rsidR="0085422C" w:rsidRDefault="0085422C"/>
    <w:p w14:paraId="52146A08" w14:textId="77777777" w:rsidR="0085422C" w:rsidRDefault="00000000">
      <w:pPr>
        <w:keepNext/>
        <w:spacing w:before="80" w:after="40"/>
      </w:pPr>
      <w:r>
        <w:rPr>
          <w:rFonts w:eastAsia="Noto Sans"/>
          <w:b/>
          <w:color w:val="A73545"/>
          <w:sz w:val="17"/>
        </w:rPr>
        <w:t>EVIDENCE SEQUENCE</w:t>
      </w:r>
    </w:p>
    <w:p w14:paraId="7434865A" w14:textId="77777777" w:rsidR="0085422C" w:rsidRDefault="00000000">
      <w:pPr>
        <w:keepNext/>
        <w:spacing w:before="100" w:after="100"/>
      </w:pPr>
      <w:r>
        <w:rPr>
          <w:b/>
          <w:color w:val="16324F"/>
          <w:sz w:val="36"/>
        </w:rPr>
        <w:t>Part IV — Validation plan: four grouped gates from primitive to rack-scale product</w:t>
      </w:r>
    </w:p>
    <w:p w14:paraId="23206AEA" w14:textId="55A91130" w:rsidR="0085422C" w:rsidRDefault="003431E3">
      <w:pPr>
        <w:keepNext/>
        <w:spacing w:before="60" w:after="60"/>
      </w:pPr>
      <w:r w:rsidRPr="003431E3">
        <w:rPr>
          <w:rFonts w:eastAsia="Noto Sans"/>
          <w:b/>
          <w:color w:val="16324F"/>
          <w:sz w:val="25"/>
        </w:rPr>
        <w:drawing>
          <wp:inline distT="0" distB="0" distL="0" distR="0" wp14:anchorId="5205337B" wp14:editId="4F3678B9">
            <wp:extent cx="6583680" cy="4389120"/>
            <wp:effectExtent l="0" t="0" r="0" b="5080"/>
            <wp:docPr id="82423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36669" name=""/>
                    <pic:cNvPicPr/>
                  </pic:nvPicPr>
                  <pic:blipFill>
                    <a:blip r:embed="rId14"/>
                    <a:stretch>
                      <a:fillRect/>
                    </a:stretch>
                  </pic:blipFill>
                  <pic:spPr>
                    <a:xfrm>
                      <a:off x="0" y="0"/>
                      <a:ext cx="6583680" cy="4389120"/>
                    </a:xfrm>
                    <a:prstGeom prst="rect">
                      <a:avLst/>
                    </a:prstGeom>
                  </pic:spPr>
                </pic:pic>
              </a:graphicData>
            </a:graphic>
          </wp:inline>
        </w:drawing>
      </w:r>
      <w:r w:rsidR="00000000">
        <w:rPr>
          <w:rFonts w:eastAsia="Noto Sans"/>
          <w:b/>
          <w:color w:val="16324F"/>
          <w:sz w:val="25"/>
        </w:rPr>
        <w:t>POC decision scoreboard</w:t>
      </w:r>
    </w:p>
    <w:tbl>
      <w:tblPr>
        <w:tblStyle w:val="TableGrid"/>
        <w:tblW w:w="0" w:type="auto"/>
        <w:jc w:val="center"/>
        <w:tblLayout w:type="fixed"/>
        <w:tblLook w:val="04A0" w:firstRow="1" w:lastRow="0" w:firstColumn="1" w:lastColumn="0" w:noHBand="0" w:noVBand="1"/>
      </w:tblPr>
      <w:tblGrid>
        <w:gridCol w:w="3240"/>
        <w:gridCol w:w="3671"/>
        <w:gridCol w:w="3311"/>
      </w:tblGrid>
      <w:tr w:rsidR="0085422C" w14:paraId="56239ACE" w14:textId="77777777">
        <w:trPr>
          <w:tblHeader/>
          <w:jc w:val="center"/>
        </w:trPr>
        <w:tc>
          <w:tcPr>
            <w:tcW w:w="3240" w:type="dxa"/>
            <w:shd w:val="clear" w:color="auto" w:fill="16324F"/>
            <w:tcMar>
              <w:top w:w="80" w:type="dxa"/>
              <w:left w:w="90" w:type="dxa"/>
              <w:bottom w:w="80" w:type="dxa"/>
              <w:right w:w="90" w:type="dxa"/>
            </w:tcMar>
            <w:vAlign w:val="center"/>
          </w:tcPr>
          <w:p w14:paraId="2DB24609" w14:textId="77777777" w:rsidR="00846FAB" w:rsidRDefault="00000000">
            <w:r>
              <w:rPr>
                <w:b/>
                <w:color w:val="FFFFFF"/>
                <w:sz w:val="15"/>
              </w:rPr>
              <w:t>Question</w:t>
            </w:r>
          </w:p>
        </w:tc>
        <w:tc>
          <w:tcPr>
            <w:tcW w:w="3671" w:type="dxa"/>
            <w:shd w:val="clear" w:color="auto" w:fill="16324F"/>
            <w:tcMar>
              <w:top w:w="80" w:type="dxa"/>
              <w:left w:w="90" w:type="dxa"/>
              <w:bottom w:w="80" w:type="dxa"/>
              <w:right w:w="90" w:type="dxa"/>
            </w:tcMar>
            <w:vAlign w:val="center"/>
          </w:tcPr>
          <w:p w14:paraId="2B35957F" w14:textId="77777777" w:rsidR="00846FAB" w:rsidRDefault="00000000">
            <w:r>
              <w:rPr>
                <w:b/>
                <w:color w:val="FFFFFF"/>
                <w:sz w:val="15"/>
              </w:rPr>
              <w:t>Pass means</w:t>
            </w:r>
          </w:p>
        </w:tc>
        <w:tc>
          <w:tcPr>
            <w:tcW w:w="3311" w:type="dxa"/>
            <w:shd w:val="clear" w:color="auto" w:fill="16324F"/>
            <w:tcMar>
              <w:top w:w="80" w:type="dxa"/>
              <w:left w:w="90" w:type="dxa"/>
              <w:bottom w:w="80" w:type="dxa"/>
              <w:right w:w="90" w:type="dxa"/>
            </w:tcMar>
            <w:vAlign w:val="center"/>
          </w:tcPr>
          <w:p w14:paraId="41B4F4E4" w14:textId="77777777" w:rsidR="00846FAB" w:rsidRDefault="00000000">
            <w:r>
              <w:rPr>
                <w:b/>
                <w:color w:val="FFFFFF"/>
                <w:sz w:val="15"/>
              </w:rPr>
              <w:t>If it fails</w:t>
            </w:r>
          </w:p>
        </w:tc>
      </w:tr>
      <w:tr w:rsidR="0085422C" w14:paraId="74F22C09" w14:textId="77777777">
        <w:trPr>
          <w:cantSplit/>
          <w:jc w:val="center"/>
        </w:trPr>
        <w:tc>
          <w:tcPr>
            <w:tcW w:w="3240" w:type="dxa"/>
            <w:tcMar>
              <w:top w:w="70" w:type="dxa"/>
              <w:left w:w="80" w:type="dxa"/>
              <w:bottom w:w="70" w:type="dxa"/>
              <w:right w:w="80" w:type="dxa"/>
            </w:tcMar>
            <w:vAlign w:val="center"/>
          </w:tcPr>
          <w:p w14:paraId="2EF6B1B8" w14:textId="77777777" w:rsidR="00846FAB" w:rsidRDefault="00000000">
            <w:r>
              <w:rPr>
                <w:sz w:val="15"/>
              </w:rPr>
              <w:t>Can ATMOS execute routed experts correctly behind a vendor-neutral ABI?</w:t>
            </w:r>
          </w:p>
        </w:tc>
        <w:tc>
          <w:tcPr>
            <w:tcW w:w="3671" w:type="dxa"/>
            <w:tcMar>
              <w:top w:w="70" w:type="dxa"/>
              <w:left w:w="80" w:type="dxa"/>
              <w:bottom w:w="70" w:type="dxa"/>
              <w:right w:w="80" w:type="dxa"/>
            </w:tcMar>
            <w:vAlign w:val="center"/>
          </w:tcPr>
          <w:p w14:paraId="490CB45D" w14:textId="77777777" w:rsidR="00846FAB" w:rsidRDefault="00000000">
            <w:r>
              <w:rPr>
                <w:sz w:val="15"/>
              </w:rPr>
              <w:t>POC 1 passes numerical, lifecycle and interface gates.</w:t>
            </w:r>
          </w:p>
        </w:tc>
        <w:tc>
          <w:tcPr>
            <w:tcW w:w="3311" w:type="dxa"/>
            <w:tcMar>
              <w:top w:w="70" w:type="dxa"/>
              <w:left w:w="80" w:type="dxa"/>
              <w:bottom w:w="70" w:type="dxa"/>
              <w:right w:w="80" w:type="dxa"/>
            </w:tcMar>
            <w:vAlign w:val="center"/>
          </w:tcPr>
          <w:p w14:paraId="0770296F" w14:textId="77777777" w:rsidR="00846FAB" w:rsidRDefault="00000000">
            <w:r>
              <w:rPr>
                <w:sz w:val="15"/>
              </w:rPr>
              <w:t>Stop/narrow the MoE operator or precision scope.</w:t>
            </w:r>
          </w:p>
        </w:tc>
      </w:tr>
      <w:tr w:rsidR="0085422C" w14:paraId="5C5F7942" w14:textId="77777777">
        <w:trPr>
          <w:cantSplit/>
          <w:jc w:val="center"/>
        </w:trPr>
        <w:tc>
          <w:tcPr>
            <w:tcW w:w="3240" w:type="dxa"/>
            <w:shd w:val="clear" w:color="auto" w:fill="F3F6F8"/>
            <w:tcMar>
              <w:top w:w="70" w:type="dxa"/>
              <w:left w:w="80" w:type="dxa"/>
              <w:bottom w:w="70" w:type="dxa"/>
              <w:right w:w="80" w:type="dxa"/>
            </w:tcMar>
            <w:vAlign w:val="center"/>
          </w:tcPr>
          <w:p w14:paraId="099055A0" w14:textId="77777777" w:rsidR="00846FAB" w:rsidRDefault="00000000">
            <w:r>
              <w:rPr>
                <w:sz w:val="15"/>
              </w:rPr>
              <w:t>Can eight E3.S devices operate as a manageable switched subsystem?</w:t>
            </w:r>
          </w:p>
        </w:tc>
        <w:tc>
          <w:tcPr>
            <w:tcW w:w="3671" w:type="dxa"/>
            <w:shd w:val="clear" w:color="auto" w:fill="F3F6F8"/>
            <w:tcMar>
              <w:top w:w="70" w:type="dxa"/>
              <w:left w:w="80" w:type="dxa"/>
              <w:bottom w:w="70" w:type="dxa"/>
              <w:right w:w="80" w:type="dxa"/>
            </w:tcMar>
            <w:vAlign w:val="center"/>
          </w:tcPr>
          <w:p w14:paraId="01319473" w14:textId="77777777" w:rsidR="00846FAB" w:rsidRDefault="00000000">
            <w:r>
              <w:rPr>
                <w:sz w:val="15"/>
              </w:rPr>
              <w:t>POC 2 returns one supported switch/BOM/route/failure contract with bounded DMA.</w:t>
            </w:r>
          </w:p>
        </w:tc>
        <w:tc>
          <w:tcPr>
            <w:tcW w:w="3311" w:type="dxa"/>
            <w:shd w:val="clear" w:color="auto" w:fill="F3F6F8"/>
            <w:tcMar>
              <w:top w:w="70" w:type="dxa"/>
              <w:left w:w="80" w:type="dxa"/>
              <w:bottom w:w="70" w:type="dxa"/>
              <w:right w:w="80" w:type="dxa"/>
            </w:tcMar>
            <w:vAlign w:val="center"/>
          </w:tcPr>
          <w:p w14:paraId="6618B187" w14:textId="77777777" w:rsidR="00846FAB" w:rsidRDefault="00000000">
            <w:r>
              <w:rPr>
                <w:sz w:val="15"/>
              </w:rPr>
              <w:t>Keep direct/reference hardware for lab use or redesign the subsystem.</w:t>
            </w:r>
          </w:p>
        </w:tc>
      </w:tr>
      <w:tr w:rsidR="0085422C" w14:paraId="5477905B" w14:textId="77777777">
        <w:trPr>
          <w:cantSplit/>
          <w:jc w:val="center"/>
        </w:trPr>
        <w:tc>
          <w:tcPr>
            <w:tcW w:w="3240" w:type="dxa"/>
            <w:tcMar>
              <w:top w:w="70" w:type="dxa"/>
              <w:left w:w="80" w:type="dxa"/>
              <w:bottom w:w="70" w:type="dxa"/>
              <w:right w:w="80" w:type="dxa"/>
            </w:tcMar>
            <w:vAlign w:val="center"/>
          </w:tcPr>
          <w:p w14:paraId="55BBCFE3" w14:textId="77777777" w:rsidR="00846FAB" w:rsidRDefault="00000000">
            <w:r>
              <w:rPr>
                <w:sz w:val="15"/>
              </w:rPr>
              <w:t>Does the RTX MVP create useful end-to-end headroom?</w:t>
            </w:r>
          </w:p>
        </w:tc>
        <w:tc>
          <w:tcPr>
            <w:tcW w:w="3671" w:type="dxa"/>
            <w:tcMar>
              <w:top w:w="70" w:type="dxa"/>
              <w:left w:w="80" w:type="dxa"/>
              <w:bottom w:w="70" w:type="dxa"/>
              <w:right w:w="80" w:type="dxa"/>
            </w:tcMar>
            <w:vAlign w:val="center"/>
          </w:tcPr>
          <w:p w14:paraId="21231B6C" w14:textId="77777777" w:rsidR="00846FAB" w:rsidRDefault="00000000">
            <w:r>
              <w:rPr>
                <w:sz w:val="15"/>
              </w:rPr>
              <w:t>POC 3 preserves SLO and exceeds the economic threshold with measured reuse of freed GDDR.</w:t>
            </w:r>
          </w:p>
        </w:tc>
        <w:tc>
          <w:tcPr>
            <w:tcW w:w="3311" w:type="dxa"/>
            <w:tcMar>
              <w:top w:w="70" w:type="dxa"/>
              <w:left w:w="80" w:type="dxa"/>
              <w:bottom w:w="70" w:type="dxa"/>
              <w:right w:w="80" w:type="dxa"/>
            </w:tcMar>
            <w:vAlign w:val="center"/>
          </w:tcPr>
          <w:p w14:paraId="5ADFBD8C" w14:textId="77777777" w:rsidR="00846FAB" w:rsidRDefault="00000000">
            <w:r>
              <w:rPr>
                <w:sz w:val="15"/>
              </w:rPr>
              <w:t>Do not infer rack-scale value from capacity fit.</w:t>
            </w:r>
          </w:p>
        </w:tc>
      </w:tr>
      <w:tr w:rsidR="0085422C" w14:paraId="73C66DB6" w14:textId="77777777">
        <w:trPr>
          <w:cantSplit/>
          <w:jc w:val="center"/>
        </w:trPr>
        <w:tc>
          <w:tcPr>
            <w:tcW w:w="3240" w:type="dxa"/>
            <w:shd w:val="clear" w:color="auto" w:fill="F3F6F8"/>
            <w:tcMar>
              <w:top w:w="70" w:type="dxa"/>
              <w:left w:w="80" w:type="dxa"/>
              <w:bottom w:w="70" w:type="dxa"/>
              <w:right w:w="80" w:type="dxa"/>
            </w:tcMar>
            <w:vAlign w:val="center"/>
          </w:tcPr>
          <w:p w14:paraId="09E9CD80" w14:textId="77777777" w:rsidR="00846FAB" w:rsidRDefault="00000000">
            <w:r>
              <w:rPr>
                <w:sz w:val="15"/>
              </w:rPr>
              <w:t>Does the architecture improve a real rack-scale service?</w:t>
            </w:r>
          </w:p>
        </w:tc>
        <w:tc>
          <w:tcPr>
            <w:tcW w:w="3671" w:type="dxa"/>
            <w:shd w:val="clear" w:color="auto" w:fill="F3F6F8"/>
            <w:tcMar>
              <w:top w:w="70" w:type="dxa"/>
              <w:left w:w="80" w:type="dxa"/>
              <w:bottom w:w="70" w:type="dxa"/>
              <w:right w:w="80" w:type="dxa"/>
            </w:tcMar>
            <w:vAlign w:val="center"/>
          </w:tcPr>
          <w:p w14:paraId="697D6431" w14:textId="77777777" w:rsidR="00846FAB" w:rsidRDefault="00000000">
            <w:r>
              <w:rPr>
                <w:sz w:val="15"/>
              </w:rPr>
              <w:t>POC 4 passes independently on NVIDIA NVL and/or AMD Helios with reconciled rack economics.</w:t>
            </w:r>
          </w:p>
        </w:tc>
        <w:tc>
          <w:tcPr>
            <w:tcW w:w="3311" w:type="dxa"/>
            <w:shd w:val="clear" w:color="auto" w:fill="F3F6F8"/>
            <w:tcMar>
              <w:top w:w="70" w:type="dxa"/>
              <w:left w:w="80" w:type="dxa"/>
              <w:bottom w:w="70" w:type="dxa"/>
              <w:right w:w="80" w:type="dxa"/>
            </w:tcMar>
            <w:vAlign w:val="center"/>
          </w:tcPr>
          <w:p w14:paraId="0A798A97" w14:textId="77777777" w:rsidR="00846FAB" w:rsidRDefault="00000000">
            <w:r>
              <w:rPr>
                <w:sz w:val="15"/>
              </w:rPr>
              <w:t>No broad product on the failing platform; retain successful platform or narrow scope.</w:t>
            </w:r>
          </w:p>
        </w:tc>
      </w:tr>
    </w:tbl>
    <w:p w14:paraId="1E6BDB6D" w14:textId="77777777" w:rsidR="0085422C" w:rsidRDefault="0085422C">
      <w:pPr>
        <w:spacing w:after="20"/>
      </w:pPr>
    </w:p>
    <w:p w14:paraId="2ACDA543" w14:textId="77777777" w:rsidR="0085422C" w:rsidRDefault="00000000">
      <w:r>
        <w:br w:type="page"/>
      </w:r>
    </w:p>
    <w:p w14:paraId="2E49CBD0" w14:textId="77777777" w:rsidR="0085422C" w:rsidRDefault="00000000">
      <w:pPr>
        <w:keepNext/>
        <w:spacing w:before="80" w:after="40"/>
      </w:pPr>
      <w:r>
        <w:rPr>
          <w:rFonts w:eastAsia="Noto Sans"/>
          <w:b/>
          <w:color w:val="A73545"/>
          <w:sz w:val="17"/>
        </w:rPr>
        <w:lastRenderedPageBreak/>
        <w:t>RECOMMENDED PROGRAM SHAPE</w:t>
      </w:r>
    </w:p>
    <w:p w14:paraId="601CC78C" w14:textId="77777777" w:rsidR="0085422C" w:rsidRDefault="00000000">
      <w:pPr>
        <w:keepNext/>
        <w:spacing w:before="100" w:after="100"/>
      </w:pPr>
      <w:r>
        <w:rPr>
          <w:rFonts w:eastAsia="Noto Sans"/>
          <w:b/>
          <w:color w:val="16324F"/>
          <w:sz w:val="36"/>
        </w:rPr>
        <w:t>Decision summary</w:t>
      </w:r>
    </w:p>
    <w:p w14:paraId="4B202FA8" w14:textId="77777777" w:rsidR="0085422C" w:rsidRDefault="00000000">
      <w:pPr>
        <w:spacing w:after="100" w:line="259" w:lineRule="auto"/>
      </w:pPr>
      <w:r>
        <w:t>This proposal asks one product question: can a switched ATMOS E3.S expert tier materially improve rack-scale MoE serving economics on NVIDIA NVL and AMD Helios while preserving the native GPU stack and service SLOs? The RTX 8+8 configuration is the proving ground and MVP, not the final destination.</w:t>
      </w:r>
    </w:p>
    <w:p w14:paraId="2CD12C27" w14:textId="77777777" w:rsidR="0085422C" w:rsidRDefault="00000000">
      <w:pPr>
        <w:pStyle w:val="ListBullet"/>
        <w:spacing w:after="60" w:line="252" w:lineRule="auto"/>
        <w:ind w:left="259" w:hanging="173"/>
      </w:pPr>
      <w:r>
        <w:t>Approve one heterogeneous MoE workstream with one expert ABI, one ATMOS runtime/driver contract and one switched E3.S subsystem. Keep GPU-vendor differences behind a narrow platform seam.</w:t>
      </w:r>
    </w:p>
    <w:p w14:paraId="6F97B220" w14:textId="77777777" w:rsidR="0085422C" w:rsidRDefault="00000000">
      <w:pPr>
        <w:pStyle w:val="ListBullet"/>
        <w:spacing w:after="60" w:line="252" w:lineRule="auto"/>
        <w:ind w:left="259" w:hanging="173"/>
      </w:pPr>
      <w:r>
        <w:t>Hold model quality, TTFT/TPOT and failure policy constant. Count latency improvement only after measurement; the business case may succeed through throughput, KV/concurrency, rack consolidation or reduced scale-out traffic.</w:t>
      </w:r>
    </w:p>
    <w:p w14:paraId="29996D4A" w14:textId="77777777" w:rsidR="0085422C" w:rsidRDefault="00000000">
      <w:pPr>
        <w:pStyle w:val="ListBullet"/>
        <w:spacing w:after="60" w:line="252" w:lineRule="auto"/>
        <w:ind w:left="259" w:hanging="173"/>
      </w:pPr>
      <w:r>
        <w:t>Use Gen5 switched E3.S as the common subsystem baseline and direct E3.S only for bring-up. Preserve NVLink/NVSwitch and UALink; do not require proprietary GPU firmware/driver modifications.</w:t>
      </w:r>
    </w:p>
    <w:p w14:paraId="7E026681" w14:textId="77777777" w:rsidR="0085422C" w:rsidRDefault="00000000">
      <w:pPr>
        <w:pStyle w:val="ListBullet"/>
        <w:spacing w:after="60" w:line="252" w:lineRule="auto"/>
        <w:ind w:left="259" w:hanging="173"/>
      </w:pPr>
      <w:r>
        <w:t>Fund four grouped POCs: vendor-neutral expert primitive, switched E3.S subsystem, RTX POC/MVP, and rack-scale product qualification. POC 4 — not the RTX MVP — is the product/economics gate.</w:t>
      </w:r>
    </w:p>
    <w:p w14:paraId="3D234CAA" w14:textId="77777777" w:rsidR="0085422C" w:rsidRDefault="00000000">
      <w:pPr>
        <w:pStyle w:val="ListBullet"/>
        <w:spacing w:after="60" w:line="252" w:lineRule="auto"/>
        <w:ind w:left="259" w:hanging="173"/>
      </w:pPr>
      <w:r>
        <w:t>Qualify NVIDIA NVL and AMD Helios independently. The same Sandisk model/expert/placement contract is reused, but transport, host architecture, rack topology, orchestration and economics are re-proven per platform.</w:t>
      </w:r>
    </w:p>
    <w:tbl>
      <w:tblPr>
        <w:tblW w:w="0" w:type="auto"/>
        <w:jc w:val="center"/>
        <w:tblLook w:val="04A0" w:firstRow="1" w:lastRow="0" w:firstColumn="1" w:lastColumn="0" w:noHBand="0" w:noVBand="1"/>
      </w:tblPr>
      <w:tblGrid>
        <w:gridCol w:w="10368"/>
      </w:tblGrid>
      <w:tr w:rsidR="0085422C" w14:paraId="693234E9" w14:textId="77777777">
        <w:trPr>
          <w:jc w:val="center"/>
        </w:trPr>
        <w:tc>
          <w:tcPr>
            <w:tcW w:w="10368" w:type="dxa"/>
            <w:shd w:val="clear" w:color="auto" w:fill="F9ECEF"/>
            <w:tcMar>
              <w:top w:w="120" w:type="dxa"/>
              <w:left w:w="150" w:type="dxa"/>
              <w:bottom w:w="120" w:type="dxa"/>
              <w:right w:w="150" w:type="dxa"/>
            </w:tcMar>
            <w:vAlign w:val="center"/>
          </w:tcPr>
          <w:p w14:paraId="0E40DB85" w14:textId="77777777" w:rsidR="00846FAB" w:rsidRDefault="00000000">
            <w:pPr>
              <w:spacing w:after="0"/>
            </w:pPr>
            <w:r>
              <w:rPr>
                <w:b/>
                <w:color w:val="A73545"/>
                <w:sz w:val="16"/>
              </w:rPr>
              <w:t>FINAL PRODUCT STATEMENT TO EARN  “For the named MoE checkpoint, workload and rack-scale platform, a qualified ATMOS E3.S expert tier increases accepted service capacity or reduces comparable GPU infrastructure cost while preserving model quality, TTFT/TPOT, availability and supported lifecycle.” This statement is earned independently for NVIDIA NVL and AMD Helios.</w:t>
            </w:r>
          </w:p>
        </w:tc>
      </w:tr>
    </w:tbl>
    <w:p w14:paraId="4624C64E" w14:textId="77777777" w:rsidR="0085422C" w:rsidRDefault="0085422C">
      <w:pPr>
        <w:spacing w:after="20"/>
      </w:pPr>
    </w:p>
    <w:p w14:paraId="7E7D44A2" w14:textId="55B255E6" w:rsidR="0085422C" w:rsidRDefault="0085422C">
      <w:pPr>
        <w:spacing w:before="100" w:after="100" w:line="259" w:lineRule="auto"/>
      </w:pPr>
    </w:p>
    <w:sectPr w:rsidR="0085422C" w:rsidSect="00034616">
      <w:headerReference w:type="default" r:id="rId15"/>
      <w:footerReference w:type="default" r:id="rId16"/>
      <w:pgSz w:w="12240" w:h="15840"/>
      <w:pgMar w:top="792" w:right="936" w:bottom="792" w:left="936"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67CF65" w14:textId="77777777" w:rsidR="003A08C8" w:rsidRDefault="003A08C8">
      <w:pPr>
        <w:spacing w:after="0" w:line="240" w:lineRule="auto"/>
      </w:pPr>
      <w:r>
        <w:separator/>
      </w:r>
    </w:p>
  </w:endnote>
  <w:endnote w:type="continuationSeparator" w:id="0">
    <w:p w14:paraId="2FE45AD7" w14:textId="77777777" w:rsidR="003A08C8" w:rsidRDefault="003A0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5CAD04" w14:textId="77777777" w:rsidR="0085422C" w:rsidRDefault="00000000">
    <w:pPr>
      <w:pStyle w:val="Footer"/>
      <w:jc w:val="right"/>
    </w:pPr>
    <w:r>
      <w:rPr>
        <w:rFonts w:eastAsia="Noto Sans"/>
        <w:color w:val="66727D"/>
        <w:sz w:val="14"/>
      </w:rPr>
      <w:t xml:space="preserve">29 September </w:t>
    </w:r>
    <w:proofErr w:type="gramStart"/>
    <w:r>
      <w:rPr>
        <w:rFonts w:eastAsia="Noto Sans"/>
        <w:color w:val="66727D"/>
        <w:sz w:val="14"/>
      </w:rPr>
      <w:t>2026  |</w:t>
    </w:r>
    <w:proofErr w:type="gramEnd"/>
    <w:r>
      <w:rPr>
        <w:rFonts w:eastAsia="Noto Sans"/>
        <w:color w:val="66727D"/>
        <w:sz w:val="14"/>
      </w:rPr>
      <w:t xml:space="preserve">  </w:t>
    </w:r>
    <w:proofErr w:type="gramStart"/>
    <w:r>
      <w:rPr>
        <w:rFonts w:eastAsia="Noto Sans"/>
        <w:color w:val="66727D"/>
        <w:sz w:val="14"/>
      </w:rPr>
      <w:t>v2.0  |</w:t>
    </w:r>
    <w:proofErr w:type="gramEnd"/>
    <w:r>
      <w:rPr>
        <w:rFonts w:eastAsia="Noto Sans"/>
        <w:color w:val="66727D"/>
        <w:sz w:val="14"/>
      </w:rPr>
      <w:t xml:space="preserve">  Planning targets ≠ measured ATMOS </w:t>
    </w:r>
    <w:proofErr w:type="gramStart"/>
    <w:r>
      <w:rPr>
        <w:rFonts w:eastAsia="Noto Sans"/>
        <w:color w:val="66727D"/>
        <w:sz w:val="14"/>
      </w:rPr>
      <w:t xml:space="preserve">results  </w:t>
    </w:r>
    <w:r>
      <w:rPr>
        <w:rFonts w:eastAsia="Noto Sans"/>
        <w:color w:val="66727D"/>
        <w:sz w:val="16"/>
      </w:rPr>
      <w:t>•</w:t>
    </w:r>
    <w:proofErr w:type="gramEnd"/>
    <w:r>
      <w:rPr>
        <w:rFonts w:eastAsia="Noto Sans"/>
        <w:color w:val="66727D"/>
        <w:sz w:val="16"/>
      </w:rPr>
      <w:t xml:space="preserve">  </w:t>
    </w:r>
    <w:r>
      <w:rPr>
        <w:rFonts w:eastAsia="Noto Sans"/>
        <w:color w:val="66727D"/>
        <w:sz w:val="16"/>
      </w:rPr>
      <w:fldChar w:fldCharType="begin"/>
    </w:r>
    <w:r>
      <w:rPr>
        <w:rFonts w:eastAsia="Noto Sans"/>
        <w:color w:val="66727D"/>
        <w:sz w:val="16"/>
      </w:rPr>
      <w:instrText xml:space="preserve"> PAGE </w:instrText>
    </w:r>
    <w:r>
      <w:rPr>
        <w:rFonts w:eastAsia="Noto Sans"/>
        <w:color w:val="66727D"/>
        <w:sz w:val="16"/>
      </w:rPr>
      <w:fldChar w:fldCharType="separate"/>
    </w:r>
    <w:r w:rsidR="00427847">
      <w:rPr>
        <w:rFonts w:eastAsia="Noto Sans"/>
        <w:noProof/>
        <w:color w:val="66727D"/>
        <w:sz w:val="16"/>
      </w:rPr>
      <w:t>1</w:t>
    </w:r>
    <w:r>
      <w:rPr>
        <w:rFonts w:eastAsia="Noto Sans"/>
        <w:color w:val="66727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787471" w14:textId="77777777" w:rsidR="003A08C8" w:rsidRDefault="003A08C8">
      <w:pPr>
        <w:spacing w:after="0" w:line="240" w:lineRule="auto"/>
      </w:pPr>
      <w:r>
        <w:separator/>
      </w:r>
    </w:p>
  </w:footnote>
  <w:footnote w:type="continuationSeparator" w:id="0">
    <w:p w14:paraId="0DC6139B" w14:textId="77777777" w:rsidR="003A08C8" w:rsidRDefault="003A0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D8867A" w14:textId="77777777" w:rsidR="0085422C" w:rsidRDefault="00000000">
    <w:pPr>
      <w:pStyle w:val="Header"/>
      <w:pBdr>
        <w:bottom w:val="single" w:sz="6" w:space="1" w:color="A73545"/>
      </w:pBdr>
    </w:pPr>
    <w:r>
      <w:rPr>
        <w:rFonts w:eastAsia="Noto Sans"/>
        <w:b/>
        <w:color w:val="66727D"/>
        <w:sz w:val="15"/>
      </w:rPr>
      <w:t xml:space="preserve">SANDISK / ATMOS     </w:t>
    </w:r>
    <w:proofErr w:type="spellStart"/>
    <w:r>
      <w:rPr>
        <w:rFonts w:eastAsia="Noto Sans"/>
        <w:b/>
        <w:color w:val="66727D"/>
        <w:sz w:val="15"/>
      </w:rPr>
      <w:t>MoE</w:t>
    </w:r>
    <w:proofErr w:type="spellEnd"/>
    <w:r>
      <w:rPr>
        <w:rFonts w:eastAsia="Noto Sans"/>
        <w:b/>
        <w:color w:val="66727D"/>
        <w:sz w:val="15"/>
      </w:rPr>
      <w:t xml:space="preserve"> HYBRID ARCHITECTURE • INTERNAL REVIEW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656702">
    <w:abstractNumId w:val="8"/>
  </w:num>
  <w:num w:numId="2" w16cid:durableId="897788251">
    <w:abstractNumId w:val="6"/>
  </w:num>
  <w:num w:numId="3" w16cid:durableId="1724132935">
    <w:abstractNumId w:val="5"/>
  </w:num>
  <w:num w:numId="4" w16cid:durableId="1215852813">
    <w:abstractNumId w:val="4"/>
  </w:num>
  <w:num w:numId="5" w16cid:durableId="52772778">
    <w:abstractNumId w:val="7"/>
  </w:num>
  <w:num w:numId="6" w16cid:durableId="1468430453">
    <w:abstractNumId w:val="3"/>
  </w:num>
  <w:num w:numId="7" w16cid:durableId="6947222">
    <w:abstractNumId w:val="2"/>
  </w:num>
  <w:num w:numId="8" w16cid:durableId="1082138941">
    <w:abstractNumId w:val="1"/>
  </w:num>
  <w:num w:numId="9" w16cid:durableId="13568041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EED"/>
    <w:rsid w:val="00034616"/>
    <w:rsid w:val="0006063C"/>
    <w:rsid w:val="000E731F"/>
    <w:rsid w:val="0015074B"/>
    <w:rsid w:val="0016549A"/>
    <w:rsid w:val="002451E4"/>
    <w:rsid w:val="0029639D"/>
    <w:rsid w:val="00326F90"/>
    <w:rsid w:val="003431E3"/>
    <w:rsid w:val="003A08C8"/>
    <w:rsid w:val="003E2683"/>
    <w:rsid w:val="00427847"/>
    <w:rsid w:val="00582286"/>
    <w:rsid w:val="005835B4"/>
    <w:rsid w:val="005A5290"/>
    <w:rsid w:val="006002B0"/>
    <w:rsid w:val="007F64FC"/>
    <w:rsid w:val="00846FAB"/>
    <w:rsid w:val="0085422C"/>
    <w:rsid w:val="009A2EBE"/>
    <w:rsid w:val="009E7494"/>
    <w:rsid w:val="00AA1D8D"/>
    <w:rsid w:val="00B47730"/>
    <w:rsid w:val="00C52885"/>
    <w:rsid w:val="00CB0664"/>
    <w:rsid w:val="00CB79E0"/>
    <w:rsid w:val="00DC1C50"/>
    <w:rsid w:val="00FB52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AC189"/>
  <w14:defaultImageDpi w14:val="300"/>
  <w15:docId w15:val="{D68F0B68-AB14-0A43-B0F2-0C3F4233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w:hAnsi="Noto San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4686</Words>
  <Characters>28356</Characters>
  <Application>Microsoft Office Word</Application>
  <DocSecurity>0</DocSecurity>
  <Lines>810</Lines>
  <Paragraphs>478</Paragraphs>
  <ScaleCrop>false</ScaleCrop>
  <HeadingPairs>
    <vt:vector size="2" baseType="variant">
      <vt:variant>
        <vt:lpstr>Title</vt:lpstr>
      </vt:variant>
      <vt:variant>
        <vt:i4>1</vt:i4>
      </vt:variant>
    </vt:vector>
  </HeadingPairs>
  <TitlesOfParts>
    <vt:vector size="1" baseType="lpstr">
      <vt:lpstr>ATMOS E3.S for Rack-Scale MoE Serving</vt:lpstr>
    </vt:vector>
  </TitlesOfParts>
  <Manager/>
  <Company/>
  <LinksUpToDate>false</LinksUpToDate>
  <CharactersWithSpaces>32564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ATMOS E3.S for Rack-Scale MoE Serving</dc:title>
  <dc:subject>Rack-scale MoE hybrid architecture for NVIDIA NVL and AMD Helios; RTX POC/MVP reference</dc:subject>
  <dc:creator>Sandisk / ATMOS Architecture</dc:creator>
  <cp:keywords/>
  <dc:description>Planning targets are not measured ATMOS results.</dc:description>
  <cp:lastModifiedBy>SHAILESH PILARE</cp:lastModifiedBy>
  <cp:revision>2</cp:revision>
  <dcterms:created xsi:type="dcterms:W3CDTF">2026-09-29T17:48:00Z</dcterms:created>
  <dcterms:modified xsi:type="dcterms:W3CDTF">2026-09-29T17:48:00Z</dcterms:modified>
  <cp:category/>
</cp:coreProperties>
</file>