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keepNext/>
        <w:pageBreakBefore w:val="0"/>
      </w:pPr>
      <w:r>
        <w:rPr>
          <w:b/>
          <w:color w:val="24586E"/>
        </w:rPr>
        <w:t>EXECUTIVE PRODUCT PROPOSAL</w:t>
      </w:r>
    </w:p>
    <w:p>
      <w:pPr>
        <w:pStyle w:val="Heading1"/>
      </w:pPr>
      <w:r>
        <w:t>ATMOS E3.S</w:t>
        <w:br/>
        <w:t>Near-Data Retrieval and Feature Processing</w:t>
      </w:r>
    </w:p>
    <w:p>
      <w:pPr>
        <w:pStyle w:val="Subtitle"/>
      </w:pPr>
      <w:r>
        <w:t>A focused path to a deployable product for search-service operators, large retrieval platforms, and specialist enterprise-software providers.</w:t>
      </w:r>
    </w:p>
    <w:tbl>
      <w:tblPr>
        <w:tblW w:type="auto" w:w="0"/>
        <w:jc w:val="center"/>
        <w:tblLayout w:type="fixed"/>
        <w:tblLook w:firstColumn="1" w:firstRow="1" w:lastColumn="0" w:lastRow="0" w:noHBand="0" w:noVBand="1" w:val="04A0"/>
      </w:tblPr>
      <w:tblGrid>
        <w:gridCol w:w="10166"/>
      </w:tblGrid>
      <w:tr>
        <w:trPr>
          <w:cantSplit/>
        </w:trPr>
        <w:tc>
          <w:tcPr>
            <w:tcW w:type="dxa" w:w="10166"/>
            <w:shd w:fill="FBEEF0"/>
            <w:tcMar>
              <w:top w:w="115" w:type="dxa"/>
              <w:bottom w:w="50" w:type="dxa"/>
              <w:left w:w="155" w:type="dxa"/>
              <w:right w:w="155" w:type="dxa"/>
            </w:tcMar>
          </w:tcPr>
          <w:p>
            <w:pPr>
              <w:spacing w:after="100"/>
            </w:pPr>
            <w:r>
              <w:rPr>
                <w:b/>
                <w:color w:val="A31630"/>
                <w:sz w:val="23"/>
              </w:rPr>
              <w:t>Recommendation</w:t>
            </w:r>
          </w:p>
          <w:p>
            <w:pPr>
              <w:spacing w:after="140" w:line="252" w:lineRule="auto"/>
            </w:pPr>
            <w:r>
              <w:t>Develop a narrowly scoped retrieval device, not a general-purpose AI platform. Keep reusable vectors and features in high-bandwidth flash (HBF), score selected candidates with a local neural processing unit (NPU), and return compact results. Pursue two lead use cases and a small, staged design-partner program before committing to productization.</w:t>
            </w:r>
          </w:p>
        </w:tc>
      </w:tr>
    </w:tbl>
    <w:p>
      <w:pPr>
        <w:spacing w:after="20"/>
      </w:pPr>
    </w:p>
    <w:p>
      <w:r>
        <w:t>The opportunity is to replace an expensive or slow part of an existing search service—not to replace the database, the LLM, or the customer’s control plane. The initial buyer should be the organization operating that service, whether an independent software provider, a hyperscaler, or a self-managed enterprise.</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3053"/>
        <w:gridCol w:w="7114"/>
      </w:tblGrid>
      <w:tr>
        <w:trPr>
          <w:tblHeader/>
          <w:cantSplit/>
        </w:trPr>
        <w:tc>
          <w:tcPr>
            <w:tcW w:type="dxa" w:w="3053"/>
            <w:shd w:fill="A31630"/>
            <w:tcMar>
              <w:top w:w="73" w:type="dxa"/>
              <w:bottom w:w="73" w:type="dxa"/>
              <w:left w:w="100" w:type="dxa"/>
              <w:right w:w="100" w:type="dxa"/>
            </w:tcMar>
          </w:tcPr>
          <w:p>
            <w:pPr>
              <w:pStyle w:val="TableText"/>
            </w:pPr>
            <w:r>
              <w:rPr>
                <w:b/>
                <w:color w:val="FFFFFF"/>
                <w:sz w:val="20"/>
              </w:rPr>
              <w:t>What to pursue</w:t>
            </w:r>
          </w:p>
        </w:tc>
        <w:tc>
          <w:tcPr>
            <w:tcW w:type="dxa" w:w="7114"/>
            <w:shd w:fill="A31630"/>
            <w:tcMar>
              <w:top w:w="73" w:type="dxa"/>
              <w:bottom w:w="73" w:type="dxa"/>
              <w:left w:w="100" w:type="dxa"/>
              <w:right w:w="100" w:type="dxa"/>
            </w:tcMar>
          </w:tcPr>
          <w:p>
            <w:pPr>
              <w:pStyle w:val="TableText"/>
            </w:pPr>
            <w:r>
              <w:rPr>
                <w:b/>
                <w:color w:val="FFFFFF"/>
                <w:sz w:val="20"/>
              </w:rPr>
              <w:t>Why it deserves investigation</w:t>
            </w:r>
          </w:p>
        </w:tc>
      </w:tr>
      <w:tr>
        <w:trPr>
          <w:cantSplit/>
        </w:trPr>
        <w:tc>
          <w:tcPr>
            <w:tcW w:type="dxa" w:w="3053"/>
            <w:vAlign w:val="top"/>
            <w:shd w:fill="F3F5F7"/>
            <w:tcMar>
              <w:top w:w="73" w:type="dxa"/>
              <w:bottom w:w="73" w:type="dxa"/>
              <w:left w:w="100" w:type="dxa"/>
              <w:right w:w="100" w:type="dxa"/>
            </w:tcMar>
          </w:tcPr>
          <w:p>
            <w:pPr>
              <w:pStyle w:val="TableText"/>
            </w:pPr>
            <w:r>
              <w:rPr>
                <w:sz w:val="20"/>
              </w:rPr>
            </w:r>
            <w:r>
              <w:rPr>
                <w:b/>
                <w:sz w:val="20"/>
              </w:rPr>
              <w:t>Candidate refinement</w:t>
            </w:r>
            <w:r>
              <w:rPr>
                <w:sz w:val="20"/>
              </w:rPr>
            </w:r>
          </w:p>
        </w:tc>
        <w:tc>
          <w:tcPr>
            <w:tcW w:type="dxa" w:w="7114"/>
            <w:vAlign w:val="top"/>
            <w:shd w:fill="F3F5F7"/>
            <w:tcMar>
              <w:top w:w="73" w:type="dxa"/>
              <w:bottom w:w="73" w:type="dxa"/>
              <w:left w:w="100" w:type="dxa"/>
              <w:right w:w="100" w:type="dxa"/>
            </w:tcMar>
          </w:tcPr>
          <w:p>
            <w:pPr>
              <w:pStyle w:val="TableText"/>
            </w:pPr>
            <w:r>
              <w:rPr>
                <w:sz w:val="20"/>
              </w:rPr>
              <w:t>Read and score selected full or lightly compressed vectors. Establish whether HBF plus local computation beats a strong conventional path.</w:t>
            </w:r>
          </w:p>
        </w:tc>
      </w:tr>
      <w:tr>
        <w:trPr>
          <w:cantSplit/>
        </w:trPr>
        <w:tc>
          <w:tcPr>
            <w:tcW w:type="dxa" w:w="3053"/>
            <w:vAlign w:val="top"/>
            <w:tcMar>
              <w:top w:w="73" w:type="dxa"/>
              <w:bottom w:w="73" w:type="dxa"/>
              <w:left w:w="100" w:type="dxa"/>
              <w:right w:w="100" w:type="dxa"/>
            </w:tcMar>
          </w:tcPr>
          <w:p>
            <w:pPr>
              <w:pStyle w:val="TableText"/>
            </w:pPr>
            <w:r>
              <w:rPr>
                <w:sz w:val="20"/>
              </w:rPr>
            </w:r>
            <w:r>
              <w:rPr>
                <w:b/>
                <w:sz w:val="20"/>
              </w:rPr>
              <w:t>Multi-vector retrieval</w:t>
            </w:r>
            <w:r>
              <w:rPr>
                <w:sz w:val="20"/>
              </w:rPr>
            </w:r>
          </w:p>
        </w:tc>
        <w:tc>
          <w:tcPr>
            <w:tcW w:type="dxa" w:w="7114"/>
            <w:vAlign w:val="top"/>
            <w:tcMar>
              <w:top w:w="73" w:type="dxa"/>
              <w:bottom w:w="73" w:type="dxa"/>
              <w:left w:w="100" w:type="dxa"/>
              <w:right w:w="100" w:type="dxa"/>
            </w:tcMar>
          </w:tcPr>
          <w:p>
            <w:pPr>
              <w:pStyle w:val="TableText"/>
            </w:pPr>
            <w:r>
              <w:rPr>
                <w:sz w:val="20"/>
              </w:rPr>
              <w:t>Store richer document representations and perform local matching. Test whether useful search quality remains affordable at the required response time.</w:t>
            </w:r>
          </w:p>
        </w:tc>
      </w:tr>
      <w:tr>
        <w:trPr>
          <w:cantSplit/>
        </w:trPr>
        <w:tc>
          <w:tcPr>
            <w:tcW w:type="dxa" w:w="3053"/>
            <w:vAlign w:val="top"/>
            <w:shd w:fill="F3F5F7"/>
            <w:tcMar>
              <w:top w:w="73" w:type="dxa"/>
              <w:bottom w:w="73" w:type="dxa"/>
              <w:left w:w="100" w:type="dxa"/>
              <w:right w:w="100" w:type="dxa"/>
            </w:tcMar>
          </w:tcPr>
          <w:p>
            <w:pPr>
              <w:pStyle w:val="TableText"/>
            </w:pPr>
            <w:r>
              <w:rPr>
                <w:sz w:val="20"/>
              </w:rPr>
            </w:r>
            <w:r>
              <w:rPr>
                <w:b/>
                <w:sz w:val="20"/>
              </w:rPr>
              <w:t>Recommendation features: discovery only</w:t>
            </w:r>
            <w:r>
              <w:rPr>
                <w:sz w:val="20"/>
              </w:rPr>
            </w:r>
          </w:p>
        </w:tc>
        <w:tc>
          <w:tcPr>
            <w:tcW w:type="dxa" w:w="7114"/>
            <w:vAlign w:val="top"/>
            <w:shd w:fill="F3F5F7"/>
            <w:tcMar>
              <w:top w:w="73" w:type="dxa"/>
              <w:bottom w:w="73" w:type="dxa"/>
              <w:left w:w="100" w:type="dxa"/>
              <w:right w:w="100" w:type="dxa"/>
            </w:tcMar>
          </w:tcPr>
          <w:p>
            <w:pPr>
              <w:pStyle w:val="TableText"/>
            </w:pPr>
            <w:r>
              <w:rPr>
                <w:sz w:val="20"/>
              </w:rPr>
              <w:t>Qualify batched lookup and pooling on real temporal traces before widening implementation scope.</w:t>
            </w:r>
          </w:p>
        </w:tc>
      </w:tr>
    </w:tbl>
    <w:p>
      <w:pPr>
        <w:spacing w:after="20"/>
      </w:pPr>
    </w:p>
    <w:p>
      <w:pPr>
        <w:pStyle w:val="Heading2"/>
      </w:pPr>
      <w:r>
        <w:t>The next 90 days</w:t>
      </w:r>
    </w:p>
    <w:p>
      <w:r>
        <w:t>Produce one reproducible candidate-refinement comparison, a multi-vector correctness and integration spike, a qualified partner shortlist, an OEM/NPU feasibility assessment, and a customer-price versus product-cost envelope. A physical ATMOS result is conditional on hardware availability.</w:t>
      </w:r>
    </w:p>
    <w:p>
      <w:pPr>
        <w:pStyle w:val="Small"/>
      </w:pPr>
      <w:r>
        <w:t>Proposed planning envelope: 59.2 FTE-weeks plus $25K–$75K of direct study spend; approximately $0.37M–$0.69M including illustrative loaded labor. This is a new planning estimate, not a quote, approved budget, silicon/NRE estimate, or launch schedule. See Section 18.</w:t>
      </w:r>
    </w:p>
    <w:p>
      <w:pPr>
        <w:pStyle w:val="Source"/>
      </w:pPr>
      <w:r>
        <w:t>Evidence boundary: source architecture targets [I1–I2]; refreshed public industry evidence [R1–R19]; recommendations and all financial examples developed for this proposal. No ATMOS benchmark, partner commitment, customer adoption, or product price is established.</w:t>
      </w:r>
    </w:p>
    <w:p>
      <w:pPr>
        <w:pStyle w:val="Small"/>
        <w:keepNext/>
        <w:pageBreakBefore/>
      </w:pPr>
      <w:r>
        <w:rPr>
          <w:b/>
          <w:color w:val="24586E"/>
        </w:rPr>
        <w:t>PURPOSE AND SCOPE</w:t>
      </w:r>
    </w:p>
    <w:p>
      <w:pPr>
        <w:pStyle w:val="Heading1"/>
      </w:pPr>
      <w:r>
        <w:t>1. The business we are proposing</w:t>
      </w:r>
    </w:p>
    <w:p>
      <w:r/>
      <w:r>
        <w:rPr>
          <w:b/>
        </w:rPr>
        <w:t>Product thesis.</w:t>
      </w:r>
      <w:r>
        <w:t xml:space="preserve"> ATMOS E3.S should earn its place by processing a large, repeatedly accessed representation set close to HBF. The device must create value during normal serving—not only when an index or model first loads.</w:t>
      </w:r>
    </w:p>
    <w:p>
      <w:r>
        <w:t>HBF provides the capacity and data-supply opportunity. Local computation provides scoring, masking, pooling, and result reduction. E3.S provides a possible modular deployment format. Each has to justify its cost; none is sufficient alone.</w:t>
      </w:r>
    </w:p>
    <w:p>
      <w:pPr>
        <w:pStyle w:val="Heading2"/>
      </w:pPr>
      <w:r>
        <w:t>What the proposed device brings together</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3125"/>
        <w:gridCol w:w="7042"/>
      </w:tblGrid>
      <w:tr>
        <w:trPr>
          <w:tblHeader/>
          <w:cantSplit/>
        </w:trPr>
        <w:tc>
          <w:tcPr>
            <w:tcW w:type="dxa" w:w="3125"/>
            <w:shd w:fill="A31630"/>
            <w:tcMar>
              <w:top w:w="73" w:type="dxa"/>
              <w:bottom w:w="73" w:type="dxa"/>
              <w:left w:w="100" w:type="dxa"/>
              <w:right w:w="100" w:type="dxa"/>
            </w:tcMar>
          </w:tcPr>
          <w:p>
            <w:pPr>
              <w:pStyle w:val="TableText"/>
            </w:pPr>
            <w:r>
              <w:rPr>
                <w:b/>
                <w:color w:val="FFFFFF"/>
                <w:sz w:val="20"/>
              </w:rPr>
              <w:t>Product element</w:t>
            </w:r>
          </w:p>
        </w:tc>
        <w:tc>
          <w:tcPr>
            <w:tcW w:type="dxa" w:w="7042"/>
            <w:shd w:fill="A31630"/>
            <w:tcMar>
              <w:top w:w="73" w:type="dxa"/>
              <w:bottom w:w="73" w:type="dxa"/>
              <w:left w:w="100" w:type="dxa"/>
              <w:right w:w="100" w:type="dxa"/>
            </w:tcMar>
          </w:tcPr>
          <w:p>
            <w:pPr>
              <w:pStyle w:val="TableText"/>
            </w:pPr>
            <w:r>
              <w:rPr>
                <w:b/>
                <w:color w:val="FFFFFF"/>
                <w:sz w:val="20"/>
              </w:rPr>
              <w:t>Role and condition for value</w:t>
            </w:r>
          </w:p>
        </w:tc>
      </w:tr>
      <w:tr>
        <w:trPr>
          <w:cantSplit/>
        </w:trPr>
        <w:tc>
          <w:tcPr>
            <w:tcW w:type="dxa" w:w="3125"/>
            <w:vAlign w:val="top"/>
            <w:shd w:fill="F3F5F7"/>
            <w:tcMar>
              <w:top w:w="73" w:type="dxa"/>
              <w:bottom w:w="73" w:type="dxa"/>
              <w:left w:w="100" w:type="dxa"/>
              <w:right w:w="100" w:type="dxa"/>
            </w:tcMar>
          </w:tcPr>
          <w:p>
            <w:pPr>
              <w:pStyle w:val="TableText"/>
            </w:pPr>
            <w:r>
              <w:rPr>
                <w:sz w:val="20"/>
              </w:rPr>
            </w:r>
            <w:r>
              <w:rPr>
                <w:b/>
                <w:sz w:val="20"/>
              </w:rPr>
              <w:t>Up to 128 GB HBF</w:t>
            </w:r>
            <w:r>
              <w:rPr>
                <w:sz w:val="20"/>
              </w:rPr>
            </w:r>
          </w:p>
        </w:tc>
        <w:tc>
          <w:tcPr>
            <w:tcW w:type="dxa" w:w="7042"/>
            <w:vAlign w:val="top"/>
            <w:shd w:fill="F3F5F7"/>
            <w:tcMar>
              <w:top w:w="73" w:type="dxa"/>
              <w:bottom w:w="73" w:type="dxa"/>
              <w:left w:w="100" w:type="dxa"/>
              <w:right w:w="100" w:type="dxa"/>
            </w:tcMar>
          </w:tcPr>
          <w:p>
            <w:pPr>
              <w:pStyle w:val="TableText"/>
            </w:pPr>
            <w:r>
              <w:rPr>
                <w:sz w:val="20"/>
              </w:rPr>
              <w:t>A target for local, reusable representation capacity. It must deliver useful candidate reads during serving, not only store inactive data.</w:t>
            </w:r>
          </w:p>
        </w:tc>
      </w:tr>
      <w:tr>
        <w:trPr>
          <w:cantSplit/>
        </w:trPr>
        <w:tc>
          <w:tcPr>
            <w:tcW w:type="dxa" w:w="3125"/>
            <w:vAlign w:val="top"/>
            <w:tcMar>
              <w:top w:w="73" w:type="dxa"/>
              <w:bottom w:w="73" w:type="dxa"/>
              <w:left w:w="100" w:type="dxa"/>
              <w:right w:w="100" w:type="dxa"/>
            </w:tcMar>
          </w:tcPr>
          <w:p>
            <w:pPr>
              <w:pStyle w:val="TableText"/>
            </w:pPr>
            <w:r>
              <w:rPr>
                <w:sz w:val="20"/>
              </w:rPr>
            </w:r>
            <w:r>
              <w:rPr>
                <w:b/>
                <w:sz w:val="20"/>
              </w:rPr>
              <w:t>Local NPU and kernels</w:t>
            </w:r>
            <w:r>
              <w:rPr>
                <w:sz w:val="20"/>
              </w:rPr>
            </w:r>
          </w:p>
        </w:tc>
        <w:tc>
          <w:tcPr>
            <w:tcW w:type="dxa" w:w="7042"/>
            <w:vAlign w:val="top"/>
            <w:tcMar>
              <w:top w:w="73" w:type="dxa"/>
              <w:bottom w:w="73" w:type="dxa"/>
              <w:left w:w="100" w:type="dxa"/>
              <w:right w:w="100" w:type="dxa"/>
            </w:tcMar>
          </w:tcPr>
          <w:p>
            <w:pPr>
              <w:pStyle w:val="TableText"/>
            </w:pPr>
            <w:r>
              <w:rPr>
                <w:sz w:val="20"/>
              </w:rPr>
              <w:t>Score, mask, pool, and reduce the data before returning results. Its required operators and HBF connection must be demonstrated.</w:t>
            </w:r>
          </w:p>
        </w:tc>
      </w:tr>
      <w:tr>
        <w:trPr>
          <w:cantSplit/>
        </w:trPr>
        <w:tc>
          <w:tcPr>
            <w:tcW w:type="dxa" w:w="3125"/>
            <w:vAlign w:val="top"/>
            <w:shd w:fill="F3F5F7"/>
            <w:tcMar>
              <w:top w:w="73" w:type="dxa"/>
              <w:bottom w:w="73" w:type="dxa"/>
              <w:left w:w="100" w:type="dxa"/>
              <w:right w:w="100" w:type="dxa"/>
            </w:tcMar>
          </w:tcPr>
          <w:p>
            <w:pPr>
              <w:pStyle w:val="TableText"/>
            </w:pPr>
            <w:r>
              <w:rPr>
                <w:sz w:val="20"/>
              </w:rPr>
            </w:r>
            <w:r>
              <w:rPr>
                <w:b/>
                <w:sz w:val="20"/>
              </w:rPr>
              <w:t>8–16 GB LPDDR plus SRAM</w:t>
            </w:r>
            <w:r>
              <w:rPr>
                <w:sz w:val="20"/>
              </w:rPr>
            </w:r>
          </w:p>
        </w:tc>
        <w:tc>
          <w:tcPr>
            <w:tcW w:type="dxa" w:w="7042"/>
            <w:vAlign w:val="top"/>
            <w:shd w:fill="F3F5F7"/>
            <w:tcMar>
              <w:top w:w="73" w:type="dxa"/>
              <w:bottom w:w="73" w:type="dxa"/>
              <w:left w:w="100" w:type="dxa"/>
              <w:right w:w="100" w:type="dxa"/>
            </w:tcMar>
          </w:tcPr>
          <w:p>
            <w:pPr>
              <w:pStyle w:val="TableText"/>
            </w:pPr>
            <w:r>
              <w:rPr>
                <w:sz w:val="20"/>
              </w:rPr>
              <w:t>Proposed working memory for active query state, tiles, buffers, and results. Capacity and read/write contention constrain concurrency.</w:t>
            </w:r>
          </w:p>
        </w:tc>
      </w:tr>
      <w:tr>
        <w:trPr>
          <w:cantSplit/>
        </w:trPr>
        <w:tc>
          <w:tcPr>
            <w:tcW w:type="dxa" w:w="3125"/>
            <w:vAlign w:val="top"/>
            <w:tcMar>
              <w:top w:w="73" w:type="dxa"/>
              <w:bottom w:w="73" w:type="dxa"/>
              <w:left w:w="100" w:type="dxa"/>
              <w:right w:w="100" w:type="dxa"/>
            </w:tcMar>
          </w:tcPr>
          <w:p>
            <w:pPr>
              <w:pStyle w:val="TableText"/>
            </w:pPr>
            <w:r>
              <w:rPr>
                <w:sz w:val="20"/>
              </w:rPr>
            </w:r>
            <w:r>
              <w:rPr>
                <w:b/>
                <w:sz w:val="20"/>
              </w:rPr>
              <w:t>E3.S / E3.S 2T packaging</w:t>
            </w:r>
            <w:r>
              <w:rPr>
                <w:sz w:val="20"/>
              </w:rPr>
            </w:r>
          </w:p>
        </w:tc>
        <w:tc>
          <w:tcPr>
            <w:tcW w:type="dxa" w:w="7042"/>
            <w:vAlign w:val="top"/>
            <w:tcMar>
              <w:top w:w="73" w:type="dxa"/>
              <w:bottom w:w="73" w:type="dxa"/>
              <w:left w:w="100" w:type="dxa"/>
              <w:right w:w="100" w:type="dxa"/>
            </w:tcMar>
          </w:tcPr>
          <w:p>
            <w:pPr>
              <w:pStyle w:val="TableText"/>
            </w:pPr>
            <w:r>
              <w:rPr>
                <w:sz w:val="20"/>
              </w:rPr>
              <w:t>A possible modular, front-serviceable deployment vehicle. Device power, lanes, cooling, firmware, and OEM support still require qualification.</w:t>
            </w:r>
          </w:p>
        </w:tc>
      </w:tr>
    </w:tbl>
    <w:p>
      <w:pPr>
        <w:spacing w:after="20"/>
      </w:pPr>
    </w:p>
    <w:p>
      <w:pPr>
        <w:pStyle w:val="Source"/>
      </w:pPr>
      <w:r>
        <w:t>These are source design directions [I1–I2], not an available device or a promise of sustained bandwidth. The approximately 200 GB/s HBF read target is an input to characterize, not a query-performance result.</w:t>
      </w:r>
    </w:p>
    <w:p>
      <w:pPr>
        <w:pStyle w:val="Heading2"/>
      </w:pPr>
      <w:r>
        <w:t>Where the customer could gain</w:t>
      </w:r>
    </w:p>
    <w:p>
      <w:r>
        <w:t>Some services must repeatedly access more vectors or features than they can economically keep in fast memory. They respond through compression, SSD-backed indexes, caching, sharding, and GPUs. ATMOS is relevant only where those optimized approaches still leave a material performance, capacity, or operating-cost problem.</w:t>
      </w:r>
    </w:p>
    <w:p>
      <w:pPr>
        <w:pStyle w:val="Heading2"/>
      </w:pPr>
      <w:r>
        <w:t>What remains outside the first product</w:t>
      </w:r>
    </w:p>
    <w:p>
      <w:r>
        <w:t>Database consistency and query planning remain with the partner. Raw documents and authoritative data remain in existing storage. Broad model serving, training, giant cross-device MoE, and a new managed-search business are not part of the initial scope. An existing ASIC’s interface cannot be assumed to accept HBF without engineering work.</w:t>
      </w:r>
    </w:p>
    <w:tbl>
      <w:tblPr>
        <w:tblW w:type="auto" w:w="0"/>
        <w:jc w:val="center"/>
        <w:tblLayout w:type="fixed"/>
        <w:tblLook w:firstColumn="1" w:firstRow="1" w:lastColumn="0" w:lastRow="0" w:noHBand="0" w:noVBand="1" w:val="04A0"/>
      </w:tblPr>
      <w:tblGrid>
        <w:gridCol w:w="10166"/>
      </w:tblGrid>
      <w:tr>
        <w:trPr>
          <w:cantSplit/>
        </w:trPr>
        <w:tc>
          <w:tcPr>
            <w:tcW w:type="dxa" w:w="10166"/>
            <w:shd w:fill="FBEEF0"/>
            <w:tcMar>
              <w:top w:w="115" w:type="dxa"/>
              <w:bottom w:w="50" w:type="dxa"/>
              <w:left w:w="155" w:type="dxa"/>
              <w:right w:w="155" w:type="dxa"/>
            </w:tcMar>
          </w:tcPr>
          <w:p>
            <w:pPr>
              <w:spacing w:after="100"/>
            </w:pPr>
            <w:r>
              <w:rPr>
                <w:b/>
                <w:color w:val="A31630"/>
                <w:sz w:val="23"/>
              </w:rPr>
              <w:t>Executive reading route</w:t>
            </w:r>
          </w:p>
          <w:p>
            <w:pPr>
              <w:spacing w:after="140" w:line="252" w:lineRule="auto"/>
            </w:pPr>
            <w:r>
              <w:t>Sections 1–4 establish the opportunity; 10–13 explain the economics; 14–20 cover risks, partners, resources, and execution. Appendices hold reproducible calculations, the workshop kit, and the source register.</w:t>
            </w:r>
          </w:p>
        </w:tc>
      </w:tr>
    </w:tbl>
    <w:p>
      <w:pPr>
        <w:spacing w:after="20"/>
      </w:pPr>
    </w:p>
    <w:p>
      <w:pPr>
        <w:pStyle w:val="Small"/>
        <w:keepNext/>
        <w:pageBreakBefore/>
      </w:pPr>
      <w:r>
        <w:rPr>
          <w:b/>
          <w:color w:val="24586E"/>
        </w:rPr>
        <w:t>PUBLIC EVIDENCE—NOT ATMOS CUSTOMERS</w:t>
      </w:r>
    </w:p>
    <w:p>
      <w:pPr>
        <w:pStyle w:val="Heading1"/>
      </w:pPr>
      <w:r>
        <w:t>2. Industry evidence: relevant problems, strong incumbents</w:t>
      </w:r>
    </w:p>
    <w:p>
      <w:r>
        <w:t>The following examples show that the target stages exist outside Google. They do not show interest in ATMOS, establish attainable ATMOS performance, or reveal the operators’ private fleet economics.</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131"/>
        <w:gridCol w:w="3874"/>
        <w:gridCol w:w="4162"/>
      </w:tblGrid>
      <w:tr>
        <w:trPr>
          <w:tblHeader/>
          <w:cantSplit/>
        </w:trPr>
        <w:tc>
          <w:tcPr>
            <w:tcW w:type="dxa" w:w="2131"/>
            <w:shd w:fill="A31630"/>
            <w:tcMar>
              <w:top w:w="73" w:type="dxa"/>
              <w:bottom w:w="73" w:type="dxa"/>
              <w:left w:w="100" w:type="dxa"/>
              <w:right w:w="100" w:type="dxa"/>
            </w:tcMar>
          </w:tcPr>
          <w:p>
            <w:pPr>
              <w:pStyle w:val="TableText"/>
            </w:pPr>
            <w:r>
              <w:rPr>
                <w:b/>
                <w:color w:val="FFFFFF"/>
                <w:sz w:val="20"/>
              </w:rPr>
              <w:t>Public example</w:t>
            </w:r>
          </w:p>
        </w:tc>
        <w:tc>
          <w:tcPr>
            <w:tcW w:type="dxa" w:w="3874"/>
            <w:shd w:fill="A31630"/>
            <w:tcMar>
              <w:top w:w="73" w:type="dxa"/>
              <w:bottom w:w="73" w:type="dxa"/>
              <w:left w:w="100" w:type="dxa"/>
              <w:right w:w="100" w:type="dxa"/>
            </w:tcMar>
          </w:tcPr>
          <w:p>
            <w:pPr>
              <w:pStyle w:val="TableText"/>
            </w:pPr>
            <w:r>
              <w:rPr>
                <w:b/>
                <w:color w:val="FFFFFF"/>
                <w:sz w:val="20"/>
              </w:rPr>
              <w:t>What is documented</w:t>
            </w:r>
          </w:p>
        </w:tc>
        <w:tc>
          <w:tcPr>
            <w:tcW w:type="dxa" w:w="4162"/>
            <w:shd w:fill="A31630"/>
            <w:tcMar>
              <w:top w:w="73" w:type="dxa"/>
              <w:bottom w:w="73" w:type="dxa"/>
              <w:left w:w="100" w:type="dxa"/>
              <w:right w:w="100" w:type="dxa"/>
            </w:tcMar>
          </w:tcPr>
          <w:p>
            <w:pPr>
              <w:pStyle w:val="TableText"/>
            </w:pPr>
            <w:r>
              <w:rPr>
                <w:b/>
                <w:color w:val="FFFFFF"/>
                <w:sz w:val="20"/>
              </w:rPr>
              <w:t>Implication for this proposal</w:t>
            </w:r>
          </w:p>
        </w:tc>
      </w:tr>
      <w:tr>
        <w:trPr>
          <w:cantSplit/>
        </w:trPr>
        <w:tc>
          <w:tcPr>
            <w:tcW w:type="dxa" w:w="2131"/>
            <w:vAlign w:val="top"/>
            <w:shd w:fill="F3F5F7"/>
            <w:tcMar>
              <w:top w:w="73" w:type="dxa"/>
              <w:bottom w:w="73" w:type="dxa"/>
              <w:left w:w="100" w:type="dxa"/>
              <w:right w:w="100" w:type="dxa"/>
            </w:tcMar>
          </w:tcPr>
          <w:p>
            <w:pPr>
              <w:pStyle w:val="TableText"/>
            </w:pPr>
            <w:r>
              <w:rPr>
                <w:sz w:val="19"/>
              </w:rPr>
              <w:t>OpenSearch [R1–R2]</w:t>
            </w:r>
          </w:p>
        </w:tc>
        <w:tc>
          <w:tcPr>
            <w:tcW w:type="dxa" w:w="3874"/>
            <w:vAlign w:val="top"/>
            <w:shd w:fill="F3F5F7"/>
            <w:tcMar>
              <w:top w:w="73" w:type="dxa"/>
              <w:bottom w:w="73" w:type="dxa"/>
              <w:left w:w="100" w:type="dxa"/>
              <w:right w:w="100" w:type="dxa"/>
            </w:tcMar>
          </w:tcPr>
          <w:p>
            <w:pPr>
              <w:pStyle w:val="TableText"/>
            </w:pPr>
            <w:r>
              <w:rPr>
                <w:sz w:val="19"/>
              </w:rPr>
              <w:t>Its disk-based vector mode uses quantized candidate selection followed by original-vector loading and rescoring.</w:t>
            </w:r>
          </w:p>
        </w:tc>
        <w:tc>
          <w:tcPr>
            <w:tcW w:type="dxa" w:w="4162"/>
            <w:vAlign w:val="top"/>
            <w:shd w:fill="F3F5F7"/>
            <w:tcMar>
              <w:top w:w="73" w:type="dxa"/>
              <w:bottom w:w="73" w:type="dxa"/>
              <w:left w:w="100" w:type="dxa"/>
              <w:right w:w="100" w:type="dxa"/>
            </w:tcMar>
          </w:tcPr>
          <w:p>
            <w:pPr>
              <w:pStyle w:val="TableText"/>
            </w:pPr>
            <w:r>
              <w:rPr>
                <w:sz w:val="19"/>
              </w:rPr>
              <w:t>A specific stage exists to investigate. Benchmark tuned quantization and rescoring; do not assume the stage is always needed.</w:t>
            </w:r>
          </w:p>
        </w:tc>
      </w:tr>
      <w:tr>
        <w:trPr>
          <w:cantSplit/>
        </w:trPr>
        <w:tc>
          <w:tcPr>
            <w:tcW w:type="dxa" w:w="2131"/>
            <w:vAlign w:val="top"/>
            <w:tcMar>
              <w:top w:w="73" w:type="dxa"/>
              <w:bottom w:w="73" w:type="dxa"/>
              <w:left w:w="100" w:type="dxa"/>
              <w:right w:w="100" w:type="dxa"/>
            </w:tcMar>
          </w:tcPr>
          <w:p>
            <w:pPr>
              <w:pStyle w:val="TableText"/>
            </w:pPr>
            <w:r>
              <w:rPr>
                <w:sz w:val="19"/>
              </w:rPr>
              <w:t>LinkedIn job search, May 2025 [R4]</w:t>
            </w:r>
          </w:p>
        </w:tc>
        <w:tc>
          <w:tcPr>
            <w:tcW w:type="dxa" w:w="3874"/>
            <w:vAlign w:val="top"/>
            <w:tcMar>
              <w:top w:w="73" w:type="dxa"/>
              <w:bottom w:w="73" w:type="dxa"/>
              <w:left w:w="100" w:type="dxa"/>
              <w:right w:w="100" w:type="dxa"/>
            </w:tcMar>
          </w:tcPr>
          <w:p>
            <w:pPr>
              <w:pStyle w:val="TableText"/>
            </w:pPr>
            <w:r>
              <w:rPr>
                <w:sz w:val="19"/>
              </w:rPr>
              <w:t>LinkedIn describes GPU exhaustive retrieval with contiguous vectors, fused kernels, filtering, and subpartitioning; it reports a few milliseconds for retrieval.</w:t>
            </w:r>
          </w:p>
        </w:tc>
        <w:tc>
          <w:tcPr>
            <w:tcW w:type="dxa" w:w="4162"/>
            <w:vAlign w:val="top"/>
            <w:tcMar>
              <w:top w:w="73" w:type="dxa"/>
              <w:bottom w:w="73" w:type="dxa"/>
              <w:left w:w="100" w:type="dxa"/>
              <w:right w:w="100" w:type="dxa"/>
            </w:tcMar>
          </w:tcPr>
          <w:p>
            <w:pPr>
              <w:pStyle w:val="TableText"/>
            </w:pPr>
            <w:r>
              <w:rPr>
                <w:sz w:val="19"/>
              </w:rPr>
              <w:t>Compete against an optimized resident-GPU design, not a generic CPU ANN example. Ask where capacity or representation richness creates a remaining problem.</w:t>
            </w:r>
          </w:p>
        </w:tc>
      </w:tr>
      <w:tr>
        <w:trPr>
          <w:cantSplit/>
        </w:trPr>
        <w:tc>
          <w:tcPr>
            <w:tcW w:type="dxa" w:w="2131"/>
            <w:vAlign w:val="top"/>
            <w:shd w:fill="F3F5F7"/>
            <w:tcMar>
              <w:top w:w="73" w:type="dxa"/>
              <w:bottom w:w="73" w:type="dxa"/>
              <w:left w:w="100" w:type="dxa"/>
              <w:right w:w="100" w:type="dxa"/>
            </w:tcMar>
          </w:tcPr>
          <w:p>
            <w:pPr>
              <w:pStyle w:val="TableText"/>
            </w:pPr>
            <w:r>
              <w:rPr>
                <w:sz w:val="19"/>
              </w:rPr>
              <w:t>LinkedIn JUDE [R5]</w:t>
            </w:r>
          </w:p>
        </w:tc>
        <w:tc>
          <w:tcPr>
            <w:tcW w:type="dxa" w:w="3874"/>
            <w:vAlign w:val="top"/>
            <w:shd w:fill="F3F5F7"/>
            <w:tcMar>
              <w:top w:w="73" w:type="dxa"/>
              <w:bottom w:w="73" w:type="dxa"/>
              <w:left w:w="100" w:type="dxa"/>
              <w:right w:w="100" w:type="dxa"/>
            </w:tcMar>
          </w:tcPr>
          <w:p>
            <w:pPr>
              <w:pStyle w:val="TableText"/>
            </w:pPr>
            <w:r>
              <w:rPr>
                <w:sz w:val="19"/>
              </w:rPr>
              <w:t>Generated embeddings are stored in Venice for online ranking, with separate offline outputs.</w:t>
            </w:r>
          </w:p>
        </w:tc>
        <w:tc>
          <w:tcPr>
            <w:tcW w:type="dxa" w:w="4162"/>
            <w:vAlign w:val="top"/>
            <w:shd w:fill="F3F5F7"/>
            <w:tcMar>
              <w:top w:w="73" w:type="dxa"/>
              <w:bottom w:w="73" w:type="dxa"/>
              <w:left w:w="100" w:type="dxa"/>
              <w:right w:w="100" w:type="dxa"/>
            </w:tcMar>
          </w:tcPr>
          <w:p>
            <w:pPr>
              <w:pStyle w:val="TableText"/>
            </w:pPr>
            <w:r>
              <w:rPr>
                <w:sz w:val="19"/>
              </w:rPr>
              <w:t>Embedding generation and repeated feature consumption are different opportunities; target the latter for HBF.</w:t>
            </w:r>
          </w:p>
        </w:tc>
      </w:tr>
      <w:tr>
        <w:trPr>
          <w:cantSplit/>
        </w:trPr>
        <w:tc>
          <w:tcPr>
            <w:tcW w:type="dxa" w:w="2131"/>
            <w:vAlign w:val="top"/>
            <w:tcMar>
              <w:top w:w="73" w:type="dxa"/>
              <w:bottom w:w="73" w:type="dxa"/>
              <w:left w:w="100" w:type="dxa"/>
              <w:right w:w="100" w:type="dxa"/>
            </w:tcMar>
          </w:tcPr>
          <w:p>
            <w:pPr>
              <w:pStyle w:val="TableText"/>
            </w:pPr>
            <w:r>
              <w:rPr>
                <w:sz w:val="19"/>
              </w:rPr>
              <w:t>Meta Andromeda, December 2024 [R6]</w:t>
            </w:r>
          </w:p>
        </w:tc>
        <w:tc>
          <w:tcPr>
            <w:tcW w:type="dxa" w:w="3874"/>
            <w:vAlign w:val="top"/>
            <w:tcMar>
              <w:top w:w="73" w:type="dxa"/>
              <w:bottom w:w="73" w:type="dxa"/>
              <w:left w:w="100" w:type="dxa"/>
              <w:right w:w="100" w:type="dxa"/>
            </w:tcMar>
          </w:tcPr>
          <w:p>
            <w:pPr>
              <w:pStyle w:val="TableText"/>
            </w:pPr>
            <w:r>
              <w:rPr>
                <w:sz w:val="19"/>
              </w:rPr>
              <w:t>Retrieval uses hardware/model co-design; precomputed ad embeddings and features reside in Grace Hopper local memory.</w:t>
            </w:r>
          </w:p>
        </w:tc>
        <w:tc>
          <w:tcPr>
            <w:tcW w:type="dxa" w:w="4162"/>
            <w:vAlign w:val="top"/>
            <w:tcMar>
              <w:top w:w="73" w:type="dxa"/>
              <w:bottom w:w="73" w:type="dxa"/>
              <w:left w:w="100" w:type="dxa"/>
              <w:right w:w="100" w:type="dxa"/>
            </w:tcMar>
          </w:tcPr>
          <w:p>
            <w:pPr>
              <w:pStyle w:val="TableText"/>
            </w:pPr>
            <w:r>
              <w:rPr>
                <w:sz w:val="19"/>
              </w:rPr>
              <w:t>Locality is already an incumbent strength. A narrow feature-stage or capacity proposal is more credible than replacement of the full retrieval engine.</w:t>
            </w:r>
          </w:p>
        </w:tc>
      </w:tr>
      <w:tr>
        <w:trPr>
          <w:cantSplit/>
        </w:trPr>
        <w:tc>
          <w:tcPr>
            <w:tcW w:type="dxa" w:w="2131"/>
            <w:vAlign w:val="top"/>
            <w:shd w:fill="F3F5F7"/>
            <w:tcMar>
              <w:top w:w="73" w:type="dxa"/>
              <w:bottom w:w="73" w:type="dxa"/>
              <w:left w:w="100" w:type="dxa"/>
              <w:right w:w="100" w:type="dxa"/>
            </w:tcMar>
          </w:tcPr>
          <w:p>
            <w:pPr>
              <w:pStyle w:val="TableText"/>
            </w:pPr>
            <w:r>
              <w:rPr>
                <w:sz w:val="19"/>
              </w:rPr>
              <w:t>Vespa [R7]</w:t>
            </w:r>
          </w:p>
        </w:tc>
        <w:tc>
          <w:tcPr>
            <w:tcW w:type="dxa" w:w="3874"/>
            <w:vAlign w:val="top"/>
            <w:shd w:fill="F3F5F7"/>
            <w:tcMar>
              <w:top w:w="73" w:type="dxa"/>
              <w:bottom w:w="73" w:type="dxa"/>
              <w:left w:w="100" w:type="dxa"/>
              <w:right w:w="100" w:type="dxa"/>
            </w:tcMar>
          </w:tcPr>
          <w:p>
            <w:pPr>
              <w:pStyle w:val="TableText"/>
            </w:pPr>
            <w:r>
              <w:rPr>
                <w:sz w:val="19"/>
              </w:rPr>
              <w:t>ColBERT support includes compressed token representations and disk-backed options.</w:t>
            </w:r>
          </w:p>
        </w:tc>
        <w:tc>
          <w:tcPr>
            <w:tcW w:type="dxa" w:w="4162"/>
            <w:vAlign w:val="top"/>
            <w:shd w:fill="F3F5F7"/>
            <w:tcMar>
              <w:top w:w="73" w:type="dxa"/>
              <w:bottom w:w="73" w:type="dxa"/>
              <w:left w:w="100" w:type="dxa"/>
              <w:right w:w="100" w:type="dxa"/>
            </w:tcMar>
          </w:tcPr>
          <w:p>
            <w:pPr>
              <w:pStyle w:val="TableText"/>
            </w:pPr>
            <w:r>
              <w:rPr>
                <w:sz w:val="19"/>
              </w:rPr>
              <w:t>Compare with compressed, data-local scoring. Larger representations alone are not proof of a hardware need.</w:t>
            </w:r>
          </w:p>
        </w:tc>
      </w:tr>
      <w:tr>
        <w:trPr>
          <w:cantSplit/>
        </w:trPr>
        <w:tc>
          <w:tcPr>
            <w:tcW w:type="dxa" w:w="2131"/>
            <w:vAlign w:val="top"/>
            <w:tcMar>
              <w:top w:w="73" w:type="dxa"/>
              <w:bottom w:w="73" w:type="dxa"/>
              <w:left w:w="100" w:type="dxa"/>
              <w:right w:w="100" w:type="dxa"/>
            </w:tcMar>
          </w:tcPr>
          <w:p>
            <w:pPr>
              <w:pStyle w:val="TableText"/>
            </w:pPr>
            <w:r>
              <w:rPr>
                <w:sz w:val="19"/>
              </w:rPr>
              <w:t>AWS customer examples [R3]</w:t>
            </w:r>
          </w:p>
        </w:tc>
        <w:tc>
          <w:tcPr>
            <w:tcW w:type="dxa" w:w="3874"/>
            <w:vAlign w:val="top"/>
            <w:tcMar>
              <w:top w:w="73" w:type="dxa"/>
              <w:bottom w:w="73" w:type="dxa"/>
              <w:left w:w="100" w:type="dxa"/>
              <w:right w:w="100" w:type="dxa"/>
            </w:tcMar>
          </w:tcPr>
          <w:p>
            <w:pPr>
              <w:pStyle w:val="TableText"/>
            </w:pPr>
            <w:r>
              <w:rPr>
                <w:sz w:val="19"/>
              </w:rPr>
              <w:t>AWS publishes accounts from Qlik, March Networks, and xCures using vector services for analytics, media, or healthcare data.</w:t>
            </w:r>
          </w:p>
        </w:tc>
        <w:tc>
          <w:tcPr>
            <w:tcW w:type="dxa" w:w="4162"/>
            <w:vAlign w:val="top"/>
            <w:tcMar>
              <w:top w:w="73" w:type="dxa"/>
              <w:bottom w:w="73" w:type="dxa"/>
              <w:left w:w="100" w:type="dxa"/>
              <w:right w:w="100" w:type="dxa"/>
            </w:tcMar>
          </w:tcPr>
          <w:p>
            <w:pPr>
              <w:pStyle w:val="TableText"/>
            </w:pPr>
            <w:r>
              <w:rPr>
                <w:sz w:val="19"/>
              </w:rPr>
              <w:t>Service providers aggregate enterprise demand. Their inclusion is a discovery hypothesis, not a known hardware-buying opportunity.</w:t>
            </w:r>
          </w:p>
        </w:tc>
      </w:tr>
    </w:tbl>
    <w:p>
      <w:pPr>
        <w:spacing w:after="20"/>
      </w:pPr>
    </w:p>
    <w:p>
      <w:pPr>
        <w:pStyle w:val="Heading2"/>
      </w:pPr>
      <w:r>
        <w:t>What this evidence does—and does not—support</w:t>
      </w:r>
    </w:p>
    <w:p>
      <w:r>
        <w:t>It supports a search-stage investigation with identifiable software owners. It does not support a total addressable market, conversion probability, revenue forecast, or guaranteed reduction in GPUs. A customer’s current optimized service may remain the right answer.</w:t>
      </w:r>
    </w:p>
    <w:p>
      <w:pPr>
        <w:pStyle w:val="Small"/>
      </w:pPr>
      <w:r>
        <w:t>Research context: HAVEN studies an HBF-augmented vector architecture in simulation. It is neither ATMOS hardware validation nor a Google production deployment. Its reported gains are not reused as product forecasts. [R17]</w:t>
      </w:r>
    </w:p>
    <w:p>
      <w:pPr>
        <w:pStyle w:val="Small"/>
        <w:keepNext/>
        <w:pageBreakBefore/>
      </w:pPr>
      <w:r>
        <w:rPr>
          <w:b/>
          <w:color w:val="24586E"/>
        </w:rPr>
        <w:t>CUSTOMER SELECTION</w:t>
      </w:r>
    </w:p>
    <w:p>
      <w:pPr>
        <w:pStyle w:val="Heading1"/>
      </w:pPr>
      <w:r>
        <w:t>3. Target the infrastructure operator</w:t>
      </w:r>
    </w:p>
    <w:p>
      <w:r>
        <w:t>A bank or hospital can be the workload owner without being the hardware buyer. The lead commercial question is who operates the search backend, controls its software, and can make a deployment decision. Avoid qualifying accounts by industry name or document count alone.</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376"/>
        <w:gridCol w:w="3960"/>
        <w:gridCol w:w="3830"/>
      </w:tblGrid>
      <w:tr>
        <w:trPr>
          <w:tblHeader/>
          <w:cantSplit/>
        </w:trPr>
        <w:tc>
          <w:tcPr>
            <w:tcW w:type="dxa" w:w="2376"/>
            <w:shd w:fill="A31630"/>
            <w:tcMar>
              <w:top w:w="73" w:type="dxa"/>
              <w:bottom w:w="73" w:type="dxa"/>
              <w:left w:w="100" w:type="dxa"/>
              <w:right w:w="100" w:type="dxa"/>
            </w:tcMar>
          </w:tcPr>
          <w:p>
            <w:pPr>
              <w:pStyle w:val="TableText"/>
            </w:pPr>
            <w:r>
              <w:rPr>
                <w:b/>
                <w:color w:val="FFFFFF"/>
                <w:sz w:val="20"/>
              </w:rPr>
              <w:t>Route</w:t>
            </w:r>
          </w:p>
        </w:tc>
        <w:tc>
          <w:tcPr>
            <w:tcW w:type="dxa" w:w="3960"/>
            <w:shd w:fill="A31630"/>
            <w:tcMar>
              <w:top w:w="73" w:type="dxa"/>
              <w:bottom w:w="73" w:type="dxa"/>
              <w:left w:w="100" w:type="dxa"/>
              <w:right w:w="100" w:type="dxa"/>
            </w:tcMar>
          </w:tcPr>
          <w:p>
            <w:pPr>
              <w:pStyle w:val="TableText"/>
            </w:pPr>
            <w:r>
              <w:rPr>
                <w:b/>
                <w:color w:val="FFFFFF"/>
                <w:sz w:val="20"/>
              </w:rPr>
              <w:t>Buyer and problem</w:t>
            </w:r>
          </w:p>
        </w:tc>
        <w:tc>
          <w:tcPr>
            <w:tcW w:type="dxa" w:w="3830"/>
            <w:shd w:fill="A31630"/>
            <w:tcMar>
              <w:top w:w="73" w:type="dxa"/>
              <w:bottom w:w="73" w:type="dxa"/>
              <w:left w:w="100" w:type="dxa"/>
              <w:right w:w="100" w:type="dxa"/>
            </w:tcMar>
          </w:tcPr>
          <w:p>
            <w:pPr>
              <w:pStyle w:val="TableText"/>
            </w:pPr>
            <w:r>
              <w:rPr>
                <w:b/>
                <w:color w:val="FFFFFF"/>
                <w:sz w:val="20"/>
              </w:rPr>
              <w:t>Recommended engagement</w:t>
            </w:r>
          </w:p>
        </w:tc>
      </w:tr>
      <w:tr>
        <w:trPr>
          <w:cantSplit/>
        </w:trPr>
        <w:tc>
          <w:tcPr>
            <w:tcW w:type="dxa" w:w="2376"/>
            <w:vAlign w:val="top"/>
            <w:shd w:fill="F3F5F7"/>
            <w:tcMar>
              <w:top w:w="73" w:type="dxa"/>
              <w:bottom w:w="73" w:type="dxa"/>
              <w:left w:w="100" w:type="dxa"/>
              <w:right w:w="100" w:type="dxa"/>
            </w:tcMar>
          </w:tcPr>
          <w:p>
            <w:pPr>
              <w:pStyle w:val="TableText"/>
            </w:pPr>
            <w:r>
              <w:rPr>
                <w:sz w:val="20"/>
              </w:rPr>
            </w:r>
            <w:r>
              <w:rPr>
                <w:b/>
                <w:sz w:val="20"/>
              </w:rPr>
              <w:t>Search / vector ISV or specialist SaaS</w:t>
            </w:r>
            <w:r>
              <w:rPr>
                <w:sz w:val="20"/>
              </w:rPr>
            </w:r>
          </w:p>
        </w:tc>
        <w:tc>
          <w:tcPr>
            <w:tcW w:type="dxa" w:w="3960"/>
            <w:vAlign w:val="top"/>
            <w:shd w:fill="F3F5F7"/>
            <w:tcMar>
              <w:top w:w="73" w:type="dxa"/>
              <w:bottom w:w="73" w:type="dxa"/>
              <w:left w:w="100" w:type="dxa"/>
              <w:right w:w="100" w:type="dxa"/>
            </w:tcMar>
          </w:tcPr>
          <w:p>
            <w:pPr>
              <w:pStyle w:val="TableText"/>
            </w:pPr>
            <w:r>
              <w:rPr>
                <w:sz w:val="20"/>
              </w:rPr>
              <w:t>Platform leader and search-engine owner. Needs better economics for a repeatable, measurable stage.</w:t>
            </w:r>
          </w:p>
        </w:tc>
        <w:tc>
          <w:tcPr>
            <w:tcW w:type="dxa" w:w="3830"/>
            <w:vAlign w:val="top"/>
            <w:shd w:fill="F3F5F7"/>
            <w:tcMar>
              <w:top w:w="73" w:type="dxa"/>
              <w:bottom w:w="73" w:type="dxa"/>
              <w:left w:w="100" w:type="dxa"/>
              <w:right w:w="100" w:type="dxa"/>
            </w:tcMar>
          </w:tcPr>
          <w:p>
            <w:pPr>
              <w:pStyle w:val="TableText"/>
            </w:pPr>
            <w:r>
              <w:rPr>
                <w:sz w:val="20"/>
              </w:rPr>
              <w:t>First design-partner route. Pair one executable engine integration with one workload owner and one OEM.</w:t>
            </w:r>
          </w:p>
        </w:tc>
      </w:tr>
      <w:tr>
        <w:trPr>
          <w:cantSplit/>
        </w:trPr>
        <w:tc>
          <w:tcPr>
            <w:tcW w:type="dxa" w:w="2376"/>
            <w:vAlign w:val="top"/>
            <w:tcMar>
              <w:top w:w="73" w:type="dxa"/>
              <w:bottom w:w="73" w:type="dxa"/>
              <w:left w:w="100" w:type="dxa"/>
              <w:right w:w="100" w:type="dxa"/>
            </w:tcMar>
          </w:tcPr>
          <w:p>
            <w:pPr>
              <w:pStyle w:val="TableText"/>
            </w:pPr>
            <w:r>
              <w:rPr>
                <w:sz w:val="20"/>
              </w:rPr>
            </w:r>
            <w:r>
              <w:rPr>
                <w:b/>
                <w:sz w:val="20"/>
              </w:rPr>
              <w:t>Hyperscaler managed service</w:t>
            </w:r>
            <w:r>
              <w:rPr>
                <w:sz w:val="20"/>
              </w:rPr>
            </w:r>
          </w:p>
        </w:tc>
        <w:tc>
          <w:tcPr>
            <w:tcW w:type="dxa" w:w="3960"/>
            <w:vAlign w:val="top"/>
            <w:tcMar>
              <w:top w:w="73" w:type="dxa"/>
              <w:bottom w:w="73" w:type="dxa"/>
              <w:left w:w="100" w:type="dxa"/>
              <w:right w:w="100" w:type="dxa"/>
            </w:tcMar>
          </w:tcPr>
          <w:p>
            <w:pPr>
              <w:pStyle w:val="TableText"/>
            </w:pPr>
            <w:r>
              <w:rPr>
                <w:sz w:val="20"/>
              </w:rPr>
              <w:t>Search-service engineering, infrastructure hardware, and service finance.</w:t>
            </w:r>
          </w:p>
        </w:tc>
        <w:tc>
          <w:tcPr>
            <w:tcW w:type="dxa" w:w="3830"/>
            <w:vAlign w:val="top"/>
            <w:tcMar>
              <w:top w:w="73" w:type="dxa"/>
              <w:bottom w:w="73" w:type="dxa"/>
              <w:left w:w="100" w:type="dxa"/>
              <w:right w:w="100" w:type="dxa"/>
            </w:tcMar>
          </w:tcPr>
          <w:p>
            <w:pPr>
              <w:pStyle w:val="TableText"/>
            </w:pPr>
            <w:r>
              <w:rPr>
                <w:sz w:val="20"/>
              </w:rPr>
              <w:t>Strategic route in parallel. Bring a trace-based backend result; hardware insertion requires provider participation.</w:t>
            </w:r>
          </w:p>
        </w:tc>
      </w:tr>
      <w:tr>
        <w:trPr>
          <w:cantSplit/>
        </w:trPr>
        <w:tc>
          <w:tcPr>
            <w:tcW w:type="dxa" w:w="2376"/>
            <w:vAlign w:val="top"/>
            <w:shd w:fill="F3F5F7"/>
            <w:tcMar>
              <w:top w:w="73" w:type="dxa"/>
              <w:bottom w:w="73" w:type="dxa"/>
              <w:left w:w="100" w:type="dxa"/>
              <w:right w:w="100" w:type="dxa"/>
            </w:tcMar>
          </w:tcPr>
          <w:p>
            <w:pPr>
              <w:pStyle w:val="TableText"/>
            </w:pPr>
            <w:r>
              <w:rPr>
                <w:sz w:val="20"/>
              </w:rPr>
            </w:r>
            <w:r>
              <w:rPr>
                <w:b/>
                <w:sz w:val="20"/>
              </w:rPr>
              <w:t>Large vertical platform</w:t>
            </w:r>
            <w:r>
              <w:rPr>
                <w:sz w:val="20"/>
              </w:rPr>
            </w:r>
          </w:p>
        </w:tc>
        <w:tc>
          <w:tcPr>
            <w:tcW w:type="dxa" w:w="3960"/>
            <w:vAlign w:val="top"/>
            <w:shd w:fill="F3F5F7"/>
            <w:tcMar>
              <w:top w:w="73" w:type="dxa"/>
              <w:bottom w:w="73" w:type="dxa"/>
              <w:left w:w="100" w:type="dxa"/>
              <w:right w:w="100" w:type="dxa"/>
            </w:tcMar>
          </w:tcPr>
          <w:p>
            <w:pPr>
              <w:pStyle w:val="TableText"/>
            </w:pPr>
            <w:r>
              <w:rPr>
                <w:sz w:val="20"/>
              </w:rPr>
              <w:t>Retrieval/ranking infrastructure at a marketplace, professional network, media, or recommendation service.</w:t>
            </w:r>
          </w:p>
        </w:tc>
        <w:tc>
          <w:tcPr>
            <w:tcW w:type="dxa" w:w="3830"/>
            <w:vAlign w:val="top"/>
            <w:shd w:fill="F3F5F7"/>
            <w:tcMar>
              <w:top w:w="73" w:type="dxa"/>
              <w:bottom w:w="73" w:type="dxa"/>
              <w:left w:w="100" w:type="dxa"/>
              <w:right w:w="100" w:type="dxa"/>
            </w:tcMar>
          </w:tcPr>
          <w:p>
            <w:pPr>
              <w:pStyle w:val="TableText"/>
            </w:pPr>
            <w:r>
              <w:rPr>
                <w:sz w:val="20"/>
              </w:rPr>
              <w:t>Co-design a bounded stage against the incumbent. Proprietary stack work and supplier qualification are material.</w:t>
            </w:r>
          </w:p>
        </w:tc>
      </w:tr>
      <w:tr>
        <w:trPr>
          <w:cantSplit/>
        </w:trPr>
        <w:tc>
          <w:tcPr>
            <w:tcW w:type="dxa" w:w="2376"/>
            <w:vAlign w:val="top"/>
            <w:tcMar>
              <w:top w:w="73" w:type="dxa"/>
              <w:bottom w:w="73" w:type="dxa"/>
              <w:left w:w="100" w:type="dxa"/>
              <w:right w:w="100" w:type="dxa"/>
            </w:tcMar>
          </w:tcPr>
          <w:p>
            <w:pPr>
              <w:pStyle w:val="TableText"/>
            </w:pPr>
            <w:r>
              <w:rPr>
                <w:sz w:val="20"/>
              </w:rPr>
            </w:r>
            <w:r>
              <w:rPr>
                <w:b/>
                <w:sz w:val="20"/>
              </w:rPr>
              <w:t>Self-managed enterprise</w:t>
            </w:r>
            <w:r>
              <w:rPr>
                <w:sz w:val="20"/>
              </w:rPr>
            </w:r>
          </w:p>
        </w:tc>
        <w:tc>
          <w:tcPr>
            <w:tcW w:type="dxa" w:w="3960"/>
            <w:vAlign w:val="top"/>
            <w:tcMar>
              <w:top w:w="73" w:type="dxa"/>
              <w:bottom w:w="73" w:type="dxa"/>
              <w:left w:w="100" w:type="dxa"/>
              <w:right w:w="100" w:type="dxa"/>
            </w:tcMar>
          </w:tcPr>
          <w:p>
            <w:pPr>
              <w:pStyle w:val="TableText"/>
            </w:pPr>
            <w:r>
              <w:rPr>
                <w:sz w:val="20"/>
              </w:rPr>
              <w:t>Infrastructure owner plus a business application sponsor.</w:t>
            </w:r>
          </w:p>
        </w:tc>
        <w:tc>
          <w:tcPr>
            <w:tcW w:type="dxa" w:w="3830"/>
            <w:vAlign w:val="top"/>
            <w:tcMar>
              <w:top w:w="73" w:type="dxa"/>
              <w:bottom w:w="73" w:type="dxa"/>
              <w:left w:w="100" w:type="dxa"/>
              <w:right w:w="100" w:type="dxa"/>
            </w:tcMar>
          </w:tcPr>
          <w:p>
            <w:pPr>
              <w:pStyle w:val="TableText"/>
            </w:pPr>
            <w:r>
              <w:rPr>
                <w:sz w:val="20"/>
              </w:rPr>
              <w:t>Pursue when sustained demand and approved local deployment justify hardware; do not assume cloud avoidance is the customer’s goal.</w:t>
            </w:r>
          </w:p>
        </w:tc>
      </w:tr>
    </w:tbl>
    <w:p>
      <w:pPr>
        <w:spacing w:after="20"/>
      </w:pPr>
    </w:p>
    <w:p>
      <w:pPr>
        <w:pStyle w:val="Heading2"/>
      </w:pPr>
      <w:r>
        <w:t>A qualified opportunity has six facts</w:t>
      </w:r>
    </w:p>
    <w:p>
      <w:r>
        <w:t>A named service owner; the current backend configuration; timestamped demand and data-access traces; agreed quality, freshness, and latency requirements; a cost problem that can actually be removed; and authority to modify the serving path. A warm introduction or large logo does not replace these facts.</w:t>
      </w:r>
    </w:p>
    <w:p>
      <w:pPr>
        <w:pStyle w:val="Heading2"/>
      </w:pPr>
      <w:r>
        <w:t>Build the market estimate from accounts</w:t>
      </w:r>
    </w:p>
    <w:p>
      <w:r>
        <w:t>For each qualified service, estimate devices from required capacity and measured service rate, including replicas, failure reserve, updates, and hot-shard imbalance. Then obtain a deployment range and buying window from the operator. Only those account-level opportunities should feed a product-volume scenario.</w:t>
      </w:r>
    </w:p>
    <w:tbl>
      <w:tblPr>
        <w:tblW w:type="auto" w:w="0"/>
        <w:jc w:val="center"/>
        <w:tblLayout w:type="fixed"/>
        <w:tblLook w:firstColumn="1" w:firstRow="1" w:lastColumn="0" w:lastRow="0" w:noHBand="0" w:noVBand="1" w:val="04A0"/>
      </w:tblPr>
      <w:tblGrid>
        <w:gridCol w:w="10166"/>
      </w:tblGrid>
      <w:tr>
        <w:trPr>
          <w:cantSplit/>
        </w:trPr>
        <w:tc>
          <w:tcPr>
            <w:tcW w:type="dxa" w:w="10166"/>
            <w:shd w:fill="FBEEF0"/>
            <w:tcMar>
              <w:top w:w="115" w:type="dxa"/>
              <w:bottom w:w="50" w:type="dxa"/>
              <w:left w:w="155" w:type="dxa"/>
              <w:right w:w="155" w:type="dxa"/>
            </w:tcMar>
          </w:tcPr>
          <w:p>
            <w:pPr>
              <w:spacing w:after="100"/>
            </w:pPr>
            <w:r>
              <w:rPr>
                <w:b/>
                <w:color w:val="A31630"/>
                <w:sz w:val="23"/>
              </w:rPr>
              <w:t>Commercial discipline</w:t>
            </w:r>
          </w:p>
          <w:p>
            <w:pPr>
              <w:spacing w:after="140" w:line="252" w:lineRule="auto"/>
            </w:pPr>
            <w:r>
              <w:t>Interest, technical fit, a funded POC, a design win, and a purchase order are different stages. Report them separately. This proposal contains no assumed conversion rate and no booked or probability-weighted revenue.</w:t>
            </w:r>
          </w:p>
        </w:tc>
      </w:tr>
    </w:tbl>
    <w:p>
      <w:pPr>
        <w:spacing w:after="20"/>
      </w:pPr>
    </w:p>
    <w:p>
      <w:pPr>
        <w:pStyle w:val="Small"/>
        <w:keepNext/>
        <w:pageBreakBefore/>
      </w:pPr>
      <w:r>
        <w:rPr>
          <w:b/>
          <w:color w:val="24586E"/>
        </w:rPr>
        <w:t>P1 • ESTABLISH THE SIMPLEST USEFUL DEVICE PATH</w:t>
      </w:r>
    </w:p>
    <w:p>
      <w:pPr>
        <w:pStyle w:val="Heading1"/>
      </w:pPr>
      <w:r>
        <w:t>4. Lead use case: candidate refinement</w:t>
      </w:r>
    </w:p>
    <w:p>
      <w:r/>
      <w:r>
        <w:rPr>
          <w:b/>
        </w:rPr>
        <w:t>Customer job.</w:t>
      </w:r>
      <w:r>
        <w:t xml:space="preserve"> A search engine narrows a collection to candidate IDs. It then evaluates more accurate representations before returning the best matches. The proposed device holds those representations and performs this final scoring step locally. OpenSearch’s two-stage design is a concrete reference for the problem. [R1]</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376"/>
        <w:gridCol w:w="7790"/>
      </w:tblGrid>
      <w:tr>
        <w:trPr>
          <w:tblHeader/>
          <w:cantSplit/>
        </w:trPr>
        <w:tc>
          <w:tcPr>
            <w:tcW w:type="dxa" w:w="2376"/>
            <w:shd w:fill="A31630"/>
            <w:tcMar>
              <w:top w:w="73" w:type="dxa"/>
              <w:bottom w:w="73" w:type="dxa"/>
              <w:left w:w="100" w:type="dxa"/>
              <w:right w:w="100" w:type="dxa"/>
            </w:tcMar>
          </w:tcPr>
          <w:p>
            <w:pPr>
              <w:pStyle w:val="TableText"/>
            </w:pPr>
            <w:r>
              <w:rPr>
                <w:b/>
                <w:color w:val="FFFFFF"/>
                <w:sz w:val="20"/>
              </w:rPr>
              <w:t>Question</w:t>
            </w:r>
          </w:p>
        </w:tc>
        <w:tc>
          <w:tcPr>
            <w:tcW w:type="dxa" w:w="7790"/>
            <w:shd w:fill="A31630"/>
            <w:tcMar>
              <w:top w:w="73" w:type="dxa"/>
              <w:bottom w:w="73" w:type="dxa"/>
              <w:left w:w="100" w:type="dxa"/>
              <w:right w:w="100" w:type="dxa"/>
            </w:tcMar>
          </w:tcPr>
          <w:p>
            <w:pPr>
              <w:pStyle w:val="TableText"/>
            </w:pPr>
            <w:r>
              <w:rPr>
                <w:b/>
                <w:color w:val="FFFFFF"/>
                <w:sz w:val="20"/>
              </w:rPr>
              <w:t>Proposed answer to test</w:t>
            </w:r>
          </w:p>
        </w:tc>
      </w:tr>
      <w:tr>
        <w:trPr>
          <w:cantSplit/>
        </w:trPr>
        <w:tc>
          <w:tcPr>
            <w:tcW w:type="dxa" w:w="2376"/>
            <w:vAlign w:val="top"/>
            <w:shd w:fill="F3F5F7"/>
            <w:tcMar>
              <w:top w:w="73" w:type="dxa"/>
              <w:bottom w:w="73" w:type="dxa"/>
              <w:left w:w="100" w:type="dxa"/>
              <w:right w:w="100" w:type="dxa"/>
            </w:tcMar>
          </w:tcPr>
          <w:p>
            <w:pPr>
              <w:pStyle w:val="TableText"/>
            </w:pPr>
            <w:r>
              <w:rPr>
                <w:sz w:val="20"/>
              </w:rPr>
              <w:t>Where ATMOS sits</w:t>
            </w:r>
          </w:p>
        </w:tc>
        <w:tc>
          <w:tcPr>
            <w:tcW w:type="dxa" w:w="7790"/>
            <w:vAlign w:val="top"/>
            <w:shd w:fill="F3F5F7"/>
            <w:tcMar>
              <w:top w:w="73" w:type="dxa"/>
              <w:bottom w:w="73" w:type="dxa"/>
              <w:left w:w="100" w:type="dxa"/>
              <w:right w:w="100" w:type="dxa"/>
            </w:tcMar>
          </w:tcPr>
          <w:p>
            <w:pPr>
              <w:pStyle w:val="TableText"/>
            </w:pPr>
            <w:r>
              <w:rPr>
                <w:sz w:val="20"/>
              </w:rPr>
              <w:t>After approved candidate generation and filters; before document fetch, a heavy ranker, or an LLM. The first test receives a fixed candidate list.</w:t>
            </w:r>
          </w:p>
        </w:tc>
      </w:tr>
      <w:tr>
        <w:trPr>
          <w:cantSplit/>
        </w:trPr>
        <w:tc>
          <w:tcPr>
            <w:tcW w:type="dxa" w:w="2376"/>
            <w:vAlign w:val="top"/>
            <w:tcMar>
              <w:top w:w="73" w:type="dxa"/>
              <w:bottom w:w="73" w:type="dxa"/>
              <w:left w:w="100" w:type="dxa"/>
              <w:right w:w="100" w:type="dxa"/>
            </w:tcMar>
          </w:tcPr>
          <w:p>
            <w:pPr>
              <w:pStyle w:val="TableText"/>
            </w:pPr>
            <w:r>
              <w:rPr>
                <w:sz w:val="20"/>
              </w:rPr>
              <w:t>What HBF stores</w:t>
            </w:r>
          </w:p>
        </w:tc>
        <w:tc>
          <w:tcPr>
            <w:tcW w:type="dxa" w:w="7790"/>
            <w:vAlign w:val="top"/>
            <w:tcMar>
              <w:top w:w="73" w:type="dxa"/>
              <w:bottom w:w="73" w:type="dxa"/>
              <w:left w:w="100" w:type="dxa"/>
              <w:right w:w="100" w:type="dxa"/>
            </w:tcMar>
          </w:tcPr>
          <w:p>
            <w:pPr>
              <w:pStyle w:val="TableText"/>
            </w:pPr>
            <w:r>
              <w:rPr>
                <w:sz w:val="20"/>
              </w:rPr>
              <w:t>Full or lightly compressed candidate vectors, layout metadata, and an approved version of the serving shard.</w:t>
            </w:r>
          </w:p>
        </w:tc>
      </w:tr>
      <w:tr>
        <w:trPr>
          <w:cantSplit/>
        </w:trPr>
        <w:tc>
          <w:tcPr>
            <w:tcW w:type="dxa" w:w="2376"/>
            <w:vAlign w:val="top"/>
            <w:shd w:fill="F3F5F7"/>
            <w:tcMar>
              <w:top w:w="73" w:type="dxa"/>
              <w:bottom w:w="73" w:type="dxa"/>
              <w:left w:w="100" w:type="dxa"/>
              <w:right w:w="100" w:type="dxa"/>
            </w:tcMar>
          </w:tcPr>
          <w:p>
            <w:pPr>
              <w:pStyle w:val="TableText"/>
            </w:pPr>
            <w:r>
              <w:rPr>
                <w:sz w:val="20"/>
              </w:rPr>
              <w:t>What the NPU must do</w:t>
            </w:r>
          </w:p>
        </w:tc>
        <w:tc>
          <w:tcPr>
            <w:tcW w:type="dxa" w:w="7790"/>
            <w:vAlign w:val="top"/>
            <w:shd w:fill="F3F5F7"/>
            <w:tcMar>
              <w:top w:w="73" w:type="dxa"/>
              <w:bottom w:w="73" w:type="dxa"/>
              <w:left w:w="100" w:type="dxa"/>
              <w:right w:w="100" w:type="dxa"/>
            </w:tcMar>
          </w:tcPr>
          <w:p>
            <w:pPr>
              <w:pStyle w:val="TableText"/>
            </w:pPr>
            <w:r>
              <w:rPr>
                <w:sz w:val="20"/>
              </w:rPr>
              <w:t>Batched gather, distance or inner-product scoring, masks, reduction, and top-k. A high TOPS rating does not prove these primitives.</w:t>
            </w:r>
          </w:p>
        </w:tc>
      </w:tr>
      <w:tr>
        <w:trPr>
          <w:cantSplit/>
        </w:trPr>
        <w:tc>
          <w:tcPr>
            <w:tcW w:type="dxa" w:w="2376"/>
            <w:vAlign w:val="top"/>
            <w:tcMar>
              <w:top w:w="73" w:type="dxa"/>
              <w:bottom w:w="73" w:type="dxa"/>
              <w:left w:w="100" w:type="dxa"/>
              <w:right w:w="100" w:type="dxa"/>
            </w:tcMar>
          </w:tcPr>
          <w:p>
            <w:pPr>
              <w:pStyle w:val="TableText"/>
            </w:pPr>
            <w:r>
              <w:rPr>
                <w:sz w:val="20"/>
              </w:rPr>
              <w:t>What stays outside</w:t>
            </w:r>
          </w:p>
        </w:tc>
        <w:tc>
          <w:tcPr>
            <w:tcW w:type="dxa" w:w="7790"/>
            <w:vAlign w:val="top"/>
            <w:tcMar>
              <w:top w:w="73" w:type="dxa"/>
              <w:bottom w:w="73" w:type="dxa"/>
              <w:left w:w="100" w:type="dxa"/>
              <w:right w:w="100" w:type="dxa"/>
            </w:tcMar>
          </w:tcPr>
          <w:p>
            <w:pPr>
              <w:pStyle w:val="TableText"/>
            </w:pPr>
            <w:r>
              <w:rPr>
                <w:sz w:val="20"/>
              </w:rPr>
              <w:t>Authorization, corpus lifecycle, candidate generation, authoritative storage, global query planning, and customer-facing APIs.</w:t>
            </w:r>
          </w:p>
        </w:tc>
      </w:tr>
      <w:tr>
        <w:trPr>
          <w:cantSplit/>
        </w:trPr>
        <w:tc>
          <w:tcPr>
            <w:tcW w:type="dxa" w:w="2376"/>
            <w:vAlign w:val="top"/>
            <w:shd w:fill="F3F5F7"/>
            <w:tcMar>
              <w:top w:w="73" w:type="dxa"/>
              <w:bottom w:w="73" w:type="dxa"/>
              <w:left w:w="100" w:type="dxa"/>
              <w:right w:w="100" w:type="dxa"/>
            </w:tcMar>
          </w:tcPr>
          <w:p>
            <w:pPr>
              <w:pStyle w:val="TableText"/>
            </w:pPr>
            <w:r>
              <w:rPr>
                <w:sz w:val="20"/>
              </w:rPr>
              <w:t>What the partner supplies</w:t>
            </w:r>
          </w:p>
        </w:tc>
        <w:tc>
          <w:tcPr>
            <w:tcW w:type="dxa" w:w="7790"/>
            <w:vAlign w:val="top"/>
            <w:shd w:fill="F3F5F7"/>
            <w:tcMar>
              <w:top w:w="73" w:type="dxa"/>
              <w:bottom w:w="73" w:type="dxa"/>
              <w:left w:w="100" w:type="dxa"/>
              <w:right w:w="100" w:type="dxa"/>
            </w:tcMar>
          </w:tcPr>
          <w:p>
            <w:pPr>
              <w:pStyle w:val="TableText"/>
            </w:pPr>
            <w:r>
              <w:rPr>
                <w:sz w:val="20"/>
              </w:rPr>
              <w:t>A pinned engine, candidate traces, stored precision, filters/deletion semantics, ground truth, service targets, and an incumbent baseline.</w:t>
            </w:r>
          </w:p>
        </w:tc>
      </w:tr>
      <w:tr>
        <w:trPr>
          <w:cantSplit/>
        </w:trPr>
        <w:tc>
          <w:tcPr>
            <w:tcW w:type="dxa" w:w="2376"/>
            <w:vAlign w:val="top"/>
            <w:tcMar>
              <w:top w:w="73" w:type="dxa"/>
              <w:bottom w:w="73" w:type="dxa"/>
              <w:left w:w="100" w:type="dxa"/>
              <w:right w:w="100" w:type="dxa"/>
            </w:tcMar>
          </w:tcPr>
          <w:p>
            <w:pPr>
              <w:pStyle w:val="TableText"/>
            </w:pPr>
            <w:r>
              <w:rPr>
                <w:sz w:val="20"/>
              </w:rPr>
              <w:t>Commercial result sought</w:t>
            </w:r>
          </w:p>
        </w:tc>
        <w:tc>
          <w:tcPr>
            <w:tcW w:type="dxa" w:w="7790"/>
            <w:vAlign w:val="top"/>
            <w:tcMar>
              <w:top w:w="73" w:type="dxa"/>
              <w:bottom w:w="73" w:type="dxa"/>
              <w:left w:w="100" w:type="dxa"/>
              <w:right w:w="100" w:type="dxa"/>
            </w:tcMar>
          </w:tcPr>
          <w:p>
            <w:pPr>
              <w:pStyle w:val="TableText"/>
            </w:pPr>
            <w:r>
              <w:rPr>
                <w:sz w:val="20"/>
              </w:rPr>
              <w:t>A removable memory/compute/storage cost or increased accepted throughput within the same latency, quality, and availability constraints.</w:t>
            </w:r>
          </w:p>
        </w:tc>
      </w:tr>
    </w:tbl>
    <w:p>
      <w:pPr>
        <w:spacing w:after="20"/>
      </w:pPr>
    </w:p>
    <w:p>
      <w:pPr>
        <w:pStyle w:val="Heading2"/>
      </w:pPr>
      <w:r>
        <w:t>Two comparisons, two different claims</w:t>
      </w:r>
    </w:p>
    <w:p>
      <w:r/>
      <w:r>
        <w:rPr>
          <w:b/>
        </w:rPr>
        <w:t>Mechanism comparison:</w:t>
      </w:r>
      <w:r>
        <w:t xml:space="preserve"> identical candidates, vectors, arithmetic, and eligibility. Check score tolerance, tie handling, and result equivalence. A faster device should not receive unexplained credit for better relevance. A p99 target is the response-time limit met by 99% of requests in the defined test.</w:t>
      </w:r>
    </w:p>
    <w:p>
      <w:r/>
      <w:r>
        <w:rPr>
          <w:b/>
        </w:rPr>
        <w:t>Service comparison:</w:t>
      </w:r>
      <w:r>
        <w:t xml:space="preserve"> allow a larger candidate budget or richer representation as a separate factor. Hold the business relevance requirement and response-time target fixed. Exact rescoring cannot recover a document absent from the candidate list.</w:t>
      </w:r>
    </w:p>
    <w:p>
      <w:pPr>
        <w:pStyle w:val="Heading2"/>
      </w:pPr>
      <w:r>
        <w:t>Where it may fail</w:t>
      </w:r>
    </w:p>
    <w:p>
      <w:r>
        <w:t>It is a poor fit when compressed retrieval already meets quality without rescoring, the relevant candidates are already resident in an efficient hot tier, random-read amplification dominates, or device dispatch costs more than the work saved. Published OpenSearch results themselves show that the value of rescoring is dataset-dependent. [R1]</w:t>
      </w:r>
    </w:p>
    <w:p>
      <w:pPr>
        <w:pStyle w:val="Small"/>
      </w:pPr>
      <w:r>
        <w:t>Delivery approach: first build a candidate-ID replay path. Then prove the production engine boundary. A standalone scorer demo is not a completed managed-service integration. Proposed mapping: source [I1] POC 1.</w:t>
      </w:r>
    </w:p>
    <w:p>
      <w:pPr>
        <w:pStyle w:val="Small"/>
        <w:keepNext/>
        <w:pageBreakBefore/>
      </w:pPr>
      <w:r>
        <w:rPr>
          <w:b/>
          <w:color w:val="24586E"/>
        </w:rPr>
        <w:t>P2 • MULTI-VECTOR RETRIEVAL AND REUSABLE FEATURES</w:t>
      </w:r>
    </w:p>
    <w:p>
      <w:pPr>
        <w:pStyle w:val="Heading1"/>
      </w:pPr>
      <w:r>
        <w:t>5. Lead use case: richer document matching</w:t>
      </w:r>
    </w:p>
    <w:p>
      <w:r/>
      <w:r>
        <w:rPr>
          <w:b/>
        </w:rPr>
        <w:t>Customer job.</w:t>
      </w:r>
      <w:r>
        <w:t xml:space="preserve"> Legal, technical, product, and media searches often need distinctions that a single representation can lose. Multi-vector retrieval retains several representations per document or passage and evaluates their query-specific interactions. The proposed device would store and score selected document-side representations locally.</w:t>
      </w:r>
    </w:p>
    <w:p>
      <w:r>
        <w:t>This is distinct from running a cross-encoder over raw query/document pairs. The first P2 scope is late interaction over precomputed features—not a universal neural reranker. For example, MaxSim combines each query token’s best document-token match. Vespa supplies an important compressed late-interaction control. [R7]</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693"/>
        <w:gridCol w:w="3470"/>
        <w:gridCol w:w="4003"/>
      </w:tblGrid>
      <w:tr>
        <w:trPr>
          <w:tblHeader/>
          <w:cantSplit/>
        </w:trPr>
        <w:tc>
          <w:tcPr>
            <w:tcW w:type="dxa" w:w="2693"/>
            <w:shd w:fill="A31630"/>
            <w:tcMar>
              <w:top w:w="73" w:type="dxa"/>
              <w:bottom w:w="73" w:type="dxa"/>
              <w:left w:w="100" w:type="dxa"/>
              <w:right w:w="100" w:type="dxa"/>
            </w:tcMar>
          </w:tcPr>
          <w:p>
            <w:pPr>
              <w:pStyle w:val="TableText"/>
            </w:pPr>
            <w:r>
              <w:rPr>
                <w:b/>
                <w:color w:val="FFFFFF"/>
                <w:sz w:val="20"/>
              </w:rPr>
              <w:t>Proposed workflow</w:t>
            </w:r>
          </w:p>
        </w:tc>
        <w:tc>
          <w:tcPr>
            <w:tcW w:type="dxa" w:w="3470"/>
            <w:shd w:fill="A31630"/>
            <w:tcMar>
              <w:top w:w="73" w:type="dxa"/>
              <w:bottom w:w="73" w:type="dxa"/>
              <w:left w:w="100" w:type="dxa"/>
              <w:right w:w="100" w:type="dxa"/>
            </w:tcMar>
          </w:tcPr>
          <w:p>
            <w:pPr>
              <w:pStyle w:val="TableText"/>
            </w:pPr>
            <w:r>
              <w:rPr>
                <w:b/>
                <w:color w:val="FFFFFF"/>
                <w:sz w:val="20"/>
              </w:rPr>
              <w:t>Why reuse matters</w:t>
            </w:r>
          </w:p>
        </w:tc>
        <w:tc>
          <w:tcPr>
            <w:tcW w:type="dxa" w:w="4003"/>
            <w:shd w:fill="A31630"/>
            <w:tcMar>
              <w:top w:w="73" w:type="dxa"/>
              <w:bottom w:w="73" w:type="dxa"/>
              <w:left w:w="100" w:type="dxa"/>
              <w:right w:w="100" w:type="dxa"/>
            </w:tcMar>
          </w:tcPr>
          <w:p>
            <w:pPr>
              <w:pStyle w:val="TableText"/>
            </w:pPr>
            <w:r>
              <w:rPr>
                <w:b/>
                <w:color w:val="FFFFFF"/>
                <w:sz w:val="20"/>
              </w:rPr>
              <w:t>Acceptance evidence</w:t>
            </w:r>
          </w:p>
        </w:tc>
      </w:tr>
      <w:tr>
        <w:trPr>
          <w:cantSplit/>
        </w:trPr>
        <w:tc>
          <w:tcPr>
            <w:tcW w:type="dxa" w:w="2693"/>
            <w:vAlign w:val="top"/>
            <w:shd w:fill="F3F5F7"/>
            <w:tcMar>
              <w:top w:w="73" w:type="dxa"/>
              <w:bottom w:w="73" w:type="dxa"/>
              <w:left w:w="100" w:type="dxa"/>
              <w:right w:w="100" w:type="dxa"/>
            </w:tcMar>
          </w:tcPr>
          <w:p>
            <w:pPr>
              <w:pStyle w:val="TableText"/>
            </w:pPr>
            <w:r>
              <w:rPr>
                <w:sz w:val="20"/>
              </w:rPr>
              <w:t>Technical and legal evidence retrieval</w:t>
            </w:r>
          </w:p>
        </w:tc>
        <w:tc>
          <w:tcPr>
            <w:tcW w:type="dxa" w:w="3470"/>
            <w:vAlign w:val="top"/>
            <w:shd w:fill="F3F5F7"/>
            <w:tcMar>
              <w:top w:w="73" w:type="dxa"/>
              <w:bottom w:w="73" w:type="dxa"/>
              <w:left w:w="100" w:type="dxa"/>
              <w:right w:w="100" w:type="dxa"/>
            </w:tcMar>
          </w:tcPr>
          <w:p>
            <w:pPr>
              <w:pStyle w:val="TableText"/>
            </w:pPr>
            <w:r>
              <w:rPr>
                <w:sz w:val="20"/>
              </w:rPr>
              <w:t>The same clauses, reports, and passages are searched repeatedly.</w:t>
            </w:r>
          </w:p>
        </w:tc>
        <w:tc>
          <w:tcPr>
            <w:tcW w:type="dxa" w:w="4003"/>
            <w:vAlign w:val="top"/>
            <w:shd w:fill="F3F5F7"/>
            <w:tcMar>
              <w:top w:w="73" w:type="dxa"/>
              <w:bottom w:w="73" w:type="dxa"/>
              <w:left w:w="100" w:type="dxa"/>
              <w:right w:w="100" w:type="dxa"/>
            </w:tcMar>
          </w:tcPr>
          <w:p>
            <w:pPr>
              <w:pStyle w:val="TableText"/>
            </w:pPr>
            <w:r>
              <w:rPr>
                <w:sz w:val="20"/>
              </w:rPr>
              <w:t>Judged relevance, missed-evidence rate, source identifiers, and p99 at the agreed query mix.</w:t>
            </w:r>
          </w:p>
        </w:tc>
      </w:tr>
      <w:tr>
        <w:trPr>
          <w:cantSplit/>
        </w:trPr>
        <w:tc>
          <w:tcPr>
            <w:tcW w:type="dxa" w:w="2693"/>
            <w:vAlign w:val="top"/>
            <w:tcMar>
              <w:top w:w="73" w:type="dxa"/>
              <w:bottom w:w="73" w:type="dxa"/>
              <w:left w:w="100" w:type="dxa"/>
              <w:right w:w="100" w:type="dxa"/>
            </w:tcMar>
          </w:tcPr>
          <w:p>
            <w:pPr>
              <w:pStyle w:val="TableText"/>
            </w:pPr>
            <w:r>
              <w:rPr>
                <w:sz w:val="20"/>
              </w:rPr>
              <w:t>Reusable page / image-region features</w:t>
            </w:r>
          </w:p>
        </w:tc>
        <w:tc>
          <w:tcPr>
            <w:tcW w:type="dxa" w:w="3470"/>
            <w:vAlign w:val="top"/>
            <w:tcMar>
              <w:top w:w="73" w:type="dxa"/>
              <w:bottom w:w="73" w:type="dxa"/>
              <w:left w:w="100" w:type="dxa"/>
              <w:right w:w="100" w:type="dxa"/>
            </w:tcMar>
          </w:tcPr>
          <w:p>
            <w:pPr>
              <w:pStyle w:val="TableText"/>
            </w:pPr>
            <w:r>
              <w:rPr>
                <w:sz w:val="20"/>
              </w:rPr>
              <w:t>Offline preprocessing creates representations reused across many investigations.</w:t>
            </w:r>
          </w:p>
        </w:tc>
        <w:tc>
          <w:tcPr>
            <w:tcW w:type="dxa" w:w="4003"/>
            <w:vAlign w:val="top"/>
            <w:tcMar>
              <w:top w:w="73" w:type="dxa"/>
              <w:bottom w:w="73" w:type="dxa"/>
              <w:left w:w="100" w:type="dxa"/>
              <w:right w:w="100" w:type="dxa"/>
            </w:tcMar>
          </w:tcPr>
          <w:p>
            <w:pPr>
              <w:pStyle w:val="TableText"/>
            </w:pPr>
            <w:r>
              <w:rPr>
                <w:sz w:val="20"/>
              </w:rPr>
              <w:t>Identical feature generation; top-k correctness; measured online improvement after ingestion and refresh costs.</w:t>
            </w:r>
          </w:p>
        </w:tc>
      </w:tr>
      <w:tr>
        <w:trPr>
          <w:cantSplit/>
        </w:trPr>
        <w:tc>
          <w:tcPr>
            <w:tcW w:type="dxa" w:w="2693"/>
            <w:vAlign w:val="top"/>
            <w:shd w:fill="F3F5F7"/>
            <w:tcMar>
              <w:top w:w="73" w:type="dxa"/>
              <w:bottom w:w="73" w:type="dxa"/>
              <w:left w:w="100" w:type="dxa"/>
              <w:right w:w="100" w:type="dxa"/>
            </w:tcMar>
          </w:tcPr>
          <w:p>
            <w:pPr>
              <w:pStyle w:val="TableText"/>
            </w:pPr>
            <w:r>
              <w:rPr>
                <w:sz w:val="20"/>
              </w:rPr>
              <w:t>Commerce and catalog matching</w:t>
            </w:r>
          </w:p>
        </w:tc>
        <w:tc>
          <w:tcPr>
            <w:tcW w:type="dxa" w:w="3470"/>
            <w:vAlign w:val="top"/>
            <w:shd w:fill="F3F5F7"/>
            <w:tcMar>
              <w:top w:w="73" w:type="dxa"/>
              <w:bottom w:w="73" w:type="dxa"/>
              <w:left w:w="100" w:type="dxa"/>
              <w:right w:w="100" w:type="dxa"/>
            </w:tcMar>
          </w:tcPr>
          <w:p>
            <w:pPr>
              <w:pStyle w:val="TableText"/>
            </w:pPr>
            <w:r>
              <w:rPr>
                <w:sz w:val="20"/>
              </w:rPr>
              <w:t>Images, attributes, and descriptions support repeated comparisons.</w:t>
            </w:r>
          </w:p>
        </w:tc>
        <w:tc>
          <w:tcPr>
            <w:tcW w:type="dxa" w:w="4003"/>
            <w:vAlign w:val="top"/>
            <w:shd w:fill="F3F5F7"/>
            <w:tcMar>
              <w:top w:w="73" w:type="dxa"/>
              <w:bottom w:w="73" w:type="dxa"/>
              <w:left w:w="100" w:type="dxa"/>
              <w:right w:w="100" w:type="dxa"/>
            </w:tcMar>
          </w:tcPr>
          <w:p>
            <w:pPr>
              <w:pStyle w:val="TableText"/>
            </w:pPr>
            <w:r>
              <w:rPr>
                <w:sz w:val="20"/>
              </w:rPr>
              <w:t>Attribute/filter correctness, relevance, update latency, and cost per accepted query.</w:t>
            </w:r>
          </w:p>
        </w:tc>
      </w:tr>
      <w:tr>
        <w:trPr>
          <w:cantSplit/>
        </w:trPr>
        <w:tc>
          <w:tcPr>
            <w:tcW w:type="dxa" w:w="2693"/>
            <w:vAlign w:val="top"/>
            <w:tcMar>
              <w:top w:w="73" w:type="dxa"/>
              <w:bottom w:w="73" w:type="dxa"/>
              <w:left w:w="100" w:type="dxa"/>
              <w:right w:w="100" w:type="dxa"/>
            </w:tcMar>
          </w:tcPr>
          <w:p>
            <w:pPr>
              <w:pStyle w:val="TableText"/>
            </w:pPr>
            <w:r>
              <w:rPr>
                <w:sz w:val="20"/>
              </w:rPr>
              <w:t>Media-library search</w:t>
            </w:r>
          </w:p>
        </w:tc>
        <w:tc>
          <w:tcPr>
            <w:tcW w:type="dxa" w:w="3470"/>
            <w:vAlign w:val="top"/>
            <w:tcMar>
              <w:top w:w="73" w:type="dxa"/>
              <w:bottom w:w="73" w:type="dxa"/>
              <w:left w:w="100" w:type="dxa"/>
              <w:right w:w="100" w:type="dxa"/>
            </w:tcMar>
          </w:tcPr>
          <w:p>
            <w:pPr>
              <w:pStyle w:val="TableText"/>
            </w:pPr>
            <w:r>
              <w:rPr>
                <w:sz w:val="20"/>
              </w:rPr>
              <w:t>Frame/scene features can be much larger than one vector per asset.</w:t>
            </w:r>
          </w:p>
        </w:tc>
        <w:tc>
          <w:tcPr>
            <w:tcW w:type="dxa" w:w="4003"/>
            <w:vAlign w:val="top"/>
            <w:tcMar>
              <w:top w:w="73" w:type="dxa"/>
              <w:bottom w:w="73" w:type="dxa"/>
              <w:left w:w="100" w:type="dxa"/>
              <w:right w:w="100" w:type="dxa"/>
            </w:tcMar>
          </w:tcPr>
          <w:p>
            <w:pPr>
              <w:pStyle w:val="TableText"/>
            </w:pPr>
            <w:r>
              <w:rPr>
                <w:sz w:val="20"/>
              </w:rPr>
              <w:t>Authorized asset access, timestamp/scene accuracy, recall, freshness, and high-load latency.</w:t>
            </w:r>
          </w:p>
        </w:tc>
      </w:tr>
    </w:tbl>
    <w:p>
      <w:pPr>
        <w:spacing w:after="20"/>
      </w:pPr>
    </w:p>
    <w:p>
      <w:pPr>
        <w:pStyle w:val="Heading2"/>
      </w:pPr>
      <w:r>
        <w:t>Sizing intuition—not a performance forecast</w:t>
      </w:r>
    </w:p>
    <w:p>
      <w:r>
        <w:t>Three million chunks with one 1,024-dimensional FP16 vector each require 6.144 GB of representation bytes. The same chunk count with 128 token vectors of 128 FP16 dimensions requires 98.304 GB. Indexes, metadata, replicas, and temporary update space are additional. Compression can materially change both figures; evaluate it before assigning a hardware benefit. [A1]</w:t>
      </w:r>
    </w:p>
    <w:p>
      <w:pPr>
        <w:pStyle w:val="Heading2"/>
      </w:pPr>
      <w:r>
        <w:t>How we constrain the first study</w:t>
      </w:r>
    </w:p>
    <w:p>
      <w:r>
        <w:t>Freeze one representation model and one matching operator. Keep preprocessing, the final ranker, and any LLM constant. Compare the selected full/lightly compressed representation with the strongest quality-acceptable compressed control. Record CPU fallbacks and all intermediate transfers.</w:t>
      </w:r>
    </w:p>
    <w:tbl>
      <w:tblPr>
        <w:tblW w:type="auto" w:w="0"/>
        <w:jc w:val="center"/>
        <w:tblLayout w:type="fixed"/>
        <w:tblLook w:firstColumn="1" w:firstRow="1" w:lastColumn="0" w:lastRow="0" w:noHBand="0" w:noVBand="1" w:val="04A0"/>
      </w:tblPr>
      <w:tblGrid>
        <w:gridCol w:w="10166"/>
      </w:tblGrid>
      <w:tr>
        <w:trPr>
          <w:cantSplit/>
        </w:trPr>
        <w:tc>
          <w:tcPr>
            <w:tcW w:type="dxa" w:w="10166"/>
            <w:shd w:fill="FBEEF0"/>
            <w:tcMar>
              <w:top w:w="115" w:type="dxa"/>
              <w:bottom w:w="50" w:type="dxa"/>
              <w:left w:w="155" w:type="dxa"/>
              <w:right w:w="155" w:type="dxa"/>
            </w:tcMar>
          </w:tcPr>
          <w:p>
            <w:pPr>
              <w:spacing w:after="100"/>
            </w:pPr>
            <w:r>
              <w:rPr>
                <w:b/>
                <w:color w:val="A31630"/>
                <w:sz w:val="23"/>
              </w:rPr>
              <w:t>Why this may justify an NPU</w:t>
            </w:r>
          </w:p>
          <w:p>
            <w:pPr>
              <w:spacing w:after="140" w:line="252" w:lineRule="auto"/>
            </w:pPr>
            <w:r>
              <w:t>The value is not the number of stored vectors. It is the ability to perform useful interactions and reductions close to them, within a power and latency budget. Whether the selected NPU offers that advantage is a feasibility result, not a premise.</w:t>
            </w:r>
          </w:p>
        </w:tc>
      </w:tr>
    </w:tbl>
    <w:p>
      <w:pPr>
        <w:spacing w:after="20"/>
      </w:pPr>
    </w:p>
    <w:p>
      <w:pPr>
        <w:pStyle w:val="Small"/>
      </w:pPr>
      <w:r>
        <w:t>Proposed mapping: [I1] POC 2; document/VLM feature work from POC 3 follows after this primitive is qualified.</w:t>
      </w:r>
    </w:p>
    <w:p>
      <w:pPr>
        <w:pStyle w:val="Small"/>
        <w:keepNext/>
        <w:pageBreakBefore/>
      </w:pPr>
      <w:r>
        <w:rPr>
          <w:b/>
          <w:color w:val="24586E"/>
        </w:rPr>
        <w:t>ONE DISCOVERY TRACK; OTHER OPTIONS REMAIN GATED</w:t>
      </w:r>
    </w:p>
    <w:p>
      <w:pPr>
        <w:pStyle w:val="Heading1"/>
      </w:pPr>
      <w:r>
        <w:t>6. Additional applications without losing focus</w:t>
      </w:r>
    </w:p>
    <w:p>
      <w:r/>
      <w:r>
        <w:rPr>
          <w:b/>
        </w:rPr>
        <w:t>Recommendation feature processing</w:t>
      </w:r>
      <w:r>
        <w:t xml:space="preserve"> is the next candidate, not a third full implementation in the initial quarter. A promising pattern is a read-mostly item/advertisement table with batched gathers and local pooling or scoring. Hot mutable user state may remain in the existing DRAM service.</w:t>
      </w:r>
    </w:p>
    <w:p>
      <w:r>
        <w:t>LinkedIn’s published JUDE architecture demonstrates stored embeddings being consumed by downstream ranking, separately from their generation. That motivates the boundary; it does not show that HBF would improve it. [R5]</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664"/>
        <w:gridCol w:w="3643"/>
        <w:gridCol w:w="3859"/>
      </w:tblGrid>
      <w:tr>
        <w:trPr>
          <w:tblHeader/>
          <w:cantSplit/>
        </w:trPr>
        <w:tc>
          <w:tcPr>
            <w:tcW w:type="dxa" w:w="2664"/>
            <w:shd w:fill="A31630"/>
            <w:tcMar>
              <w:top w:w="73" w:type="dxa"/>
              <w:bottom w:w="73" w:type="dxa"/>
              <w:left w:w="100" w:type="dxa"/>
              <w:right w:w="100" w:type="dxa"/>
            </w:tcMar>
          </w:tcPr>
          <w:p>
            <w:pPr>
              <w:pStyle w:val="TableText"/>
            </w:pPr>
            <w:r>
              <w:rPr>
                <w:b/>
                <w:color w:val="FFFFFF"/>
                <w:sz w:val="20"/>
              </w:rPr>
              <w:t>Application</w:t>
            </w:r>
          </w:p>
        </w:tc>
        <w:tc>
          <w:tcPr>
            <w:tcW w:type="dxa" w:w="3643"/>
            <w:shd w:fill="A31630"/>
            <w:tcMar>
              <w:top w:w="73" w:type="dxa"/>
              <w:bottom w:w="73" w:type="dxa"/>
              <w:left w:w="100" w:type="dxa"/>
              <w:right w:w="100" w:type="dxa"/>
            </w:tcMar>
          </w:tcPr>
          <w:p>
            <w:pPr>
              <w:pStyle w:val="TableText"/>
            </w:pPr>
            <w:r>
              <w:rPr>
                <w:b/>
                <w:color w:val="FFFFFF"/>
                <w:sz w:val="20"/>
              </w:rPr>
              <w:t>Potential HBF contribution</w:t>
            </w:r>
          </w:p>
        </w:tc>
        <w:tc>
          <w:tcPr>
            <w:tcW w:type="dxa" w:w="3859"/>
            <w:shd w:fill="A31630"/>
            <w:tcMar>
              <w:top w:w="73" w:type="dxa"/>
              <w:bottom w:w="73" w:type="dxa"/>
              <w:left w:w="100" w:type="dxa"/>
              <w:right w:w="100" w:type="dxa"/>
            </w:tcMar>
          </w:tcPr>
          <w:p>
            <w:pPr>
              <w:pStyle w:val="TableText"/>
            </w:pPr>
            <w:r>
              <w:rPr>
                <w:b/>
                <w:color w:val="FFFFFF"/>
                <w:sz w:val="20"/>
              </w:rPr>
              <w:t>NPU justification / disposition</w:t>
            </w:r>
          </w:p>
        </w:tc>
      </w:tr>
      <w:tr>
        <w:trPr>
          <w:cantSplit/>
        </w:trPr>
        <w:tc>
          <w:tcPr>
            <w:tcW w:type="dxa" w:w="2664"/>
            <w:vAlign w:val="top"/>
            <w:shd w:fill="F3F5F7"/>
            <w:tcMar>
              <w:top w:w="73" w:type="dxa"/>
              <w:bottom w:w="73" w:type="dxa"/>
              <w:left w:w="100" w:type="dxa"/>
              <w:right w:w="100" w:type="dxa"/>
            </w:tcMar>
          </w:tcPr>
          <w:p>
            <w:pPr>
              <w:pStyle w:val="TableText"/>
            </w:pPr>
            <w:r>
              <w:rPr>
                <w:sz w:val="19"/>
              </w:rPr>
              <w:t>Batched recommendation embeddings</w:t>
            </w:r>
          </w:p>
        </w:tc>
        <w:tc>
          <w:tcPr>
            <w:tcW w:type="dxa" w:w="3643"/>
            <w:vAlign w:val="top"/>
            <w:shd w:fill="F3F5F7"/>
            <w:tcMar>
              <w:top w:w="73" w:type="dxa"/>
              <w:bottom w:w="73" w:type="dxa"/>
              <w:left w:w="100" w:type="dxa"/>
              <w:right w:w="100" w:type="dxa"/>
            </w:tcMar>
          </w:tcPr>
          <w:p>
            <w:pPr>
              <w:pStyle w:val="TableText"/>
            </w:pPr>
            <w:r>
              <w:rPr>
                <w:sz w:val="19"/>
              </w:rPr>
              <w:t>Repeated access to large feature tables outside the hot cache.</w:t>
            </w:r>
          </w:p>
        </w:tc>
        <w:tc>
          <w:tcPr>
            <w:tcW w:type="dxa" w:w="3859"/>
            <w:vAlign w:val="top"/>
            <w:shd w:fill="F3F5F7"/>
            <w:tcMar>
              <w:top w:w="73" w:type="dxa"/>
              <w:bottom w:w="73" w:type="dxa"/>
              <w:left w:w="100" w:type="dxa"/>
              <w:right w:w="100" w:type="dxa"/>
            </w:tcMar>
          </w:tcPr>
          <w:p>
            <w:pPr>
              <w:pStyle w:val="TableText"/>
            </w:pPr>
            <w:r>
              <w:rPr>
                <w:sz w:val="19"/>
              </w:rPr>
              <w:t>Gather + pooling/reduction; qualify freshness, skew, and update load first. D1 discovery.</w:t>
            </w:r>
          </w:p>
        </w:tc>
      </w:tr>
      <w:tr>
        <w:trPr>
          <w:cantSplit/>
        </w:trPr>
        <w:tc>
          <w:tcPr>
            <w:tcW w:type="dxa" w:w="2664"/>
            <w:vAlign w:val="top"/>
            <w:tcMar>
              <w:top w:w="73" w:type="dxa"/>
              <w:bottom w:w="73" w:type="dxa"/>
              <w:left w:w="100" w:type="dxa"/>
              <w:right w:w="100" w:type="dxa"/>
            </w:tcMar>
          </w:tcPr>
          <w:p>
            <w:pPr>
              <w:pStyle w:val="TableText"/>
            </w:pPr>
            <w:r>
              <w:rPr>
                <w:sz w:val="19"/>
              </w:rPr>
              <w:t>Document/image feature retrieval</w:t>
            </w:r>
          </w:p>
        </w:tc>
        <w:tc>
          <w:tcPr>
            <w:tcW w:type="dxa" w:w="3643"/>
            <w:vAlign w:val="top"/>
            <w:tcMar>
              <w:top w:w="73" w:type="dxa"/>
              <w:bottom w:w="73" w:type="dxa"/>
              <w:left w:w="100" w:type="dxa"/>
              <w:right w:w="100" w:type="dxa"/>
            </w:tcMar>
          </w:tcPr>
          <w:p>
            <w:pPr>
              <w:pStyle w:val="TableText"/>
            </w:pPr>
            <w:r>
              <w:rPr>
                <w:sz w:val="19"/>
              </w:rPr>
              <w:t>Large read-mostly representations reused across searches.</w:t>
            </w:r>
          </w:p>
        </w:tc>
        <w:tc>
          <w:tcPr>
            <w:tcW w:type="dxa" w:w="3859"/>
            <w:vAlign w:val="top"/>
            <w:tcMar>
              <w:top w:w="73" w:type="dxa"/>
              <w:bottom w:w="73" w:type="dxa"/>
              <w:left w:w="100" w:type="dxa"/>
              <w:right w:w="100" w:type="dxa"/>
            </w:tcMar>
          </w:tcPr>
          <w:p>
            <w:pPr>
              <w:pStyle w:val="TableText"/>
            </w:pPr>
            <w:r>
              <w:rPr>
                <w:sz w:val="19"/>
              </w:rPr>
              <w:t>Local similarity or late interaction; extend P2 only after its core operator passes.</w:t>
            </w:r>
          </w:p>
        </w:tc>
      </w:tr>
      <w:tr>
        <w:trPr>
          <w:cantSplit/>
        </w:trPr>
        <w:tc>
          <w:tcPr>
            <w:tcW w:type="dxa" w:w="2664"/>
            <w:vAlign w:val="top"/>
            <w:shd w:fill="F3F5F7"/>
            <w:tcMar>
              <w:top w:w="73" w:type="dxa"/>
              <w:bottom w:w="73" w:type="dxa"/>
              <w:left w:w="100" w:type="dxa"/>
              <w:right w:w="100" w:type="dxa"/>
            </w:tcMar>
          </w:tcPr>
          <w:p>
            <w:pPr>
              <w:pStyle w:val="TableText"/>
            </w:pPr>
            <w:r>
              <w:rPr>
                <w:sz w:val="19"/>
              </w:rPr>
              <w:t>Graph batch analytics</w:t>
            </w:r>
          </w:p>
        </w:tc>
        <w:tc>
          <w:tcPr>
            <w:tcW w:type="dxa" w:w="3643"/>
            <w:vAlign w:val="top"/>
            <w:shd w:fill="F3F5F7"/>
            <w:tcMar>
              <w:top w:w="73" w:type="dxa"/>
              <w:bottom w:w="73" w:type="dxa"/>
              <w:left w:w="100" w:type="dxa"/>
              <w:right w:w="100" w:type="dxa"/>
            </w:tcMar>
          </w:tcPr>
          <w:p>
            <w:pPr>
              <w:pStyle w:val="TableText"/>
            </w:pPr>
            <w:r>
              <w:rPr>
                <w:sz w:val="19"/>
              </w:rPr>
              <w:t>Read-heavy adjacency/features with enough independent work.</w:t>
            </w:r>
          </w:p>
        </w:tc>
        <w:tc>
          <w:tcPr>
            <w:tcW w:type="dxa" w:w="3859"/>
            <w:vAlign w:val="top"/>
            <w:shd w:fill="F3F5F7"/>
            <w:tcMar>
              <w:top w:w="73" w:type="dxa"/>
              <w:bottom w:w="73" w:type="dxa"/>
              <w:left w:w="100" w:type="dxa"/>
              <w:right w:w="100" w:type="dxa"/>
            </w:tcMar>
          </w:tcPr>
          <w:p>
            <w:pPr>
              <w:pStyle w:val="TableText"/>
            </w:pPr>
            <w:r>
              <w:rPr>
                <w:sz w:val="19"/>
              </w:rPr>
              <w:t>Requires a supported aggregation/kernel path. [I4] separates batch analytics from online traversal.</w:t>
            </w:r>
          </w:p>
        </w:tc>
      </w:tr>
      <w:tr>
        <w:trPr>
          <w:cantSplit/>
        </w:trPr>
        <w:tc>
          <w:tcPr>
            <w:tcW w:type="dxa" w:w="2664"/>
            <w:vAlign w:val="top"/>
            <w:tcMar>
              <w:top w:w="73" w:type="dxa"/>
              <w:bottom w:w="73" w:type="dxa"/>
              <w:left w:w="100" w:type="dxa"/>
              <w:right w:w="100" w:type="dxa"/>
            </w:tcMar>
          </w:tcPr>
          <w:p>
            <w:pPr>
              <w:pStyle w:val="TableText"/>
            </w:pPr>
            <w:r>
              <w:rPr>
                <w:sz w:val="19"/>
              </w:rPr>
              <w:t>Database secondary cache</w:t>
            </w:r>
          </w:p>
        </w:tc>
        <w:tc>
          <w:tcPr>
            <w:tcW w:type="dxa" w:w="3643"/>
            <w:vAlign w:val="top"/>
            <w:tcMar>
              <w:top w:w="73" w:type="dxa"/>
              <w:bottom w:w="73" w:type="dxa"/>
              <w:left w:w="100" w:type="dxa"/>
              <w:right w:w="100" w:type="dxa"/>
            </w:tcMar>
          </w:tcPr>
          <w:p>
            <w:pPr>
              <w:pStyle w:val="TableText"/>
            </w:pPr>
            <w:r>
              <w:rPr>
                <w:sz w:val="19"/>
              </w:rPr>
              <w:t>Fewer costly reads or less volatile cache memory.</w:t>
            </w:r>
          </w:p>
        </w:tc>
        <w:tc>
          <w:tcPr>
            <w:tcW w:type="dxa" w:w="3859"/>
            <w:vAlign w:val="top"/>
            <w:tcMar>
              <w:top w:w="73" w:type="dxa"/>
              <w:bottom w:w="73" w:type="dxa"/>
              <w:left w:w="100" w:type="dxa"/>
              <w:right w:w="100" w:type="dxa"/>
            </w:tcMar>
          </w:tcPr>
          <w:p>
            <w:pPr>
              <w:pStyle w:val="TableText"/>
            </w:pPr>
            <w:r>
              <w:rPr>
                <w:sz w:val="19"/>
              </w:rPr>
              <w:t>HBF-tier study, not inherently an NPU product. Keep source [I3] separate.</w:t>
            </w:r>
          </w:p>
        </w:tc>
      </w:tr>
      <w:tr>
        <w:trPr>
          <w:cantSplit/>
        </w:trPr>
        <w:tc>
          <w:tcPr>
            <w:tcW w:type="dxa" w:w="2664"/>
            <w:vAlign w:val="top"/>
            <w:shd w:fill="F3F5F7"/>
            <w:tcMar>
              <w:top w:w="73" w:type="dxa"/>
              <w:bottom w:w="73" w:type="dxa"/>
              <w:left w:w="100" w:type="dxa"/>
              <w:right w:w="100" w:type="dxa"/>
            </w:tcMar>
          </w:tcPr>
          <w:p>
            <w:pPr>
              <w:pStyle w:val="TableText"/>
            </w:pPr>
            <w:r>
              <w:rPr>
                <w:sz w:val="19"/>
              </w:rPr>
              <w:t>Compressed OLAP read cache</w:t>
            </w:r>
          </w:p>
        </w:tc>
        <w:tc>
          <w:tcPr>
            <w:tcW w:type="dxa" w:w="3643"/>
            <w:vAlign w:val="top"/>
            <w:shd w:fill="F3F5F7"/>
            <w:tcMar>
              <w:top w:w="73" w:type="dxa"/>
              <w:bottom w:w="73" w:type="dxa"/>
              <w:left w:w="100" w:type="dxa"/>
              <w:right w:w="100" w:type="dxa"/>
            </w:tcMar>
          </w:tcPr>
          <w:p>
            <w:pPr>
              <w:pStyle w:val="TableText"/>
            </w:pPr>
            <w:r>
              <w:rPr>
                <w:sz w:val="19"/>
              </w:rPr>
              <w:t>Repeated selected column reads.</w:t>
            </w:r>
          </w:p>
        </w:tc>
        <w:tc>
          <w:tcPr>
            <w:tcW w:type="dxa" w:w="3859"/>
            <w:vAlign w:val="top"/>
            <w:shd w:fill="F3F5F7"/>
            <w:tcMar>
              <w:top w:w="73" w:type="dxa"/>
              <w:bottom w:w="73" w:type="dxa"/>
              <w:left w:w="100" w:type="dxa"/>
              <w:right w:w="100" w:type="dxa"/>
            </w:tcMar>
          </w:tcPr>
          <w:p>
            <w:pPr>
              <w:pStyle w:val="TableText"/>
            </w:pPr>
            <w:r>
              <w:rPr>
                <w:sz w:val="19"/>
              </w:rPr>
              <w:t>No automatic decompression or SQL-offload benefit. Preserve compressed controls from [I5].</w:t>
            </w:r>
          </w:p>
        </w:tc>
      </w:tr>
      <w:tr>
        <w:trPr>
          <w:cantSplit/>
        </w:trPr>
        <w:tc>
          <w:tcPr>
            <w:tcW w:type="dxa" w:w="2664"/>
            <w:vAlign w:val="top"/>
            <w:tcMar>
              <w:top w:w="73" w:type="dxa"/>
              <w:bottom w:w="73" w:type="dxa"/>
              <w:left w:w="100" w:type="dxa"/>
              <w:right w:w="100" w:type="dxa"/>
            </w:tcMar>
          </w:tcPr>
          <w:p>
            <w:pPr>
              <w:pStyle w:val="TableText"/>
            </w:pPr>
            <w:r>
              <w:rPr>
                <w:sz w:val="19"/>
              </w:rPr>
              <w:t>Dense/LLM weight streaming</w:t>
            </w:r>
          </w:p>
        </w:tc>
        <w:tc>
          <w:tcPr>
            <w:tcW w:type="dxa" w:w="3643"/>
            <w:vAlign w:val="top"/>
            <w:tcMar>
              <w:top w:w="73" w:type="dxa"/>
              <w:bottom w:w="73" w:type="dxa"/>
              <w:left w:w="100" w:type="dxa"/>
              <w:right w:w="100" w:type="dxa"/>
            </w:tcMar>
          </w:tcPr>
          <w:p>
            <w:pPr>
              <w:pStyle w:val="TableText"/>
            </w:pPr>
            <w:r>
              <w:rPr>
                <w:sz w:val="19"/>
              </w:rPr>
              <w:t>Possible capacity value beyond local working memory.</w:t>
            </w:r>
          </w:p>
        </w:tc>
        <w:tc>
          <w:tcPr>
            <w:tcW w:type="dxa" w:w="3859"/>
            <w:vAlign w:val="top"/>
            <w:tcMar>
              <w:top w:w="73" w:type="dxa"/>
              <w:bottom w:w="73" w:type="dxa"/>
              <w:left w:w="100" w:type="dxa"/>
              <w:right w:w="100" w:type="dxa"/>
            </w:tcMar>
          </w:tcPr>
          <w:p>
            <w:pPr>
              <w:pStyle w:val="TableText"/>
            </w:pPr>
            <w:r>
              <w:rPr>
                <w:sz w:val="19"/>
              </w:rPr>
              <w:t>Secondary independent program; not the lead search-device proposition.</w:t>
            </w:r>
          </w:p>
        </w:tc>
      </w:tr>
      <w:tr>
        <w:trPr>
          <w:cantSplit/>
        </w:trPr>
        <w:tc>
          <w:tcPr>
            <w:tcW w:type="dxa" w:w="2664"/>
            <w:vAlign w:val="top"/>
            <w:shd w:fill="F3F5F7"/>
            <w:tcMar>
              <w:top w:w="73" w:type="dxa"/>
              <w:bottom w:w="73" w:type="dxa"/>
              <w:left w:w="100" w:type="dxa"/>
              <w:right w:w="100" w:type="dxa"/>
            </w:tcMar>
          </w:tcPr>
          <w:p>
            <w:pPr>
              <w:pStyle w:val="TableText"/>
            </w:pPr>
            <w:r>
              <w:rPr>
                <w:sz w:val="19"/>
              </w:rPr>
              <w:t>Tiny feature KV / serialized traversal</w:t>
            </w:r>
          </w:p>
        </w:tc>
        <w:tc>
          <w:tcPr>
            <w:tcW w:type="dxa" w:w="3643"/>
            <w:vAlign w:val="top"/>
            <w:shd w:fill="F3F5F7"/>
            <w:tcMar>
              <w:top w:w="73" w:type="dxa"/>
              <w:bottom w:w="73" w:type="dxa"/>
              <w:left w:w="100" w:type="dxa"/>
              <w:right w:w="100" w:type="dxa"/>
            </w:tcMar>
          </w:tcPr>
          <w:p>
            <w:pPr>
              <w:pStyle w:val="TableText"/>
            </w:pPr>
            <w:r>
              <w:rPr>
                <w:sz w:val="19"/>
              </w:rPr>
              <w:t>Potential capacity, but small dependent accesses and writes can dominate.</w:t>
            </w:r>
          </w:p>
        </w:tc>
        <w:tc>
          <w:tcPr>
            <w:tcW w:type="dxa" w:w="3859"/>
            <w:vAlign w:val="top"/>
            <w:shd w:fill="F3F5F7"/>
            <w:tcMar>
              <w:top w:w="73" w:type="dxa"/>
              <w:bottom w:w="73" w:type="dxa"/>
              <w:left w:w="100" w:type="dxa"/>
              <w:right w:w="100" w:type="dxa"/>
            </w:tcMar>
          </w:tcPr>
          <w:p>
            <w:pPr>
              <w:pStyle w:val="TableText"/>
            </w:pPr>
            <w:r>
              <w:rPr>
                <w:sz w:val="19"/>
              </w:rPr>
              <w:t>No implementation commitment without a trace and a favorable service/endurance envelope. [I4, I6]</w:t>
            </w:r>
          </w:p>
        </w:tc>
      </w:tr>
    </w:tbl>
    <w:p>
      <w:pPr>
        <w:spacing w:after="20"/>
      </w:pPr>
    </w:p>
    <w:p>
      <w:pPr>
        <w:pStyle w:val="Heading2"/>
      </w:pPr>
      <w:r>
        <w:t>Industry does not determine the hardware fit</w:t>
      </w:r>
    </w:p>
    <w:p>
      <w:r>
        <w:t>Finance, healthcare, and telecom remain relevant through service providers and selected self-managed systems. For example, the proposed outcomes may be better policy-evidence retrieval, reviewed record matching, or incident/runbook search. They are not claims of improved lending decisions, diagnosis, or autonomous network control.</w:t>
      </w:r>
    </w:p>
    <w:p>
      <w:pPr>
        <w:pStyle w:val="Small"/>
      </w:pPr>
      <w:r>
        <w:t>Use authorized or synthetic data first. Embeddings and query traces can still contain sensitive information; the partner’s data-governance process applies. Reuse rate, service pressure, and removable cost—not the sector label—determine promotion.</w:t>
      </w:r>
    </w:p>
    <w:p>
      <w:pPr>
        <w:pStyle w:val="Small"/>
        <w:keepNext/>
        <w:pageBreakBefore/>
      </w:pPr>
      <w:r>
        <w:rPr>
          <w:b/>
          <w:color w:val="24586E"/>
        </w:rPr>
        <w:t>WHAT SANDISK PROVIDES; WHAT PARTNERS RETAIN</w:t>
      </w:r>
    </w:p>
    <w:p>
      <w:pPr>
        <w:pStyle w:val="Heading1"/>
      </w:pPr>
      <w:r>
        <w:t>7. Product boundary and operating contract</w:t>
      </w:r>
    </w:p>
    <w:p>
      <w:r>
        <w:t>The first product should expose a small, versioned device capability—not require Sandisk to build a new search platform. A proposed operation is: score an authorized candidate set against a named representation snapshot and return IDs and scores. The API name and binary interface remain to be designed. OEM means the server’s original equipment manufacturer.</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1872"/>
        <w:gridCol w:w="4190"/>
        <w:gridCol w:w="4104"/>
      </w:tblGrid>
      <w:tr>
        <w:trPr>
          <w:tblHeader/>
          <w:cantSplit/>
        </w:trPr>
        <w:tc>
          <w:tcPr>
            <w:tcW w:type="dxa" w:w="1872"/>
            <w:shd w:fill="A31630"/>
            <w:tcMar>
              <w:top w:w="73" w:type="dxa"/>
              <w:bottom w:w="73" w:type="dxa"/>
              <w:left w:w="100" w:type="dxa"/>
              <w:right w:w="100" w:type="dxa"/>
            </w:tcMar>
          </w:tcPr>
          <w:p>
            <w:pPr>
              <w:pStyle w:val="TableText"/>
            </w:pPr>
            <w:r>
              <w:rPr>
                <w:b/>
                <w:color w:val="FFFFFF"/>
                <w:sz w:val="20"/>
              </w:rPr>
              <w:t>Stage</w:t>
            </w:r>
          </w:p>
        </w:tc>
        <w:tc>
          <w:tcPr>
            <w:tcW w:type="dxa" w:w="4190"/>
            <w:shd w:fill="A31630"/>
            <w:tcMar>
              <w:top w:w="73" w:type="dxa"/>
              <w:bottom w:w="73" w:type="dxa"/>
              <w:left w:w="100" w:type="dxa"/>
              <w:right w:w="100" w:type="dxa"/>
            </w:tcMar>
          </w:tcPr>
          <w:p>
            <w:pPr>
              <w:pStyle w:val="TableText"/>
            </w:pPr>
            <w:r>
              <w:rPr>
                <w:b/>
                <w:color w:val="FFFFFF"/>
                <w:sz w:val="20"/>
              </w:rPr>
              <w:t>Partner responsibility</w:t>
            </w:r>
          </w:p>
        </w:tc>
        <w:tc>
          <w:tcPr>
            <w:tcW w:type="dxa" w:w="4104"/>
            <w:shd w:fill="A31630"/>
            <w:tcMar>
              <w:top w:w="73" w:type="dxa"/>
              <w:bottom w:w="73" w:type="dxa"/>
              <w:left w:w="100" w:type="dxa"/>
              <w:right w:w="100" w:type="dxa"/>
            </w:tcMar>
          </w:tcPr>
          <w:p>
            <w:pPr>
              <w:pStyle w:val="TableText"/>
            </w:pPr>
            <w:r>
              <w:rPr>
                <w:b/>
                <w:color w:val="FFFFFF"/>
                <w:sz w:val="20"/>
              </w:rPr>
              <w:t>ATMOS responsibility to prove</w:t>
            </w:r>
          </w:p>
        </w:tc>
      </w:tr>
      <w:tr>
        <w:trPr>
          <w:cantSplit/>
        </w:trPr>
        <w:tc>
          <w:tcPr>
            <w:tcW w:type="dxa" w:w="1872"/>
            <w:vAlign w:val="top"/>
            <w:shd w:fill="F3F5F7"/>
            <w:tcMar>
              <w:top w:w="73" w:type="dxa"/>
              <w:bottom w:w="73" w:type="dxa"/>
              <w:left w:w="100" w:type="dxa"/>
              <w:right w:w="100" w:type="dxa"/>
            </w:tcMar>
          </w:tcPr>
          <w:p>
            <w:pPr>
              <w:pStyle w:val="TableText"/>
            </w:pPr>
            <w:r>
              <w:rPr>
                <w:sz w:val="20"/>
              </w:rPr>
              <w:t>Prepare and register</w:t>
            </w:r>
          </w:p>
        </w:tc>
        <w:tc>
          <w:tcPr>
            <w:tcW w:type="dxa" w:w="4190"/>
            <w:vAlign w:val="top"/>
            <w:shd w:fill="F3F5F7"/>
            <w:tcMar>
              <w:top w:w="73" w:type="dxa"/>
              <w:bottom w:w="73" w:type="dxa"/>
              <w:left w:w="100" w:type="dxa"/>
              <w:right w:w="100" w:type="dxa"/>
            </w:tcMar>
          </w:tcPr>
          <w:p>
            <w:pPr>
              <w:pStyle w:val="TableText"/>
            </w:pPr>
            <w:r>
              <w:rPr>
                <w:sz w:val="20"/>
              </w:rPr>
              <w:t>Generate features; approve data; keep the authoritative copy.</w:t>
            </w:r>
          </w:p>
        </w:tc>
        <w:tc>
          <w:tcPr>
            <w:tcW w:type="dxa" w:w="4104"/>
            <w:vAlign w:val="top"/>
            <w:shd w:fill="F3F5F7"/>
            <w:tcMar>
              <w:top w:w="73" w:type="dxa"/>
              <w:bottom w:w="73" w:type="dxa"/>
              <w:left w:w="100" w:type="dxa"/>
              <w:right w:w="100" w:type="dxa"/>
            </w:tcMar>
          </w:tcPr>
          <w:p>
            <w:pPr>
              <w:pStyle w:val="TableText"/>
            </w:pPr>
            <w:r>
              <w:rPr>
                <w:sz w:val="20"/>
              </w:rPr>
              <w:t>Accept a bounded shard, verify integrity, expose capacity, and validate the representation format.</w:t>
            </w:r>
          </w:p>
        </w:tc>
      </w:tr>
      <w:tr>
        <w:trPr>
          <w:cantSplit/>
        </w:trPr>
        <w:tc>
          <w:tcPr>
            <w:tcW w:type="dxa" w:w="1872"/>
            <w:vAlign w:val="top"/>
            <w:tcMar>
              <w:top w:w="73" w:type="dxa"/>
              <w:bottom w:w="73" w:type="dxa"/>
              <w:left w:w="100" w:type="dxa"/>
              <w:right w:w="100" w:type="dxa"/>
            </w:tcMar>
          </w:tcPr>
          <w:p>
            <w:pPr>
              <w:pStyle w:val="TableText"/>
            </w:pPr>
            <w:r>
              <w:rPr>
                <w:sz w:val="20"/>
              </w:rPr>
              <w:t>Submit work</w:t>
            </w:r>
          </w:p>
        </w:tc>
        <w:tc>
          <w:tcPr>
            <w:tcW w:type="dxa" w:w="4190"/>
            <w:vAlign w:val="top"/>
            <w:tcMar>
              <w:top w:w="73" w:type="dxa"/>
              <w:bottom w:w="73" w:type="dxa"/>
              <w:left w:w="100" w:type="dxa"/>
              <w:right w:w="100" w:type="dxa"/>
            </w:tcMar>
          </w:tcPr>
          <w:p>
            <w:pPr>
              <w:pStyle w:val="TableText"/>
            </w:pPr>
            <w:r>
              <w:rPr>
                <w:sz w:val="20"/>
              </w:rPr>
              <w:t>Candidate IDs, query representation, snapshot identity, permitted-document information, and deadline.</w:t>
            </w:r>
          </w:p>
        </w:tc>
        <w:tc>
          <w:tcPr>
            <w:tcW w:type="dxa" w:w="4104"/>
            <w:vAlign w:val="top"/>
            <w:tcMar>
              <w:top w:w="73" w:type="dxa"/>
              <w:bottom w:w="73" w:type="dxa"/>
              <w:left w:w="100" w:type="dxa"/>
              <w:right w:w="100" w:type="dxa"/>
            </w:tcMar>
          </w:tcPr>
          <w:p>
            <w:pPr>
              <w:pStyle w:val="TableText"/>
            </w:pPr>
            <w:r>
              <w:rPr>
                <w:sz w:val="20"/>
              </w:rPr>
              <w:t>Validate the request and bounds; queue/admit work; report unsupported operations.</w:t>
            </w:r>
          </w:p>
        </w:tc>
      </w:tr>
      <w:tr>
        <w:trPr>
          <w:cantSplit/>
        </w:trPr>
        <w:tc>
          <w:tcPr>
            <w:tcW w:type="dxa" w:w="1872"/>
            <w:vAlign w:val="top"/>
            <w:shd w:fill="F3F5F7"/>
            <w:tcMar>
              <w:top w:w="73" w:type="dxa"/>
              <w:bottom w:w="73" w:type="dxa"/>
              <w:left w:w="100" w:type="dxa"/>
              <w:right w:w="100" w:type="dxa"/>
            </w:tcMar>
          </w:tcPr>
          <w:p>
            <w:pPr>
              <w:pStyle w:val="TableText"/>
            </w:pPr>
            <w:r>
              <w:rPr>
                <w:sz w:val="20"/>
              </w:rPr>
              <w:t>Execute locally</w:t>
            </w:r>
          </w:p>
        </w:tc>
        <w:tc>
          <w:tcPr>
            <w:tcW w:type="dxa" w:w="4190"/>
            <w:vAlign w:val="top"/>
            <w:shd w:fill="F3F5F7"/>
            <w:tcMar>
              <w:top w:w="73" w:type="dxa"/>
              <w:bottom w:w="73" w:type="dxa"/>
              <w:left w:w="100" w:type="dxa"/>
              <w:right w:w="100" w:type="dxa"/>
            </w:tcMar>
          </w:tcPr>
          <w:p>
            <w:pPr>
              <w:pStyle w:val="TableText"/>
            </w:pPr>
            <w:r>
              <w:rPr>
                <w:sz w:val="20"/>
              </w:rPr>
              <w:t>Do not change query semantics or scoring rules mid-comparison.</w:t>
            </w:r>
          </w:p>
        </w:tc>
        <w:tc>
          <w:tcPr>
            <w:tcW w:type="dxa" w:w="4104"/>
            <w:vAlign w:val="top"/>
            <w:shd w:fill="F3F5F7"/>
            <w:tcMar>
              <w:top w:w="73" w:type="dxa"/>
              <w:bottom w:w="73" w:type="dxa"/>
              <w:left w:w="100" w:type="dxa"/>
              <w:right w:w="100" w:type="dxa"/>
            </w:tcMar>
          </w:tcPr>
          <w:p>
            <w:pPr>
              <w:pStyle w:val="TableText"/>
            </w:pPr>
            <w:r>
              <w:rPr>
                <w:sz w:val="20"/>
              </w:rPr>
              <w:t>Fetch permitted data, run approved kernels, handle backpressure, and produce deterministic merge-compatible scores.</w:t>
            </w:r>
          </w:p>
        </w:tc>
      </w:tr>
      <w:tr>
        <w:trPr>
          <w:cantSplit/>
        </w:trPr>
        <w:tc>
          <w:tcPr>
            <w:tcW w:type="dxa" w:w="1872"/>
            <w:vAlign w:val="top"/>
            <w:tcMar>
              <w:top w:w="73" w:type="dxa"/>
              <w:bottom w:w="73" w:type="dxa"/>
              <w:left w:w="100" w:type="dxa"/>
              <w:right w:w="100" w:type="dxa"/>
            </w:tcMar>
          </w:tcPr>
          <w:p>
            <w:pPr>
              <w:pStyle w:val="TableText"/>
            </w:pPr>
            <w:r>
              <w:rPr>
                <w:sz w:val="20"/>
              </w:rPr>
              <w:t>Return and merge</w:t>
            </w:r>
          </w:p>
        </w:tc>
        <w:tc>
          <w:tcPr>
            <w:tcW w:type="dxa" w:w="4190"/>
            <w:vAlign w:val="top"/>
            <w:tcMar>
              <w:top w:w="73" w:type="dxa"/>
              <w:bottom w:w="73" w:type="dxa"/>
              <w:left w:w="100" w:type="dxa"/>
              <w:right w:w="100" w:type="dxa"/>
            </w:tcMar>
          </w:tcPr>
          <w:p>
            <w:pPr>
              <w:pStyle w:val="TableText"/>
            </w:pPr>
            <w:r>
              <w:rPr>
                <w:sz w:val="20"/>
              </w:rPr>
              <w:t>Global ranking, deduplication, document fetch, and user-facing response.</w:t>
            </w:r>
          </w:p>
        </w:tc>
        <w:tc>
          <w:tcPr>
            <w:tcW w:type="dxa" w:w="4104"/>
            <w:vAlign w:val="top"/>
            <w:tcMar>
              <w:top w:w="73" w:type="dxa"/>
              <w:bottom w:w="73" w:type="dxa"/>
              <w:left w:w="100" w:type="dxa"/>
              <w:right w:w="100" w:type="dxa"/>
            </w:tcMar>
          </w:tcPr>
          <w:p>
            <w:pPr>
              <w:pStyle w:val="TableText"/>
            </w:pPr>
            <w:r>
              <w:rPr>
                <w:sz w:val="20"/>
              </w:rPr>
              <w:t>Compact local results with identity, completion status, and diagnostic counters.</w:t>
            </w:r>
          </w:p>
        </w:tc>
      </w:tr>
      <w:tr>
        <w:trPr>
          <w:cantSplit/>
        </w:trPr>
        <w:tc>
          <w:tcPr>
            <w:tcW w:type="dxa" w:w="1872"/>
            <w:vAlign w:val="top"/>
            <w:shd w:fill="F3F5F7"/>
            <w:tcMar>
              <w:top w:w="73" w:type="dxa"/>
              <w:bottom w:w="73" w:type="dxa"/>
              <w:left w:w="100" w:type="dxa"/>
              <w:right w:w="100" w:type="dxa"/>
            </w:tcMar>
          </w:tcPr>
          <w:p>
            <w:pPr>
              <w:pStyle w:val="TableText"/>
            </w:pPr>
            <w:r>
              <w:rPr>
                <w:sz w:val="20"/>
              </w:rPr>
              <w:t>Refresh and recover</w:t>
            </w:r>
          </w:p>
        </w:tc>
        <w:tc>
          <w:tcPr>
            <w:tcW w:type="dxa" w:w="4190"/>
            <w:vAlign w:val="top"/>
            <w:shd w:fill="F3F5F7"/>
            <w:tcMar>
              <w:top w:w="73" w:type="dxa"/>
              <w:bottom w:w="73" w:type="dxa"/>
              <w:left w:w="100" w:type="dxa"/>
              <w:right w:w="100" w:type="dxa"/>
            </w:tcMar>
          </w:tcPr>
          <w:p>
            <w:pPr>
              <w:pStyle w:val="TableText"/>
            </w:pPr>
            <w:r>
              <w:rPr>
                <w:sz w:val="20"/>
              </w:rPr>
              <w:t>Freshness policy, deletion source, replica routing, and durable recovery.</w:t>
            </w:r>
          </w:p>
        </w:tc>
        <w:tc>
          <w:tcPr>
            <w:tcW w:type="dxa" w:w="4104"/>
            <w:vAlign w:val="top"/>
            <w:shd w:fill="F3F5F7"/>
            <w:tcMar>
              <w:top w:w="73" w:type="dxa"/>
              <w:bottom w:w="73" w:type="dxa"/>
              <w:left w:w="100" w:type="dxa"/>
              <w:right w:w="100" w:type="dxa"/>
            </w:tcMar>
          </w:tcPr>
          <w:p>
            <w:pPr>
              <w:pStyle w:val="TableText"/>
            </w:pPr>
            <w:r>
              <w:rPr>
                <w:sz w:val="20"/>
              </w:rPr>
              <w:t>Atomic snapshot activation, safe reset/rollback, explicit error reporting, and sanitization.</w:t>
            </w:r>
          </w:p>
        </w:tc>
      </w:tr>
    </w:tbl>
    <w:p>
      <w:pPr>
        <w:spacing w:after="20"/>
      </w:pPr>
    </w:p>
    <w:p>
      <w:pPr>
        <w:pStyle w:val="Heading2"/>
      </w:pPr>
      <w:r>
        <w:t>Initial software integration choice</w:t>
      </w:r>
    </w:p>
    <w:p>
      <w:r>
        <w:t>Select one production boundary after a short interface spike. Milvus’s Knowhere is a vector-execution integration candidate; Qdrant provides a useful quantization/rescoring reference; Vespa provides data-local multi-vector controls. These are candidate relationships, not existing ATMOS backends. [R7–R10]</w:t>
      </w:r>
    </w:p>
    <w:p>
      <w:r>
        <w:t>For self-managed OpenSearch, a maintained engine/plugin boundary or a carefully measured companion scorer is possible research scope. A companion service adds transport and copy costs and must preserve filtering. For Amazon OpenSearch Service, customer plugin support is not permission to install a new kernel driver or device: hardware integration needs the service operator. [R18]</w:t>
      </w:r>
    </w:p>
    <w:p>
      <w:pPr>
        <w:pStyle w:val="Small"/>
      </w:pPr>
      <w:r>
        <w:t>First release recommendation: whole-device allocation, a bounded representation/primitive set, and a single maintained adapter. Fractional device sharing, arbitrary models, and cross-device neural collectives are later choices—not prerequisites for the retrieval use case. Based on the operational work in [I2], with a new search-oriented API boundary.</w:t>
      </w:r>
    </w:p>
    <w:p>
      <w:pPr>
        <w:pStyle w:val="Small"/>
        <w:keepNext/>
        <w:pageBreakBefore/>
      </w:pPr>
      <w:r>
        <w:rPr>
          <w:b/>
          <w:color w:val="24586E"/>
        </w:rPr>
        <w:t>CLOSE THESE BEFORE MAKING A PRODUCT PERFORMANCE CLAIM</w:t>
      </w:r>
    </w:p>
    <w:p>
      <w:pPr>
        <w:pStyle w:val="Heading1"/>
      </w:pPr>
      <w:r>
        <w:t>8. Hardware feasibility: the five conditions</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376"/>
        <w:gridCol w:w="4507"/>
        <w:gridCol w:w="3283"/>
      </w:tblGrid>
      <w:tr>
        <w:trPr>
          <w:tblHeader/>
          <w:cantSplit/>
        </w:trPr>
        <w:tc>
          <w:tcPr>
            <w:tcW w:type="dxa" w:w="2376"/>
            <w:shd w:fill="A31630"/>
            <w:tcMar>
              <w:top w:w="73" w:type="dxa"/>
              <w:bottom w:w="73" w:type="dxa"/>
              <w:left w:w="100" w:type="dxa"/>
              <w:right w:w="100" w:type="dxa"/>
            </w:tcMar>
          </w:tcPr>
          <w:p>
            <w:pPr>
              <w:pStyle w:val="TableText"/>
            </w:pPr>
            <w:r>
              <w:rPr>
                <w:b/>
                <w:color w:val="FFFFFF"/>
                <w:sz w:val="20"/>
              </w:rPr>
              <w:t>Condition</w:t>
            </w:r>
          </w:p>
        </w:tc>
        <w:tc>
          <w:tcPr>
            <w:tcW w:type="dxa" w:w="4507"/>
            <w:shd w:fill="A31630"/>
            <w:tcMar>
              <w:top w:w="73" w:type="dxa"/>
              <w:bottom w:w="73" w:type="dxa"/>
              <w:left w:w="100" w:type="dxa"/>
              <w:right w:w="100" w:type="dxa"/>
            </w:tcMar>
          </w:tcPr>
          <w:p>
            <w:pPr>
              <w:pStyle w:val="TableText"/>
            </w:pPr>
            <w:r>
              <w:rPr>
                <w:b/>
                <w:color w:val="FFFFFF"/>
                <w:sz w:val="20"/>
              </w:rPr>
              <w:t>What must be established</w:t>
            </w:r>
          </w:p>
        </w:tc>
        <w:tc>
          <w:tcPr>
            <w:tcW w:type="dxa" w:w="3283"/>
            <w:shd w:fill="A31630"/>
            <w:tcMar>
              <w:top w:w="73" w:type="dxa"/>
              <w:bottom w:w="73" w:type="dxa"/>
              <w:left w:w="100" w:type="dxa"/>
              <w:right w:w="100" w:type="dxa"/>
            </w:tcMar>
          </w:tcPr>
          <w:p>
            <w:pPr>
              <w:pStyle w:val="TableText"/>
            </w:pPr>
            <w:r>
              <w:rPr>
                <w:b/>
                <w:color w:val="FFFFFF"/>
                <w:sz w:val="20"/>
              </w:rPr>
              <w:t>Consequence if it fails</w:t>
            </w:r>
          </w:p>
        </w:tc>
      </w:tr>
      <w:tr>
        <w:trPr>
          <w:cantSplit/>
        </w:trPr>
        <w:tc>
          <w:tcPr>
            <w:tcW w:type="dxa" w:w="2376"/>
            <w:vAlign w:val="top"/>
            <w:shd w:fill="F3F5F7"/>
            <w:tcMar>
              <w:top w:w="73" w:type="dxa"/>
              <w:bottom w:w="73" w:type="dxa"/>
              <w:left w:w="100" w:type="dxa"/>
              <w:right w:w="100" w:type="dxa"/>
            </w:tcMar>
          </w:tcPr>
          <w:p>
            <w:pPr>
              <w:pStyle w:val="TableText"/>
            </w:pPr>
            <w:r>
              <w:rPr>
                <w:sz w:val="19"/>
              </w:rPr>
            </w:r>
            <w:r>
              <w:rPr>
                <w:b/>
                <w:sz w:val="19"/>
              </w:rPr>
              <w:t>HBF-to-execution path</w:t>
            </w:r>
            <w:r>
              <w:rPr>
                <w:sz w:val="19"/>
              </w:rPr>
            </w:r>
          </w:p>
        </w:tc>
        <w:tc>
          <w:tcPr>
            <w:tcW w:type="dxa" w:w="4507"/>
            <w:vAlign w:val="top"/>
            <w:shd w:fill="F3F5F7"/>
            <w:tcMar>
              <w:top w:w="73" w:type="dxa"/>
              <w:bottom w:w="73" w:type="dxa"/>
              <w:left w:w="100" w:type="dxa"/>
              <w:right w:w="100" w:type="dxa"/>
            </w:tcMar>
          </w:tcPr>
          <w:p>
            <w:pPr>
              <w:pStyle w:val="TableText"/>
            </w:pPr>
            <w:r>
              <w:rPr>
                <w:sz w:val="19"/>
              </w:rPr>
              <w:t>Name every controller, NoC link, working-memory write/read, DMA boundary, and destination. Test concurrent ingress and computation.</w:t>
            </w:r>
          </w:p>
        </w:tc>
        <w:tc>
          <w:tcPr>
            <w:tcW w:type="dxa" w:w="3283"/>
            <w:vAlign w:val="top"/>
            <w:shd w:fill="F3F5F7"/>
            <w:tcMar>
              <w:top w:w="73" w:type="dxa"/>
              <w:bottom w:w="73" w:type="dxa"/>
              <w:left w:w="100" w:type="dxa"/>
              <w:right w:w="100" w:type="dxa"/>
            </w:tcMar>
          </w:tcPr>
          <w:p>
            <w:pPr>
              <w:pStyle w:val="TableText"/>
            </w:pPr>
            <w:r>
              <w:rPr>
                <w:sz w:val="19"/>
              </w:rPr>
              <w:t>Reduce performance assumptions or change the integration. A PCIe-attached off-the-shelf NPU does not automatically consume HBF at media bandwidth.</w:t>
            </w:r>
          </w:p>
        </w:tc>
      </w:tr>
      <w:tr>
        <w:trPr>
          <w:cantSplit/>
        </w:trPr>
        <w:tc>
          <w:tcPr>
            <w:tcW w:type="dxa" w:w="2376"/>
            <w:vAlign w:val="top"/>
            <w:tcMar>
              <w:top w:w="73" w:type="dxa"/>
              <w:bottom w:w="73" w:type="dxa"/>
              <w:left w:w="100" w:type="dxa"/>
              <w:right w:w="100" w:type="dxa"/>
            </w:tcMar>
          </w:tcPr>
          <w:p>
            <w:pPr>
              <w:pStyle w:val="TableText"/>
            </w:pPr>
            <w:r>
              <w:rPr>
                <w:sz w:val="19"/>
              </w:rPr>
            </w:r>
            <w:r>
              <w:rPr>
                <w:b/>
                <w:sz w:val="19"/>
              </w:rPr>
              <w:t>Useful access behavior</w:t>
            </w:r>
            <w:r>
              <w:rPr>
                <w:sz w:val="19"/>
              </w:rPr>
            </w:r>
          </w:p>
        </w:tc>
        <w:tc>
          <w:tcPr>
            <w:tcW w:type="dxa" w:w="4507"/>
            <w:vAlign w:val="top"/>
            <w:tcMar>
              <w:top w:w="73" w:type="dxa"/>
              <w:bottom w:w="73" w:type="dxa"/>
              <w:left w:w="100" w:type="dxa"/>
              <w:right w:w="100" w:type="dxa"/>
            </w:tcMar>
          </w:tcPr>
          <w:p>
            <w:pPr>
              <w:pStyle w:val="TableText"/>
            </w:pPr>
            <w:r>
              <w:rPr>
                <w:sz w:val="19"/>
              </w:rPr>
              <w:t>Per-size read service, gather amplification, queue limits, concurrency, and mixed update/read tails.</w:t>
            </w:r>
          </w:p>
        </w:tc>
        <w:tc>
          <w:tcPr>
            <w:tcW w:type="dxa" w:w="3283"/>
            <w:vAlign w:val="top"/>
            <w:tcMar>
              <w:top w:w="73" w:type="dxa"/>
              <w:bottom w:w="73" w:type="dxa"/>
              <w:left w:w="100" w:type="dxa"/>
              <w:right w:w="100" w:type="dxa"/>
            </w:tcMar>
          </w:tcPr>
          <w:p>
            <w:pPr>
              <w:pStyle w:val="TableText"/>
            </w:pPr>
            <w:r>
              <w:rPr>
                <w:sz w:val="19"/>
              </w:rPr>
              <w:t>Sequential peaks cannot justify search QPS. Consider layout changes or stop the selected access pattern.</w:t>
            </w:r>
          </w:p>
        </w:tc>
      </w:tr>
      <w:tr>
        <w:trPr>
          <w:cantSplit/>
        </w:trPr>
        <w:tc>
          <w:tcPr>
            <w:tcW w:type="dxa" w:w="2376"/>
            <w:vAlign w:val="top"/>
            <w:shd w:fill="F3F5F7"/>
            <w:tcMar>
              <w:top w:w="73" w:type="dxa"/>
              <w:bottom w:w="73" w:type="dxa"/>
              <w:left w:w="100" w:type="dxa"/>
              <w:right w:w="100" w:type="dxa"/>
            </w:tcMar>
          </w:tcPr>
          <w:p>
            <w:pPr>
              <w:pStyle w:val="TableText"/>
            </w:pPr>
            <w:r>
              <w:rPr>
                <w:sz w:val="19"/>
              </w:rPr>
            </w:r>
            <w:r>
              <w:rPr>
                <w:b/>
                <w:sz w:val="19"/>
              </w:rPr>
              <w:t>NPU primitive coverage</w:t>
            </w:r>
            <w:r>
              <w:rPr>
                <w:sz w:val="19"/>
              </w:rPr>
            </w:r>
          </w:p>
        </w:tc>
        <w:tc>
          <w:tcPr>
            <w:tcW w:type="dxa" w:w="4507"/>
            <w:vAlign w:val="top"/>
            <w:shd w:fill="F3F5F7"/>
            <w:tcMar>
              <w:top w:w="73" w:type="dxa"/>
              <w:bottom w:w="73" w:type="dxa"/>
              <w:left w:w="100" w:type="dxa"/>
              <w:right w:w="100" w:type="dxa"/>
            </w:tcMar>
          </w:tcPr>
          <w:p>
            <w:pPr>
              <w:pStyle w:val="TableText"/>
            </w:pPr>
            <w:r>
              <w:rPr>
                <w:sz w:val="19"/>
              </w:rPr>
              <w:t>Gather, masking, dot products, reductions, top-k, MaxSim, and any required decompression at the selected precision.</w:t>
            </w:r>
          </w:p>
        </w:tc>
        <w:tc>
          <w:tcPr>
            <w:tcW w:type="dxa" w:w="3283"/>
            <w:vAlign w:val="top"/>
            <w:shd w:fill="F3F5F7"/>
            <w:tcMar>
              <w:top w:w="73" w:type="dxa"/>
              <w:bottom w:w="73" w:type="dxa"/>
              <w:left w:w="100" w:type="dxa"/>
              <w:right w:w="100" w:type="dxa"/>
            </w:tcMar>
          </w:tcPr>
          <w:p>
            <w:pPr>
              <w:pStyle w:val="TableText"/>
            </w:pPr>
            <w:r>
              <w:rPr>
                <w:sz w:val="19"/>
              </w:rPr>
              <w:t>A simpler vector engine may be sufficient; or operator fallbacks can invalidate the proposed NPU choice.</w:t>
            </w:r>
          </w:p>
        </w:tc>
      </w:tr>
      <w:tr>
        <w:trPr>
          <w:cantSplit/>
        </w:trPr>
        <w:tc>
          <w:tcPr>
            <w:tcW w:type="dxa" w:w="2376"/>
            <w:vAlign w:val="top"/>
            <w:tcMar>
              <w:top w:w="73" w:type="dxa"/>
              <w:bottom w:w="73" w:type="dxa"/>
              <w:left w:w="100" w:type="dxa"/>
              <w:right w:w="100" w:type="dxa"/>
            </w:tcMar>
          </w:tcPr>
          <w:p>
            <w:pPr>
              <w:pStyle w:val="TableText"/>
            </w:pPr>
            <w:r>
              <w:rPr>
                <w:sz w:val="19"/>
              </w:rPr>
            </w:r>
            <w:r>
              <w:rPr>
                <w:b/>
                <w:sz w:val="19"/>
              </w:rPr>
              <w:t>Working memory and buffering</w:t>
            </w:r>
            <w:r>
              <w:rPr>
                <w:sz w:val="19"/>
              </w:rPr>
            </w:r>
          </w:p>
        </w:tc>
        <w:tc>
          <w:tcPr>
            <w:tcW w:type="dxa" w:w="4507"/>
            <w:vAlign w:val="top"/>
            <w:tcMar>
              <w:top w:w="73" w:type="dxa"/>
              <w:bottom w:w="73" w:type="dxa"/>
              <w:left w:w="100" w:type="dxa"/>
              <w:right w:w="100" w:type="dxa"/>
            </w:tcMar>
          </w:tcPr>
          <w:p>
            <w:pPr>
              <w:pStyle w:val="TableText"/>
            </w:pPr>
            <w:r>
              <w:rPr>
                <w:sz w:val="19"/>
              </w:rPr>
              <w:t>Usable LPDDR/SRAM after runtime reserve; tile/ring occupancy, channel sharing, and producer/consumer ordering.</w:t>
            </w:r>
          </w:p>
        </w:tc>
        <w:tc>
          <w:tcPr>
            <w:tcW w:type="dxa" w:w="3283"/>
            <w:vAlign w:val="top"/>
            <w:tcMar>
              <w:top w:w="73" w:type="dxa"/>
              <w:bottom w:w="73" w:type="dxa"/>
              <w:left w:w="100" w:type="dxa"/>
              <w:right w:w="100" w:type="dxa"/>
            </w:tcMar>
          </w:tcPr>
          <w:p>
            <w:pPr>
              <w:pStyle w:val="TableText"/>
            </w:pPr>
            <w:r>
              <w:rPr>
                <w:sz w:val="19"/>
              </w:rPr>
              <w:t>Narrow concurrency or change the device. Do not infer useful HBF bandwidth from capacity alone.</w:t>
            </w:r>
          </w:p>
        </w:tc>
      </w:tr>
      <w:tr>
        <w:trPr>
          <w:cantSplit/>
        </w:trPr>
        <w:tc>
          <w:tcPr>
            <w:tcW w:type="dxa" w:w="2376"/>
            <w:vAlign w:val="top"/>
            <w:shd w:fill="F3F5F7"/>
            <w:tcMar>
              <w:top w:w="73" w:type="dxa"/>
              <w:bottom w:w="73" w:type="dxa"/>
              <w:left w:w="100" w:type="dxa"/>
              <w:right w:w="100" w:type="dxa"/>
            </w:tcMar>
          </w:tcPr>
          <w:p>
            <w:pPr>
              <w:pStyle w:val="TableText"/>
            </w:pPr>
            <w:r>
              <w:rPr>
                <w:sz w:val="19"/>
              </w:rPr>
            </w:r>
            <w:r>
              <w:rPr>
                <w:b/>
                <w:sz w:val="19"/>
              </w:rPr>
              <w:t>Power, manufacture, and service</w:t>
            </w:r>
            <w:r>
              <w:rPr>
                <w:sz w:val="19"/>
              </w:rPr>
            </w:r>
          </w:p>
        </w:tc>
        <w:tc>
          <w:tcPr>
            <w:tcW w:type="dxa" w:w="4507"/>
            <w:vAlign w:val="top"/>
            <w:shd w:fill="F3F5F7"/>
            <w:tcMar>
              <w:top w:w="73" w:type="dxa"/>
              <w:bottom w:w="73" w:type="dxa"/>
              <w:left w:w="100" w:type="dxa"/>
              <w:right w:w="100" w:type="dxa"/>
            </w:tcMar>
          </w:tcPr>
          <w:p>
            <w:pPr>
              <w:pStyle w:val="TableText"/>
            </w:pPr>
            <w:r>
              <w:rPr>
                <w:sz w:val="19"/>
              </w:rPr>
              <w:t>Sustained mixed workload at approved ambient; firmware recovery; yield, retention/endurance, supplier support, and OEM service flow.</w:t>
            </w:r>
          </w:p>
        </w:tc>
        <w:tc>
          <w:tcPr>
            <w:tcW w:type="dxa" w:w="3283"/>
            <w:vAlign w:val="top"/>
            <w:shd w:fill="F3F5F7"/>
            <w:tcMar>
              <w:top w:w="73" w:type="dxa"/>
              <w:bottom w:w="73" w:type="dxa"/>
              <w:left w:w="100" w:type="dxa"/>
              <w:right w:w="100" w:type="dxa"/>
            </w:tcMar>
          </w:tcPr>
          <w:p>
            <w:pPr>
              <w:pStyle w:val="TableText"/>
            </w:pPr>
            <w:r>
              <w:rPr>
                <w:sz w:val="19"/>
              </w:rPr>
              <w:t>Change package/clock/form factor or stop E3.S. Do not equate SSD hot-plug precedent with safe compute hot removal.</w:t>
            </w:r>
          </w:p>
        </w:tc>
      </w:tr>
    </w:tbl>
    <w:p>
      <w:pPr>
        <w:spacing w:after="20"/>
      </w:pPr>
    </w:p>
    <w:p>
      <w:r>
        <w:t>The source concept uses up to 128 GB HBF, approximately 200 GB/s reads, roughly 8–16 GB LPDDR, local SRAM, and a 64-TOPS-class NPU direction. These remain targets. The earlier mixed TOPS/TFLOPS labels do not determine usable scoring throughput. [I1–I2]</w:t>
      </w:r>
    </w:p>
    <w:p>
      <w:r>
        <w:t>As an example of a path constraint, if each weight byte must be written into and read back from a working-memory interface with a combined 50 GB/s budget, that staging pattern alone consumes two bytes of traffic per useful byte. The resulting 25 GB/s arithmetic limit is conditional—not an ATMOS implementation fact. [A1]</w:t>
      </w:r>
    </w:p>
    <w:p>
      <w:pPr>
        <w:pStyle w:val="Small"/>
      </w:pPr>
      <w:r>
        <w:t>Sandisk’s public HBF specification announcement establishes standardization activity, not an E3.S device, a commercial NPU integration, or workload performance. [R16]</w:t>
      </w:r>
    </w:p>
    <w:p>
      <w:pPr>
        <w:pStyle w:val="Small"/>
        <w:keepNext/>
        <w:pageBreakBefore/>
      </w:pPr>
      <w:r>
        <w:rPr>
          <w:b/>
          <w:color w:val="24586E"/>
        </w:rPr>
        <w:t>QUALIFY THE PHYSICAL PATH, NOT ONLY THE FORM FACTOR</w:t>
      </w:r>
    </w:p>
    <w:p>
      <w:pPr>
        <w:pStyle w:val="Heading1"/>
      </w:pPr>
      <w:r>
        <w:t>9. From one device to an OEM service node</w:t>
      </w:r>
    </w:p>
    <w:p>
      <w:r>
        <w:t>Begin on cloud or existing lab hardware for the conventional control and software harness. Then qualify a real E3.S-capable OEM node for device tests. The source proposal’s 1U/2U density illustrations remain conditional on lanes, power, cooling, and management—not guaranteed population limits. [I2]</w:t>
      </w:r>
    </w:p>
    <w:p>
      <w:r>
        <w:t>SNIA defines the EDSFF family; Kioxia’s E3 summary lists 25 W for thin E3.S and 40 W for E3.S 2T. Use these as starting format constraints and confirm the exact specification revision, connector, cooling design, and OEM allocation. A thicker device does not itself guarantee more PCIe lanes or protocol support. [R12–R13]</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088"/>
        <w:gridCol w:w="3312"/>
        <w:gridCol w:w="4766"/>
      </w:tblGrid>
      <w:tr>
        <w:trPr>
          <w:tblHeader/>
          <w:cantSplit/>
        </w:trPr>
        <w:tc>
          <w:tcPr>
            <w:tcW w:type="dxa" w:w="2088"/>
            <w:shd w:fill="A31630"/>
            <w:tcMar>
              <w:top w:w="73" w:type="dxa"/>
              <w:bottom w:w="73" w:type="dxa"/>
              <w:left w:w="100" w:type="dxa"/>
              <w:right w:w="100" w:type="dxa"/>
            </w:tcMar>
          </w:tcPr>
          <w:p>
            <w:pPr>
              <w:pStyle w:val="TableText"/>
            </w:pPr>
            <w:r>
              <w:rPr>
                <w:b/>
                <w:color w:val="FFFFFF"/>
                <w:sz w:val="20"/>
              </w:rPr>
              <w:t>Configuration</w:t>
            </w:r>
          </w:p>
        </w:tc>
        <w:tc>
          <w:tcPr>
            <w:tcW w:type="dxa" w:w="3312"/>
            <w:shd w:fill="A31630"/>
            <w:tcMar>
              <w:top w:w="73" w:type="dxa"/>
              <w:bottom w:w="73" w:type="dxa"/>
              <w:left w:w="100" w:type="dxa"/>
              <w:right w:w="100" w:type="dxa"/>
            </w:tcMar>
          </w:tcPr>
          <w:p>
            <w:pPr>
              <w:pStyle w:val="TableText"/>
            </w:pPr>
            <w:r>
              <w:rPr>
                <w:b/>
                <w:color w:val="FFFFFF"/>
                <w:sz w:val="20"/>
              </w:rPr>
              <w:t>Purpose</w:t>
            </w:r>
          </w:p>
        </w:tc>
        <w:tc>
          <w:tcPr>
            <w:tcW w:type="dxa" w:w="4766"/>
            <w:shd w:fill="A31630"/>
            <w:tcMar>
              <w:top w:w="73" w:type="dxa"/>
              <w:bottom w:w="73" w:type="dxa"/>
              <w:left w:w="100" w:type="dxa"/>
              <w:right w:w="100" w:type="dxa"/>
            </w:tcMar>
          </w:tcPr>
          <w:p>
            <w:pPr>
              <w:pStyle w:val="TableText"/>
            </w:pPr>
            <w:r>
              <w:rPr>
                <w:b/>
                <w:color w:val="FFFFFF"/>
                <w:sz w:val="20"/>
              </w:rPr>
              <w:t>Qualification focus</w:t>
            </w:r>
          </w:p>
        </w:tc>
      </w:tr>
      <w:tr>
        <w:trPr>
          <w:cantSplit/>
        </w:trPr>
        <w:tc>
          <w:tcPr>
            <w:tcW w:type="dxa" w:w="2088"/>
            <w:vAlign w:val="top"/>
            <w:shd w:fill="F3F5F7"/>
            <w:tcMar>
              <w:top w:w="73" w:type="dxa"/>
              <w:bottom w:w="73" w:type="dxa"/>
              <w:left w:w="100" w:type="dxa"/>
              <w:right w:w="100" w:type="dxa"/>
            </w:tcMar>
          </w:tcPr>
          <w:p>
            <w:pPr>
              <w:pStyle w:val="TableText"/>
            </w:pPr>
            <w:r>
              <w:rPr>
                <w:sz w:val="20"/>
              </w:rPr>
              <w:t>One device; one host</w:t>
            </w:r>
          </w:p>
        </w:tc>
        <w:tc>
          <w:tcPr>
            <w:tcW w:type="dxa" w:w="3312"/>
            <w:vAlign w:val="top"/>
            <w:shd w:fill="F3F5F7"/>
            <w:tcMar>
              <w:top w:w="73" w:type="dxa"/>
              <w:bottom w:w="73" w:type="dxa"/>
              <w:left w:w="100" w:type="dxa"/>
              <w:right w:w="100" w:type="dxa"/>
            </w:tcMar>
          </w:tcPr>
          <w:p>
            <w:pPr>
              <w:pStyle w:val="TableText"/>
            </w:pPr>
            <w:r>
              <w:rPr>
                <w:sz w:val="20"/>
              </w:rPr>
              <w:t>Find local access/compute limits.</w:t>
            </w:r>
          </w:p>
        </w:tc>
        <w:tc>
          <w:tcPr>
            <w:tcW w:type="dxa" w:w="4766"/>
            <w:vAlign w:val="top"/>
            <w:shd w:fill="F3F5F7"/>
            <w:tcMar>
              <w:top w:w="73" w:type="dxa"/>
              <w:bottom w:w="73" w:type="dxa"/>
              <w:left w:w="100" w:type="dxa"/>
              <w:right w:w="100" w:type="dxa"/>
            </w:tcMar>
          </w:tcPr>
          <w:p>
            <w:pPr>
              <w:pStyle w:val="TableText"/>
            </w:pPr>
            <w:r>
              <w:rPr>
                <w:sz w:val="20"/>
              </w:rPr>
              <w:t>Negotiated PCIe link, host control overhead, DMA safety, actual destination memory, and sustained thermal behavior.</w:t>
            </w:r>
          </w:p>
        </w:tc>
      </w:tr>
      <w:tr>
        <w:trPr>
          <w:cantSplit/>
        </w:trPr>
        <w:tc>
          <w:tcPr>
            <w:tcW w:type="dxa" w:w="2088"/>
            <w:vAlign w:val="top"/>
            <w:tcMar>
              <w:top w:w="73" w:type="dxa"/>
              <w:bottom w:w="73" w:type="dxa"/>
              <w:left w:w="100" w:type="dxa"/>
              <w:right w:w="100" w:type="dxa"/>
            </w:tcMar>
          </w:tcPr>
          <w:p>
            <w:pPr>
              <w:pStyle w:val="TableText"/>
            </w:pPr>
            <w:r>
              <w:rPr>
                <w:sz w:val="20"/>
              </w:rPr>
              <w:t>4–8 devices in one node</w:t>
            </w:r>
          </w:p>
        </w:tc>
        <w:tc>
          <w:tcPr>
            <w:tcW w:type="dxa" w:w="3312"/>
            <w:vAlign w:val="top"/>
            <w:tcMar>
              <w:top w:w="73" w:type="dxa"/>
              <w:bottom w:w="73" w:type="dxa"/>
              <w:left w:w="100" w:type="dxa"/>
              <w:right w:w="100" w:type="dxa"/>
            </w:tcMar>
          </w:tcPr>
          <w:p>
            <w:pPr>
              <w:pStyle w:val="TableText"/>
            </w:pPr>
            <w:r>
              <w:rPr>
                <w:sz w:val="20"/>
              </w:rPr>
              <w:t>Partition a corpus and merge local results.</w:t>
            </w:r>
          </w:p>
        </w:tc>
        <w:tc>
          <w:tcPr>
            <w:tcW w:type="dxa" w:w="4766"/>
            <w:vAlign w:val="top"/>
            <w:tcMar>
              <w:top w:w="73" w:type="dxa"/>
              <w:bottom w:w="73" w:type="dxa"/>
              <w:left w:w="100" w:type="dxa"/>
              <w:right w:w="100" w:type="dxa"/>
            </w:tcMar>
          </w:tcPr>
          <w:p>
            <w:pPr>
              <w:pStyle w:val="TableText"/>
            </w:pPr>
            <w:r>
              <w:rPr>
                <w:sz w:val="20"/>
              </w:rPr>
              <w:t>Per-bay lanes, backplane switch/uplinks, CPU/NUMA affinity, host merge and metadata cost, and hot-device skew.</w:t>
            </w:r>
          </w:p>
        </w:tc>
      </w:tr>
      <w:tr>
        <w:trPr>
          <w:cantSplit/>
        </w:trPr>
        <w:tc>
          <w:tcPr>
            <w:tcW w:type="dxa" w:w="2088"/>
            <w:vAlign w:val="top"/>
            <w:shd w:fill="F3F5F7"/>
            <w:tcMar>
              <w:top w:w="73" w:type="dxa"/>
              <w:bottom w:w="73" w:type="dxa"/>
              <w:left w:w="100" w:type="dxa"/>
              <w:right w:w="100" w:type="dxa"/>
            </w:tcMar>
          </w:tcPr>
          <w:p>
            <w:pPr>
              <w:pStyle w:val="TableText"/>
            </w:pPr>
            <w:r>
              <w:rPr>
                <w:sz w:val="20"/>
              </w:rPr>
              <w:t>Several replicated nodes</w:t>
            </w:r>
          </w:p>
        </w:tc>
        <w:tc>
          <w:tcPr>
            <w:tcW w:type="dxa" w:w="3312"/>
            <w:vAlign w:val="top"/>
            <w:shd w:fill="F3F5F7"/>
            <w:tcMar>
              <w:top w:w="73" w:type="dxa"/>
              <w:bottom w:w="73" w:type="dxa"/>
              <w:left w:w="100" w:type="dxa"/>
              <w:right w:w="100" w:type="dxa"/>
            </w:tcMar>
          </w:tcPr>
          <w:p>
            <w:pPr>
              <w:pStyle w:val="TableText"/>
            </w:pPr>
            <w:r>
              <w:rPr>
                <w:sz w:val="20"/>
              </w:rPr>
              <w:t>Survive one node loss and scale query load.</w:t>
            </w:r>
          </w:p>
        </w:tc>
        <w:tc>
          <w:tcPr>
            <w:tcW w:type="dxa" w:w="4766"/>
            <w:vAlign w:val="top"/>
            <w:shd w:fill="F3F5F7"/>
            <w:tcMar>
              <w:top w:w="73" w:type="dxa"/>
              <w:bottom w:w="73" w:type="dxa"/>
              <w:left w:w="100" w:type="dxa"/>
              <w:right w:w="100" w:type="dxa"/>
            </w:tcMar>
          </w:tcPr>
          <w:p>
            <w:pPr>
              <w:pStyle w:val="TableText"/>
            </w:pPr>
            <w:r>
              <w:rPr>
                <w:sz w:val="20"/>
              </w:rPr>
              <w:t>Complete replicas or an explicitly proven shard-placement policy; network fan-out, rebuild, degraded throughput, and common-source load.</w:t>
            </w:r>
          </w:p>
        </w:tc>
      </w:tr>
      <w:tr>
        <w:trPr>
          <w:cantSplit/>
        </w:trPr>
        <w:tc>
          <w:tcPr>
            <w:tcW w:type="dxa" w:w="2088"/>
            <w:vAlign w:val="top"/>
            <w:tcMar>
              <w:top w:w="73" w:type="dxa"/>
              <w:bottom w:w="73" w:type="dxa"/>
              <w:left w:w="100" w:type="dxa"/>
              <w:right w:w="100" w:type="dxa"/>
            </w:tcMar>
          </w:tcPr>
          <w:p>
            <w:pPr>
              <w:pStyle w:val="TableText"/>
            </w:pPr>
            <w:r>
              <w:rPr>
                <w:sz w:val="20"/>
              </w:rPr>
              <w:t>Rack/service deployment</w:t>
            </w:r>
          </w:p>
        </w:tc>
        <w:tc>
          <w:tcPr>
            <w:tcW w:type="dxa" w:w="3312"/>
            <w:vAlign w:val="top"/>
            <w:tcMar>
              <w:top w:w="73" w:type="dxa"/>
              <w:bottom w:w="73" w:type="dxa"/>
              <w:left w:w="100" w:type="dxa"/>
              <w:right w:w="100" w:type="dxa"/>
            </w:tcMar>
          </w:tcPr>
          <w:p>
            <w:pPr>
              <w:pStyle w:val="TableText"/>
            </w:pPr>
            <w:r>
              <w:rPr>
                <w:sz w:val="20"/>
              </w:rPr>
              <w:t>Assess buying and operating economics.</w:t>
            </w:r>
          </w:p>
        </w:tc>
        <w:tc>
          <w:tcPr>
            <w:tcW w:type="dxa" w:w="4766"/>
            <w:vAlign w:val="top"/>
            <w:tcMar>
              <w:top w:w="73" w:type="dxa"/>
              <w:bottom w:w="73" w:type="dxa"/>
              <w:left w:w="100" w:type="dxa"/>
              <w:right w:w="100" w:type="dxa"/>
            </w:tcMar>
          </w:tcPr>
          <w:p>
            <w:pPr>
              <w:pStyle w:val="TableText"/>
            </w:pPr>
            <w:r>
              <w:rPr>
                <w:sz w:val="20"/>
              </w:rPr>
              <w:t>Rack power/cooling, service reserve, firmware lifecycle, replenishment, topology, and usable—not nameplate—capacity.</w:t>
            </w:r>
          </w:p>
        </w:tc>
      </w:tr>
    </w:tbl>
    <w:p>
      <w:pPr>
        <w:spacing w:after="20"/>
      </w:pPr>
    </w:p>
    <w:p>
      <w:r>
        <w:t>Dell’s R770 documentation shows an E3.S-capable platform family; that makes it an investigation candidate, not an ATMOS-qualified server. Ask Dell and one alternate OEM to supply a priced, exact backplane/slot/power/firmware configuration. [R14]</w:t>
      </w:r>
    </w:p>
    <w:p>
      <w:pPr>
        <w:pStyle w:val="Heading2"/>
      </w:pPr>
      <w:r>
        <w:t>Keep the scale-out arithmetic honest</w:t>
      </w:r>
    </w:p>
    <w:p>
      <w:r>
        <w:t>Eight 128 GB devices contain 1,024 GB nominal capacity. Eight local 200 GB/s targets sum to 1.6 TB/s only when independent shards use their own paths. A query fanning out to every device still waits for its required results; its throughput is not automatically eight times a device’s full-corpus rate.</w:t>
      </w:r>
    </w:p>
    <w:p>
      <w:pPr>
        <w:pStyle w:val="Small"/>
      </w:pPr>
      <w:r>
        <w:t>The first retrieval design does not require device-to-device P2P: the host can route candidates and merge compact results. Any later P2P path needs platform/driver verification; sharing a PCIe label or NUMA node is not sufficient. [R19]</w:t>
      </w:r>
    </w:p>
    <w:p>
      <w:pPr>
        <w:pStyle w:val="Small"/>
        <w:keepNext/>
        <w:pageBreakBefore/>
      </w:pPr>
      <w:r>
        <w:rPr>
          <w:b/>
          <w:color w:val="24586E"/>
        </w:rPr>
        <w:t>CUSTOMER VALUE, SUPPLIER VALUE, AND ADOPTION COST</w:t>
      </w:r>
    </w:p>
    <w:p>
      <w:pPr>
        <w:pStyle w:val="Heading1"/>
      </w:pPr>
      <w:r>
        <w:t>10. Economic viability: count what actually disappears</w:t>
      </w:r>
    </w:p>
    <w:p>
      <w:r>
        <w:t>The economic case is conditional. There is no supplied device quote, measured ATMOS service curve, or confirmed customer volume. The correct first financial output is a price/performance envelope—not a savings promise or a top-down AI market estimate.</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232"/>
        <w:gridCol w:w="4392"/>
        <w:gridCol w:w="3542"/>
      </w:tblGrid>
      <w:tr>
        <w:trPr>
          <w:tblHeader/>
          <w:cantSplit/>
        </w:trPr>
        <w:tc>
          <w:tcPr>
            <w:tcW w:type="dxa" w:w="2232"/>
            <w:shd w:fill="A31630"/>
            <w:tcMar>
              <w:top w:w="73" w:type="dxa"/>
              <w:bottom w:w="73" w:type="dxa"/>
              <w:left w:w="100" w:type="dxa"/>
              <w:right w:w="100" w:type="dxa"/>
            </w:tcMar>
          </w:tcPr>
          <w:p>
            <w:pPr>
              <w:pStyle w:val="TableText"/>
            </w:pPr>
            <w:r>
              <w:rPr>
                <w:b/>
                <w:color w:val="FFFFFF"/>
                <w:sz w:val="20"/>
              </w:rPr>
              <w:t>Potential value</w:t>
            </w:r>
          </w:p>
        </w:tc>
        <w:tc>
          <w:tcPr>
            <w:tcW w:type="dxa" w:w="4392"/>
            <w:shd w:fill="A31630"/>
            <w:tcMar>
              <w:top w:w="73" w:type="dxa"/>
              <w:bottom w:w="73" w:type="dxa"/>
              <w:left w:w="100" w:type="dxa"/>
              <w:right w:w="100" w:type="dxa"/>
            </w:tcMar>
          </w:tcPr>
          <w:p>
            <w:pPr>
              <w:pStyle w:val="TableText"/>
            </w:pPr>
            <w:r>
              <w:rPr>
                <w:b/>
                <w:color w:val="FFFFFF"/>
                <w:sz w:val="20"/>
              </w:rPr>
              <w:t>What qualifies as evidence</w:t>
            </w:r>
          </w:p>
        </w:tc>
        <w:tc>
          <w:tcPr>
            <w:tcW w:type="dxa" w:w="3542"/>
            <w:shd w:fill="A31630"/>
            <w:tcMar>
              <w:top w:w="73" w:type="dxa"/>
              <w:bottom w:w="73" w:type="dxa"/>
              <w:left w:w="100" w:type="dxa"/>
              <w:right w:w="100" w:type="dxa"/>
            </w:tcMar>
          </w:tcPr>
          <w:p>
            <w:pPr>
              <w:pStyle w:val="TableText"/>
            </w:pPr>
            <w:r>
              <w:rPr>
                <w:b/>
                <w:color w:val="FFFFFF"/>
                <w:sz w:val="20"/>
              </w:rPr>
              <w:t>What must not be counted twice</w:t>
            </w:r>
          </w:p>
        </w:tc>
      </w:tr>
      <w:tr>
        <w:trPr>
          <w:cantSplit/>
        </w:trPr>
        <w:tc>
          <w:tcPr>
            <w:tcW w:type="dxa" w:w="2232"/>
            <w:vAlign w:val="top"/>
            <w:shd w:fill="F3F5F7"/>
            <w:tcMar>
              <w:top w:w="73" w:type="dxa"/>
              <w:bottom w:w="73" w:type="dxa"/>
              <w:left w:w="100" w:type="dxa"/>
              <w:right w:w="100" w:type="dxa"/>
            </w:tcMar>
          </w:tcPr>
          <w:p>
            <w:pPr>
              <w:pStyle w:val="TableText"/>
            </w:pPr>
            <w:r>
              <w:rPr>
                <w:sz w:val="19"/>
              </w:rPr>
              <w:t>Fewer serving nodes</w:t>
            </w:r>
          </w:p>
        </w:tc>
        <w:tc>
          <w:tcPr>
            <w:tcW w:type="dxa" w:w="4392"/>
            <w:vAlign w:val="top"/>
            <w:shd w:fill="F3F5F7"/>
            <w:tcMar>
              <w:top w:w="73" w:type="dxa"/>
              <w:bottom w:w="73" w:type="dxa"/>
              <w:left w:w="100" w:type="dxa"/>
              <w:right w:w="100" w:type="dxa"/>
            </w:tcMar>
          </w:tcPr>
          <w:p>
            <w:pPr>
              <w:pStyle w:val="TableText"/>
            </w:pPr>
            <w:r>
              <w:rPr>
                <w:sz w:val="19"/>
              </w:rPr>
              <w:t>Measured accepted throughput and memory capacity support fewer purchased or reserved nodes at the same failure policy.</w:t>
            </w:r>
          </w:p>
        </w:tc>
        <w:tc>
          <w:tcPr>
            <w:tcW w:type="dxa" w:w="3542"/>
            <w:vAlign w:val="top"/>
            <w:shd w:fill="F3F5F7"/>
            <w:tcMar>
              <w:top w:w="73" w:type="dxa"/>
              <w:bottom w:w="73" w:type="dxa"/>
              <w:left w:w="100" w:type="dxa"/>
              <w:right w:w="100" w:type="dxa"/>
            </w:tcMar>
          </w:tcPr>
          <w:p>
            <w:pPr>
              <w:pStyle w:val="TableText"/>
            </w:pPr>
            <w:r>
              <w:rPr>
                <w:sz w:val="19"/>
              </w:rPr>
              <w:t>Do not also charge the removed nodes’ GPUs, DRAM, and racks as separate savings.</w:t>
            </w:r>
          </w:p>
        </w:tc>
      </w:tr>
      <w:tr>
        <w:trPr>
          <w:cantSplit/>
        </w:trPr>
        <w:tc>
          <w:tcPr>
            <w:tcW w:type="dxa" w:w="2232"/>
            <w:vAlign w:val="top"/>
            <w:tcMar>
              <w:top w:w="73" w:type="dxa"/>
              <w:bottom w:w="73" w:type="dxa"/>
              <w:left w:w="100" w:type="dxa"/>
              <w:right w:w="100" w:type="dxa"/>
            </w:tcMar>
          </w:tcPr>
          <w:p>
            <w:pPr>
              <w:pStyle w:val="TableText"/>
            </w:pPr>
            <w:r>
              <w:rPr>
                <w:sz w:val="19"/>
              </w:rPr>
              <w:t>Smaller memory/accelerator allocation</w:t>
            </w:r>
          </w:p>
        </w:tc>
        <w:tc>
          <w:tcPr>
            <w:tcW w:type="dxa" w:w="4392"/>
            <w:vAlign w:val="top"/>
            <w:tcMar>
              <w:top w:w="73" w:type="dxa"/>
              <w:bottom w:w="73" w:type="dxa"/>
              <w:left w:w="100" w:type="dxa"/>
              <w:right w:w="100" w:type="dxa"/>
            </w:tcMar>
          </w:tcPr>
          <w:p>
            <w:pPr>
              <w:pStyle w:val="TableText"/>
            </w:pPr>
            <w:r>
              <w:rPr>
                <w:sz w:val="19"/>
              </w:rPr>
              <w:t>The remaining configuration can actually shed DIMMs, cards, instances, or licenses.</w:t>
            </w:r>
          </w:p>
        </w:tc>
        <w:tc>
          <w:tcPr>
            <w:tcW w:type="dxa" w:w="3542"/>
            <w:vAlign w:val="top"/>
            <w:tcMar>
              <w:top w:w="73" w:type="dxa"/>
              <w:bottom w:w="73" w:type="dxa"/>
              <w:left w:w="100" w:type="dxa"/>
              <w:right w:w="100" w:type="dxa"/>
            </w:tcMar>
          </w:tcPr>
          <w:p>
            <w:pPr>
              <w:pStyle w:val="TableText"/>
            </w:pPr>
            <w:r>
              <w:rPr>
                <w:sz w:val="19"/>
              </w:rPr>
              <w:t>Unused but still purchased GPU memory is not immediate cash savings.</w:t>
            </w:r>
          </w:p>
        </w:tc>
      </w:tr>
      <w:tr>
        <w:trPr>
          <w:cantSplit/>
        </w:trPr>
        <w:tc>
          <w:tcPr>
            <w:tcW w:type="dxa" w:w="2232"/>
            <w:vAlign w:val="top"/>
            <w:shd w:fill="F3F5F7"/>
            <w:tcMar>
              <w:top w:w="73" w:type="dxa"/>
              <w:bottom w:w="73" w:type="dxa"/>
              <w:left w:w="100" w:type="dxa"/>
              <w:right w:w="100" w:type="dxa"/>
            </w:tcMar>
          </w:tcPr>
          <w:p>
            <w:pPr>
              <w:pStyle w:val="TableText"/>
            </w:pPr>
            <w:r>
              <w:rPr>
                <w:sz w:val="19"/>
              </w:rPr>
              <w:t>Lower energy</w:t>
            </w:r>
          </w:p>
        </w:tc>
        <w:tc>
          <w:tcPr>
            <w:tcW w:type="dxa" w:w="4392"/>
            <w:vAlign w:val="top"/>
            <w:shd w:fill="F3F5F7"/>
            <w:tcMar>
              <w:top w:w="73" w:type="dxa"/>
              <w:bottom w:w="73" w:type="dxa"/>
              <w:left w:w="100" w:type="dxa"/>
              <w:right w:w="100" w:type="dxa"/>
            </w:tcMar>
          </w:tcPr>
          <w:p>
            <w:pPr>
              <w:pStyle w:val="TableText"/>
            </w:pPr>
            <w:r>
              <w:rPr>
                <w:sz w:val="19"/>
              </w:rPr>
              <w:t>Meter complete-node energy at realistic demand, including idle and recovery behavior.</w:t>
            </w:r>
          </w:p>
        </w:tc>
        <w:tc>
          <w:tcPr>
            <w:tcW w:type="dxa" w:w="3542"/>
            <w:vAlign w:val="top"/>
            <w:shd w:fill="F3F5F7"/>
            <w:tcMar>
              <w:top w:w="73" w:type="dxa"/>
              <w:bottom w:w="73" w:type="dxa"/>
              <w:left w:w="100" w:type="dxa"/>
              <w:right w:w="100" w:type="dxa"/>
            </w:tcMar>
          </w:tcPr>
          <w:p>
            <w:pPr>
              <w:pStyle w:val="TableText"/>
            </w:pPr>
            <w:r>
              <w:rPr>
                <w:sz w:val="19"/>
              </w:rPr>
              <w:t>Power cap × peak QPS is not energy per accepted query. PUE energy overhead is separate from non-energy facilities costs.</w:t>
            </w:r>
          </w:p>
        </w:tc>
      </w:tr>
      <w:tr>
        <w:trPr>
          <w:cantSplit/>
        </w:trPr>
        <w:tc>
          <w:tcPr>
            <w:tcW w:type="dxa" w:w="2232"/>
            <w:vAlign w:val="top"/>
            <w:tcMar>
              <w:top w:w="73" w:type="dxa"/>
              <w:bottom w:w="73" w:type="dxa"/>
              <w:left w:w="100" w:type="dxa"/>
              <w:right w:w="100" w:type="dxa"/>
            </w:tcMar>
          </w:tcPr>
          <w:p>
            <w:pPr>
              <w:pStyle w:val="TableText"/>
            </w:pPr>
            <w:r>
              <w:rPr>
                <w:sz w:val="19"/>
              </w:rPr>
              <w:t>Less expensive ranking work</w:t>
            </w:r>
          </w:p>
        </w:tc>
        <w:tc>
          <w:tcPr>
            <w:tcW w:type="dxa" w:w="4392"/>
            <w:vAlign w:val="top"/>
            <w:tcMar>
              <w:top w:w="73" w:type="dxa"/>
              <w:bottom w:w="73" w:type="dxa"/>
              <w:left w:w="100" w:type="dxa"/>
              <w:right w:w="100" w:type="dxa"/>
            </w:tcMar>
          </w:tcPr>
          <w:p>
            <w:pPr>
              <w:pStyle w:val="TableText"/>
            </w:pPr>
            <w:r>
              <w:rPr>
                <w:sz w:val="19"/>
              </w:rPr>
              <w:t>The same quality permits fewer downstream computations and that released capacity has a valued use.</w:t>
            </w:r>
          </w:p>
        </w:tc>
        <w:tc>
          <w:tcPr>
            <w:tcW w:type="dxa" w:w="3542"/>
            <w:vAlign w:val="top"/>
            <w:tcMar>
              <w:top w:w="73" w:type="dxa"/>
              <w:bottom w:w="73" w:type="dxa"/>
              <w:left w:w="100" w:type="dxa"/>
              <w:right w:w="100" w:type="dxa"/>
            </w:tcMar>
          </w:tcPr>
          <w:p>
            <w:pPr>
              <w:pStyle w:val="TableText"/>
            </w:pPr>
            <w:r>
              <w:rPr>
                <w:sz w:val="19"/>
              </w:rPr>
              <w:t>No automatic revenue, analyst-productivity, or LLM-token saving from retrieval speed alone.</w:t>
            </w:r>
          </w:p>
        </w:tc>
      </w:tr>
      <w:tr>
        <w:trPr>
          <w:cantSplit/>
        </w:trPr>
        <w:tc>
          <w:tcPr>
            <w:tcW w:type="dxa" w:w="2232"/>
            <w:vAlign w:val="top"/>
            <w:shd w:fill="F3F5F7"/>
            <w:tcMar>
              <w:top w:w="73" w:type="dxa"/>
              <w:bottom w:w="73" w:type="dxa"/>
              <w:left w:w="100" w:type="dxa"/>
              <w:right w:w="100" w:type="dxa"/>
            </w:tcMar>
          </w:tcPr>
          <w:p>
            <w:pPr>
              <w:pStyle w:val="TableText"/>
            </w:pPr>
            <w:r>
              <w:rPr>
                <w:sz w:val="19"/>
              </w:rPr>
              <w:t>Better quality at the same cost</w:t>
            </w:r>
          </w:p>
        </w:tc>
        <w:tc>
          <w:tcPr>
            <w:tcW w:type="dxa" w:w="4392"/>
            <w:vAlign w:val="top"/>
            <w:shd w:fill="F3F5F7"/>
            <w:tcMar>
              <w:top w:w="73" w:type="dxa"/>
              <w:bottom w:w="73" w:type="dxa"/>
              <w:left w:w="100" w:type="dxa"/>
              <w:right w:w="100" w:type="dxa"/>
            </w:tcMar>
          </w:tcPr>
          <w:p>
            <w:pPr>
              <w:pStyle w:val="TableText"/>
            </w:pPr>
            <w:r>
              <w:rPr>
                <w:sz w:val="19"/>
              </w:rPr>
              <w:t>A judged service comparison establishes more relevant results inside the same constraints.</w:t>
            </w:r>
          </w:p>
        </w:tc>
        <w:tc>
          <w:tcPr>
            <w:tcW w:type="dxa" w:w="3542"/>
            <w:vAlign w:val="top"/>
            <w:shd w:fill="F3F5F7"/>
            <w:tcMar>
              <w:top w:w="73" w:type="dxa"/>
              <w:bottom w:w="73" w:type="dxa"/>
              <w:left w:w="100" w:type="dxa"/>
              <w:right w:w="100" w:type="dxa"/>
            </w:tcMar>
          </w:tcPr>
          <w:p>
            <w:pPr>
              <w:pStyle w:val="TableText"/>
            </w:pPr>
            <w:r>
              <w:rPr>
                <w:sz w:val="19"/>
              </w:rPr>
              <w:t>Identical-candidate scoring should not acquire an unexplained quality gain.</w:t>
            </w:r>
          </w:p>
        </w:tc>
      </w:tr>
      <w:tr>
        <w:trPr>
          <w:cantSplit/>
        </w:trPr>
        <w:tc>
          <w:tcPr>
            <w:tcW w:type="dxa" w:w="2232"/>
            <w:vAlign w:val="top"/>
            <w:tcMar>
              <w:top w:w="73" w:type="dxa"/>
              <w:bottom w:w="73" w:type="dxa"/>
              <w:left w:w="100" w:type="dxa"/>
              <w:right w:w="100" w:type="dxa"/>
            </w:tcMar>
          </w:tcPr>
          <w:p>
            <w:pPr>
              <w:pStyle w:val="TableText"/>
            </w:pPr>
            <w:r>
              <w:rPr>
                <w:sz w:val="19"/>
              </w:rPr>
              <w:t>Simpler operation</w:t>
            </w:r>
          </w:p>
        </w:tc>
        <w:tc>
          <w:tcPr>
            <w:tcW w:type="dxa" w:w="4392"/>
            <w:vAlign w:val="top"/>
            <w:tcMar>
              <w:top w:w="73" w:type="dxa"/>
              <w:bottom w:w="73" w:type="dxa"/>
              <w:left w:w="100" w:type="dxa"/>
              <w:right w:w="100" w:type="dxa"/>
            </w:tcMar>
          </w:tcPr>
          <w:p>
            <w:pPr>
              <w:pStyle w:val="TableText"/>
            </w:pPr>
            <w:r>
              <w:rPr>
                <w:sz w:val="19"/>
              </w:rPr>
              <w:t>Observed engineering effort, supported updates, and recovery improve the operating budget.</w:t>
            </w:r>
          </w:p>
        </w:tc>
        <w:tc>
          <w:tcPr>
            <w:tcW w:type="dxa" w:w="3542"/>
            <w:vAlign w:val="top"/>
            <w:tcMar>
              <w:top w:w="73" w:type="dxa"/>
              <w:bottom w:w="73" w:type="dxa"/>
              <w:left w:w="100" w:type="dxa"/>
              <w:right w:w="100" w:type="dxa"/>
            </w:tcMar>
          </w:tcPr>
          <w:p>
            <w:pPr>
              <w:pStyle w:val="TableText"/>
            </w:pPr>
            <w:r>
              <w:rPr>
                <w:sz w:val="19"/>
              </w:rPr>
              <w:t>Cold-start acceleration alone is not a steady-state product justification.</w:t>
            </w:r>
          </w:p>
        </w:tc>
      </w:tr>
    </w:tbl>
    <w:p>
      <w:pPr>
        <w:spacing w:after="20"/>
      </w:pPr>
    </w:p>
    <w:p>
      <w:pPr>
        <w:pStyle w:val="Heading2"/>
      </w:pPr>
      <w:r>
        <w:t>Use different economics for different buying situations</w:t>
      </w:r>
    </w:p>
    <w:p>
      <w:r/>
      <w:r>
        <w:rPr>
          <w:b/>
        </w:rPr>
        <w:t>New capacity or scheduled refresh:</w:t>
      </w:r>
      <w:r>
        <w:t xml:space="preserve"> compare full lifecycle cash costs of the alternatives. </w:t>
      </w:r>
      <w:r>
        <w:rPr>
          <w:b/>
        </w:rPr>
        <w:t>Existing deployed fleet:</w:t>
      </w:r>
      <w:r>
        <w:t xml:space="preserve"> use incremental cash outlays, avoidable operating spend, and timed replacement credits—not sunk acquisition costs. </w:t>
      </w:r>
      <w:r>
        <w:rPr>
          <w:b/>
        </w:rPr>
        <w:t>Managed service:</w:t>
      </w:r>
      <w:r>
        <w:t xml:space="preserve"> compare equivalent contractual service boundaries and measured demand; retail API pricing does not reveal a hyperscaler’s internal margin.</w:t>
      </w:r>
    </w:p>
    <w:tbl>
      <w:tblPr>
        <w:tblW w:type="auto" w:w="0"/>
        <w:jc w:val="center"/>
        <w:tblLayout w:type="fixed"/>
        <w:tblLook w:firstColumn="1" w:firstRow="1" w:lastColumn="0" w:lastRow="0" w:noHBand="0" w:noVBand="1" w:val="04A0"/>
      </w:tblPr>
      <w:tblGrid>
        <w:gridCol w:w="10166"/>
      </w:tblGrid>
      <w:tr>
        <w:trPr>
          <w:cantSplit/>
        </w:trPr>
        <w:tc>
          <w:tcPr>
            <w:tcW w:type="dxa" w:w="10166"/>
            <w:shd w:fill="FBEEF0"/>
            <w:tcMar>
              <w:top w:w="115" w:type="dxa"/>
              <w:bottom w:w="50" w:type="dxa"/>
              <w:left w:w="155" w:type="dxa"/>
              <w:right w:w="155" w:type="dxa"/>
            </w:tcMar>
          </w:tcPr>
          <w:p>
            <w:pPr>
              <w:spacing w:after="100"/>
            </w:pPr>
            <w:r>
              <w:rPr>
                <w:b/>
                <w:color w:val="A31630"/>
                <w:sz w:val="23"/>
              </w:rPr>
              <w:t>Three separate decisions</w:t>
            </w:r>
          </w:p>
          <w:p>
            <w:pPr>
              <w:spacing w:after="140" w:line="252" w:lineRule="auto"/>
            </w:pPr>
            <w:r>
              <w:t>1. Can the device meet the service? 2. Can the customer save enough after integration and availability reserve? 3. Can Sandisk deliver at a sustainable margin and recover development cost? Passing only one does not justify a product.</w:t>
            </w:r>
          </w:p>
        </w:tc>
      </w:tr>
    </w:tbl>
    <w:p>
      <w:pPr>
        <w:spacing w:after="20"/>
      </w:pPr>
    </w:p>
    <w:p>
      <w:pPr>
        <w:pStyle w:val="Small"/>
        <w:keepNext/>
        <w:pageBreakBefore/>
      </w:pPr>
      <w:r>
        <w:rPr>
          <w:b/>
          <w:color w:val="24586E"/>
        </w:rPr>
        <w:t>ANALYTICAL SCENARIO A2 • ALL COMMERCIAL AND PERFORMANCE INPUTS ARE ILLUSTRATIVE</w:t>
      </w:r>
    </w:p>
    <w:p>
      <w:pPr>
        <w:pStyle w:val="Heading1"/>
      </w:pPr>
      <w:r>
        <w:t>11. Worked economics: a decision model, not a forecast</w:t>
      </w:r>
    </w:p>
    <w:p>
      <w:r>
        <w:t xml:space="preserve">Here QPS means queries per second. Consider a new retrieval deployment with </w:t>
      </w:r>
      <w:r>
        <w:rPr>
          <w:b/>
        </w:rPr>
        <w:t>800 GB of distinct representations</w:t>
      </w:r>
      <w:r>
        <w:t xml:space="preserve">, </w:t>
      </w:r>
      <w:r>
        <w:rPr>
          <w:b/>
        </w:rPr>
        <w:t>4,000 peak queries/s</w:t>
      </w:r>
      <w:r>
        <w:t xml:space="preserve">, and </w:t>
      </w:r>
      <w:r>
        <w:rPr>
          <w:b/>
        </w:rPr>
        <w:t>1,000 average accepted queries/s</w:t>
      </w:r>
      <w:r>
        <w:t>. Each serving node owns a full corpus copy. Require at least three copies normally, two after a node failure, and enough remaining capacity to serve peak demand with the stated admission reserve.</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4421"/>
        <w:gridCol w:w="2808"/>
        <w:gridCol w:w="2938"/>
      </w:tblGrid>
      <w:tr>
        <w:trPr>
          <w:tblHeader/>
          <w:cantSplit/>
        </w:trPr>
        <w:tc>
          <w:tcPr>
            <w:tcW w:type="dxa" w:w="4421"/>
            <w:shd w:fill="A31630"/>
            <w:tcMar>
              <w:top w:w="73" w:type="dxa"/>
              <w:bottom w:w="73" w:type="dxa"/>
              <w:left w:w="100" w:type="dxa"/>
              <w:right w:w="100" w:type="dxa"/>
            </w:tcMar>
          </w:tcPr>
          <w:p>
            <w:pPr>
              <w:pStyle w:val="TableText"/>
            </w:pPr>
            <w:r>
              <w:rPr>
                <w:b/>
                <w:color w:val="FFFFFF"/>
                <w:sz w:val="20"/>
              </w:rPr>
              <w:t>Input</w:t>
            </w:r>
          </w:p>
        </w:tc>
        <w:tc>
          <w:tcPr>
            <w:tcW w:type="dxa" w:w="2808"/>
            <w:shd w:fill="A31630"/>
            <w:tcMar>
              <w:top w:w="73" w:type="dxa"/>
              <w:bottom w:w="73" w:type="dxa"/>
              <w:left w:w="100" w:type="dxa"/>
              <w:right w:w="100" w:type="dxa"/>
            </w:tcMar>
          </w:tcPr>
          <w:p>
            <w:pPr>
              <w:pStyle w:val="TableText"/>
            </w:pPr>
            <w:r>
              <w:rPr>
                <w:b/>
                <w:color w:val="FFFFFF"/>
                <w:sz w:val="20"/>
              </w:rPr>
              <w:t>Conventional reference</w:t>
            </w:r>
          </w:p>
        </w:tc>
        <w:tc>
          <w:tcPr>
            <w:tcW w:type="dxa" w:w="2938"/>
            <w:shd w:fill="A31630"/>
            <w:tcMar>
              <w:top w:w="73" w:type="dxa"/>
              <w:bottom w:w="73" w:type="dxa"/>
              <w:left w:w="100" w:type="dxa"/>
              <w:right w:w="100" w:type="dxa"/>
            </w:tcMar>
          </w:tcPr>
          <w:p>
            <w:pPr>
              <w:pStyle w:val="TableText"/>
            </w:pPr>
            <w:r>
              <w:rPr>
                <w:b/>
                <w:color w:val="FFFFFF"/>
                <w:sz w:val="20"/>
              </w:rPr>
              <w:t>ATMOS candidate</w:t>
            </w:r>
          </w:p>
        </w:tc>
      </w:tr>
      <w:tr>
        <w:trPr>
          <w:cantSplit/>
        </w:trPr>
        <w:tc>
          <w:tcPr>
            <w:tcW w:type="dxa" w:w="4421"/>
            <w:vAlign w:val="top"/>
            <w:shd w:fill="F3F5F7"/>
            <w:tcMar>
              <w:top w:w="73" w:type="dxa"/>
              <w:bottom w:w="73" w:type="dxa"/>
              <w:left w:w="100" w:type="dxa"/>
              <w:right w:w="100" w:type="dxa"/>
            </w:tcMar>
          </w:tcPr>
          <w:p>
            <w:pPr>
              <w:pStyle w:val="TableText"/>
            </w:pPr>
            <w:r>
              <w:rPr>
                <w:sz w:val="19"/>
              </w:rPr>
              <w:t>Usable representation capacity / node</w:t>
            </w:r>
          </w:p>
        </w:tc>
        <w:tc>
          <w:tcPr>
            <w:tcW w:type="dxa" w:w="2808"/>
            <w:vAlign w:val="top"/>
            <w:shd w:fill="F3F5F7"/>
            <w:tcMar>
              <w:top w:w="73" w:type="dxa"/>
              <w:bottom w:w="73" w:type="dxa"/>
              <w:left w:w="100" w:type="dxa"/>
              <w:right w:w="100" w:type="dxa"/>
            </w:tcMar>
          </w:tcPr>
          <w:p>
            <w:pPr>
              <w:pStyle w:val="TableText"/>
            </w:pPr>
            <w:r>
              <w:rPr>
                <w:sz w:val="19"/>
              </w:rPr>
              <w:t>800 GB assumed; actual architecture to be quoted</w:t>
            </w:r>
          </w:p>
        </w:tc>
        <w:tc>
          <w:tcPr>
            <w:tcW w:type="dxa" w:w="2938"/>
            <w:vAlign w:val="top"/>
            <w:shd w:fill="F3F5F7"/>
            <w:tcMar>
              <w:top w:w="73" w:type="dxa"/>
              <w:bottom w:w="73" w:type="dxa"/>
              <w:left w:w="100" w:type="dxa"/>
              <w:right w:w="100" w:type="dxa"/>
            </w:tcMar>
          </w:tcPr>
          <w:p>
            <w:pPr>
              <w:pStyle w:val="TableText"/>
            </w:pPr>
            <w:r>
              <w:rPr>
                <w:sz w:val="19"/>
              </w:rPr>
              <w:t>8 devices × 100 GB budget = 800 GB</w:t>
            </w:r>
          </w:p>
        </w:tc>
      </w:tr>
      <w:tr>
        <w:trPr>
          <w:cantSplit/>
        </w:trPr>
        <w:tc>
          <w:tcPr>
            <w:tcW w:type="dxa" w:w="4421"/>
            <w:vAlign w:val="top"/>
            <w:tcMar>
              <w:top w:w="73" w:type="dxa"/>
              <w:bottom w:w="73" w:type="dxa"/>
              <w:left w:w="100" w:type="dxa"/>
              <w:right w:w="100" w:type="dxa"/>
            </w:tcMar>
          </w:tcPr>
          <w:p>
            <w:pPr>
              <w:pStyle w:val="TableText"/>
            </w:pPr>
            <w:r>
              <w:rPr>
                <w:sz w:val="19"/>
              </w:rPr>
              <w:t>Qualified node rate before additional reserve</w:t>
            </w:r>
          </w:p>
        </w:tc>
        <w:tc>
          <w:tcPr>
            <w:tcW w:type="dxa" w:w="2808"/>
            <w:vAlign w:val="top"/>
            <w:tcMar>
              <w:top w:w="73" w:type="dxa"/>
              <w:bottom w:w="73" w:type="dxa"/>
              <w:left w:w="100" w:type="dxa"/>
              <w:right w:w="100" w:type="dxa"/>
            </w:tcMar>
          </w:tcPr>
          <w:p>
            <w:pPr>
              <w:pStyle w:val="TableText"/>
            </w:pPr>
            <w:r>
              <w:rPr>
                <w:sz w:val="19"/>
              </w:rPr>
              <w:t>2,500 QPS assumed</w:t>
            </w:r>
          </w:p>
        </w:tc>
        <w:tc>
          <w:tcPr>
            <w:tcW w:type="dxa" w:w="2938"/>
            <w:vAlign w:val="top"/>
            <w:tcMar>
              <w:top w:w="73" w:type="dxa"/>
              <w:bottom w:w="73" w:type="dxa"/>
              <w:left w:w="100" w:type="dxa"/>
              <w:right w:w="100" w:type="dxa"/>
            </w:tcMar>
          </w:tcPr>
          <w:p>
            <w:pPr>
              <w:pStyle w:val="TableText"/>
            </w:pPr>
            <w:r>
              <w:rPr>
                <w:sz w:val="19"/>
              </w:rPr>
              <w:t>3,500 QPS assumed—not derived from HBF bandwidth</w:t>
            </w:r>
          </w:p>
        </w:tc>
      </w:tr>
      <w:tr>
        <w:trPr>
          <w:cantSplit/>
        </w:trPr>
        <w:tc>
          <w:tcPr>
            <w:tcW w:type="dxa" w:w="4421"/>
            <w:vAlign w:val="top"/>
            <w:shd w:fill="F3F5F7"/>
            <w:tcMar>
              <w:top w:w="73" w:type="dxa"/>
              <w:bottom w:w="73" w:type="dxa"/>
              <w:left w:w="100" w:type="dxa"/>
              <w:right w:w="100" w:type="dxa"/>
            </w:tcMar>
          </w:tcPr>
          <w:p>
            <w:pPr>
              <w:pStyle w:val="TableText"/>
            </w:pPr>
            <w:r>
              <w:rPr>
                <w:sz w:val="19"/>
              </w:rPr>
              <w:t>Rate used for sizing</w:t>
            </w:r>
          </w:p>
        </w:tc>
        <w:tc>
          <w:tcPr>
            <w:tcW w:type="dxa" w:w="2808"/>
            <w:vAlign w:val="top"/>
            <w:shd w:fill="F3F5F7"/>
            <w:tcMar>
              <w:top w:w="73" w:type="dxa"/>
              <w:bottom w:w="73" w:type="dxa"/>
              <w:left w:w="100" w:type="dxa"/>
              <w:right w:w="100" w:type="dxa"/>
            </w:tcMar>
          </w:tcPr>
          <w:p>
            <w:pPr>
              <w:pStyle w:val="TableText"/>
            </w:pPr>
            <w:r>
              <w:rPr>
                <w:sz w:val="19"/>
              </w:rPr>
              <w:t>70% × 2,500 = 1,750 QPS</w:t>
            </w:r>
          </w:p>
        </w:tc>
        <w:tc>
          <w:tcPr>
            <w:tcW w:type="dxa" w:w="2938"/>
            <w:vAlign w:val="top"/>
            <w:shd w:fill="F3F5F7"/>
            <w:tcMar>
              <w:top w:w="73" w:type="dxa"/>
              <w:bottom w:w="73" w:type="dxa"/>
              <w:left w:w="100" w:type="dxa"/>
              <w:right w:w="100" w:type="dxa"/>
            </w:tcMar>
          </w:tcPr>
          <w:p>
            <w:pPr>
              <w:pStyle w:val="TableText"/>
            </w:pPr>
            <w:r>
              <w:rPr>
                <w:sz w:val="19"/>
              </w:rPr>
              <w:t>70% × 3,500 = 2,450 QPS</w:t>
            </w:r>
          </w:p>
        </w:tc>
      </w:tr>
      <w:tr>
        <w:trPr>
          <w:cantSplit/>
        </w:trPr>
        <w:tc>
          <w:tcPr>
            <w:tcW w:type="dxa" w:w="4421"/>
            <w:vAlign w:val="top"/>
            <w:tcMar>
              <w:top w:w="73" w:type="dxa"/>
              <w:bottom w:w="73" w:type="dxa"/>
              <w:left w:w="100" w:type="dxa"/>
              <w:right w:w="100" w:type="dxa"/>
            </w:tcMar>
          </w:tcPr>
          <w:p>
            <w:pPr>
              <w:pStyle w:val="TableText"/>
            </w:pPr>
            <w:r>
              <w:rPr>
                <w:sz w:val="19"/>
              </w:rPr>
              <w:t>Nodes including one-node-loss capacity</w:t>
            </w:r>
          </w:p>
        </w:tc>
        <w:tc>
          <w:tcPr>
            <w:tcW w:type="dxa" w:w="2808"/>
            <w:vAlign w:val="top"/>
            <w:tcMar>
              <w:top w:w="73" w:type="dxa"/>
              <w:bottom w:w="73" w:type="dxa"/>
              <w:left w:w="100" w:type="dxa"/>
              <w:right w:w="100" w:type="dxa"/>
            </w:tcMar>
          </w:tcPr>
          <w:p>
            <w:pPr>
              <w:pStyle w:val="TableText"/>
            </w:pPr>
            <w:r>
              <w:rPr>
                <w:sz w:val="19"/>
              </w:rPr>
              <w:t>4</w:t>
            </w:r>
          </w:p>
        </w:tc>
        <w:tc>
          <w:tcPr>
            <w:tcW w:type="dxa" w:w="2938"/>
            <w:vAlign w:val="top"/>
            <w:tcMar>
              <w:top w:w="73" w:type="dxa"/>
              <w:bottom w:w="73" w:type="dxa"/>
              <w:left w:w="100" w:type="dxa"/>
              <w:right w:w="100" w:type="dxa"/>
            </w:tcMar>
          </w:tcPr>
          <w:p>
            <w:pPr>
              <w:pStyle w:val="TableText"/>
            </w:pPr>
            <w:r>
              <w:rPr>
                <w:sz w:val="19"/>
              </w:rPr>
              <w:t>3; 24 devices installed</w:t>
            </w:r>
          </w:p>
        </w:tc>
      </w:tr>
      <w:tr>
        <w:trPr>
          <w:cantSplit/>
        </w:trPr>
        <w:tc>
          <w:tcPr>
            <w:tcW w:type="dxa" w:w="4421"/>
            <w:vAlign w:val="top"/>
            <w:shd w:fill="F3F5F7"/>
            <w:tcMar>
              <w:top w:w="73" w:type="dxa"/>
              <w:bottom w:w="73" w:type="dxa"/>
              <w:left w:w="100" w:type="dxa"/>
              <w:right w:w="100" w:type="dxa"/>
            </w:tcMar>
          </w:tcPr>
          <w:p>
            <w:pPr>
              <w:pStyle w:val="TableText"/>
            </w:pPr>
            <w:r>
              <w:rPr>
                <w:sz w:val="19"/>
              </w:rPr>
              <w:t>Hardware price / node</w:t>
            </w:r>
          </w:p>
        </w:tc>
        <w:tc>
          <w:tcPr>
            <w:tcW w:type="dxa" w:w="2808"/>
            <w:vAlign w:val="top"/>
            <w:shd w:fill="F3F5F7"/>
            <w:tcMar>
              <w:top w:w="73" w:type="dxa"/>
              <w:bottom w:w="73" w:type="dxa"/>
              <w:left w:w="100" w:type="dxa"/>
              <w:right w:w="100" w:type="dxa"/>
            </w:tcMar>
          </w:tcPr>
          <w:p>
            <w:pPr>
              <w:pStyle w:val="TableText"/>
            </w:pPr>
            <w:r>
              <w:rPr>
                <w:sz w:val="19"/>
              </w:rPr>
              <w:t>$60,000 assumed</w:t>
            </w:r>
          </w:p>
        </w:tc>
        <w:tc>
          <w:tcPr>
            <w:tcW w:type="dxa" w:w="2938"/>
            <w:vAlign w:val="top"/>
            <w:shd w:fill="F3F5F7"/>
            <w:tcMar>
              <w:top w:w="73" w:type="dxa"/>
              <w:bottom w:w="73" w:type="dxa"/>
              <w:left w:w="100" w:type="dxa"/>
              <w:right w:w="100" w:type="dxa"/>
            </w:tcMar>
          </w:tcPr>
          <w:p>
            <w:pPr>
              <w:pStyle w:val="TableText"/>
            </w:pPr>
            <w:r>
              <w:rPr>
                <w:sz w:val="19"/>
              </w:rPr>
              <w:t>$20,000 host + 8 × $2,000 devices = $36,000</w:t>
            </w:r>
          </w:p>
        </w:tc>
      </w:tr>
      <w:tr>
        <w:trPr>
          <w:cantSplit/>
        </w:trPr>
        <w:tc>
          <w:tcPr>
            <w:tcW w:type="dxa" w:w="4421"/>
            <w:vAlign w:val="top"/>
            <w:tcMar>
              <w:top w:w="73" w:type="dxa"/>
              <w:bottom w:w="73" w:type="dxa"/>
              <w:left w:w="100" w:type="dxa"/>
              <w:right w:w="100" w:type="dxa"/>
            </w:tcMar>
          </w:tcPr>
          <w:p>
            <w:pPr>
              <w:pStyle w:val="TableText"/>
            </w:pPr>
            <w:r>
              <w:rPr>
                <w:sz w:val="19"/>
              </w:rPr>
              <w:t>Mean complete-node power</w:t>
            </w:r>
          </w:p>
        </w:tc>
        <w:tc>
          <w:tcPr>
            <w:tcW w:type="dxa" w:w="2808"/>
            <w:vAlign w:val="top"/>
            <w:tcMar>
              <w:top w:w="73" w:type="dxa"/>
              <w:bottom w:w="73" w:type="dxa"/>
              <w:left w:w="100" w:type="dxa"/>
              <w:right w:w="100" w:type="dxa"/>
            </w:tcMar>
          </w:tcPr>
          <w:p>
            <w:pPr>
              <w:pStyle w:val="TableText"/>
            </w:pPr>
            <w:r>
              <w:rPr>
                <w:sz w:val="19"/>
              </w:rPr>
              <w:t>1.2 kW assumed</w:t>
            </w:r>
          </w:p>
        </w:tc>
        <w:tc>
          <w:tcPr>
            <w:tcW w:type="dxa" w:w="2938"/>
            <w:vAlign w:val="top"/>
            <w:tcMar>
              <w:top w:w="73" w:type="dxa"/>
              <w:bottom w:w="73" w:type="dxa"/>
              <w:left w:w="100" w:type="dxa"/>
              <w:right w:w="100" w:type="dxa"/>
            </w:tcMar>
          </w:tcPr>
          <w:p>
            <w:pPr>
              <w:pStyle w:val="TableText"/>
            </w:pPr>
            <w:r>
              <w:rPr>
                <w:sz w:val="19"/>
              </w:rPr>
              <w:t>0.8 kW assumed</w:t>
            </w:r>
          </w:p>
        </w:tc>
      </w:tr>
      <w:tr>
        <w:trPr>
          <w:cantSplit/>
        </w:trPr>
        <w:tc>
          <w:tcPr>
            <w:tcW w:type="dxa" w:w="4421"/>
            <w:vAlign w:val="top"/>
            <w:shd w:fill="F3F5F7"/>
            <w:tcMar>
              <w:top w:w="73" w:type="dxa"/>
              <w:bottom w:w="73" w:type="dxa"/>
              <w:left w:w="100" w:type="dxa"/>
              <w:right w:w="100" w:type="dxa"/>
            </w:tcMar>
          </w:tcPr>
          <w:p>
            <w:pPr>
              <w:pStyle w:val="TableText"/>
            </w:pPr>
            <w:r>
              <w:rPr>
                <w:sz w:val="19"/>
              </w:rPr>
              <w:t>One-time incremental integration</w:t>
            </w:r>
          </w:p>
        </w:tc>
        <w:tc>
          <w:tcPr>
            <w:tcW w:type="dxa" w:w="2808"/>
            <w:vAlign w:val="top"/>
            <w:shd w:fill="F3F5F7"/>
            <w:tcMar>
              <w:top w:w="73" w:type="dxa"/>
              <w:bottom w:w="73" w:type="dxa"/>
              <w:left w:w="100" w:type="dxa"/>
              <w:right w:w="100" w:type="dxa"/>
            </w:tcMar>
          </w:tcPr>
          <w:p>
            <w:pPr>
              <w:pStyle w:val="TableText"/>
            </w:pPr>
            <w:r>
              <w:rPr>
                <w:sz w:val="19"/>
              </w:rPr>
              <w:t>$0 for established reference</w:t>
            </w:r>
          </w:p>
        </w:tc>
        <w:tc>
          <w:tcPr>
            <w:tcW w:type="dxa" w:w="2938"/>
            <w:vAlign w:val="top"/>
            <w:shd w:fill="F3F5F7"/>
            <w:tcMar>
              <w:top w:w="73" w:type="dxa"/>
              <w:bottom w:w="73" w:type="dxa"/>
              <w:left w:w="100" w:type="dxa"/>
              <w:right w:w="100" w:type="dxa"/>
            </w:tcMar>
          </w:tcPr>
          <w:p>
            <w:pPr>
              <w:pStyle w:val="TableText"/>
            </w:pPr>
            <w:r>
              <w:rPr>
                <w:sz w:val="19"/>
              </w:rPr>
              <w:t>$60,000 assumed</w:t>
            </w:r>
          </w:p>
        </w:tc>
      </w:tr>
    </w:tbl>
    <w:p>
      <w:pPr>
        <w:spacing w:after="20"/>
      </w:pPr>
    </w:p>
    <w:p>
      <w:pPr>
        <w:pStyle w:val="Small"/>
      </w:pPr>
      <w:r>
        <w:t>Both rates assume the same refinement API, candidate semantics, quality, and proposed p99 ≤20 ms. They are not measurements, customer traffic, quotes, or forecasts. The real node must meet the requirement including fan-out, merge, and failover.</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5371"/>
        <w:gridCol w:w="2390"/>
        <w:gridCol w:w="2405"/>
      </w:tblGrid>
      <w:tr>
        <w:trPr>
          <w:tblHeader/>
          <w:cantSplit/>
        </w:trPr>
        <w:tc>
          <w:tcPr>
            <w:tcW w:type="dxa" w:w="5371"/>
            <w:shd w:fill="A31630"/>
            <w:tcMar>
              <w:top w:w="73" w:type="dxa"/>
              <w:bottom w:w="73" w:type="dxa"/>
              <w:left w:w="100" w:type="dxa"/>
              <w:right w:w="100" w:type="dxa"/>
            </w:tcMar>
          </w:tcPr>
          <w:p>
            <w:pPr>
              <w:pStyle w:val="TableText"/>
            </w:pPr>
            <w:r>
              <w:rPr>
                <w:b/>
                <w:color w:val="FFFFFF"/>
                <w:sz w:val="20"/>
              </w:rPr>
              <w:t>Three-year undiscounted cost</w:t>
            </w:r>
          </w:p>
        </w:tc>
        <w:tc>
          <w:tcPr>
            <w:tcW w:type="dxa" w:w="2390"/>
            <w:shd w:fill="A31630"/>
            <w:tcMar>
              <w:top w:w="73" w:type="dxa"/>
              <w:bottom w:w="73" w:type="dxa"/>
              <w:left w:w="100" w:type="dxa"/>
              <w:right w:w="100" w:type="dxa"/>
            </w:tcMar>
          </w:tcPr>
          <w:p>
            <w:pPr>
              <w:pStyle w:val="TableText"/>
            </w:pPr>
            <w:r>
              <w:rPr>
                <w:b/>
                <w:color w:val="FFFFFF"/>
                <w:sz w:val="20"/>
              </w:rPr>
              <w:t>Reference</w:t>
            </w:r>
          </w:p>
        </w:tc>
        <w:tc>
          <w:tcPr>
            <w:tcW w:type="dxa" w:w="2405"/>
            <w:shd w:fill="A31630"/>
            <w:tcMar>
              <w:top w:w="73" w:type="dxa"/>
              <w:bottom w:w="73" w:type="dxa"/>
              <w:left w:w="100" w:type="dxa"/>
              <w:right w:w="100" w:type="dxa"/>
            </w:tcMar>
          </w:tcPr>
          <w:p>
            <w:pPr>
              <w:pStyle w:val="TableText"/>
            </w:pPr>
            <w:r>
              <w:rPr>
                <w:b/>
                <w:color w:val="FFFFFF"/>
                <w:sz w:val="20"/>
              </w:rPr>
              <w:t>Candidate</w:t>
            </w:r>
          </w:p>
        </w:tc>
      </w:tr>
      <w:tr>
        <w:trPr>
          <w:cantSplit/>
        </w:trPr>
        <w:tc>
          <w:tcPr>
            <w:tcW w:type="dxa" w:w="5371"/>
            <w:vAlign w:val="top"/>
            <w:shd w:fill="F3F5F7"/>
            <w:tcMar>
              <w:top w:w="73" w:type="dxa"/>
              <w:bottom w:w="73" w:type="dxa"/>
              <w:left w:w="100" w:type="dxa"/>
              <w:right w:w="100" w:type="dxa"/>
            </w:tcMar>
          </w:tcPr>
          <w:p>
            <w:pPr>
              <w:pStyle w:val="TableText"/>
            </w:pPr>
            <w:r>
              <w:rPr>
                <w:sz w:val="20"/>
              </w:rPr>
              <w:t>Hardware</w:t>
            </w:r>
          </w:p>
        </w:tc>
        <w:tc>
          <w:tcPr>
            <w:tcW w:type="dxa" w:w="2390"/>
            <w:vAlign w:val="top"/>
            <w:shd w:fill="F3F5F7"/>
            <w:tcMar>
              <w:top w:w="73" w:type="dxa"/>
              <w:bottom w:w="73" w:type="dxa"/>
              <w:left w:w="100" w:type="dxa"/>
              <w:right w:w="100" w:type="dxa"/>
            </w:tcMar>
          </w:tcPr>
          <w:p>
            <w:pPr>
              <w:pStyle w:val="TableText"/>
            </w:pPr>
            <w:r>
              <w:rPr>
                <w:sz w:val="20"/>
              </w:rPr>
              <w:t>$240,000</w:t>
            </w:r>
          </w:p>
        </w:tc>
        <w:tc>
          <w:tcPr>
            <w:tcW w:type="dxa" w:w="2405"/>
            <w:vAlign w:val="top"/>
            <w:shd w:fill="F3F5F7"/>
            <w:tcMar>
              <w:top w:w="73" w:type="dxa"/>
              <w:bottom w:w="73" w:type="dxa"/>
              <w:left w:w="100" w:type="dxa"/>
              <w:right w:w="100" w:type="dxa"/>
            </w:tcMar>
          </w:tcPr>
          <w:p>
            <w:pPr>
              <w:pStyle w:val="TableText"/>
            </w:pPr>
            <w:r>
              <w:rPr>
                <w:sz w:val="20"/>
              </w:rPr>
              <w:t>$108,000</w:t>
            </w:r>
          </w:p>
        </w:tc>
      </w:tr>
      <w:tr>
        <w:trPr>
          <w:cantSplit/>
        </w:trPr>
        <w:tc>
          <w:tcPr>
            <w:tcW w:type="dxa" w:w="5371"/>
            <w:vAlign w:val="top"/>
            <w:tcMar>
              <w:top w:w="73" w:type="dxa"/>
              <w:bottom w:w="73" w:type="dxa"/>
              <w:left w:w="100" w:type="dxa"/>
              <w:right w:w="100" w:type="dxa"/>
            </w:tcMar>
          </w:tcPr>
          <w:p>
            <w:pPr>
              <w:pStyle w:val="TableText"/>
            </w:pPr>
            <w:r>
              <w:rPr>
                <w:sz w:val="20"/>
              </w:rPr>
              <w:t>Support at 12% of hardware/year</w:t>
            </w:r>
          </w:p>
        </w:tc>
        <w:tc>
          <w:tcPr>
            <w:tcW w:type="dxa" w:w="2390"/>
            <w:vAlign w:val="top"/>
            <w:tcMar>
              <w:top w:w="73" w:type="dxa"/>
              <w:bottom w:w="73" w:type="dxa"/>
              <w:left w:w="100" w:type="dxa"/>
              <w:right w:w="100" w:type="dxa"/>
            </w:tcMar>
          </w:tcPr>
          <w:p>
            <w:pPr>
              <w:pStyle w:val="TableText"/>
            </w:pPr>
            <w:r>
              <w:rPr>
                <w:sz w:val="20"/>
              </w:rPr>
              <w:t>$86,400</w:t>
            </w:r>
          </w:p>
        </w:tc>
        <w:tc>
          <w:tcPr>
            <w:tcW w:type="dxa" w:w="2405"/>
            <w:vAlign w:val="top"/>
            <w:tcMar>
              <w:top w:w="73" w:type="dxa"/>
              <w:bottom w:w="73" w:type="dxa"/>
              <w:left w:w="100" w:type="dxa"/>
              <w:right w:w="100" w:type="dxa"/>
            </w:tcMar>
          </w:tcPr>
          <w:p>
            <w:pPr>
              <w:pStyle w:val="TableText"/>
            </w:pPr>
            <w:r>
              <w:rPr>
                <w:sz w:val="20"/>
              </w:rPr>
              <w:t>$38,880</w:t>
            </w:r>
          </w:p>
        </w:tc>
      </w:tr>
      <w:tr>
        <w:trPr>
          <w:cantSplit/>
        </w:trPr>
        <w:tc>
          <w:tcPr>
            <w:tcW w:type="dxa" w:w="5371"/>
            <w:vAlign w:val="top"/>
            <w:shd w:fill="F3F5F7"/>
            <w:tcMar>
              <w:top w:w="73" w:type="dxa"/>
              <w:bottom w:w="73" w:type="dxa"/>
              <w:left w:w="100" w:type="dxa"/>
              <w:right w:w="100" w:type="dxa"/>
            </w:tcMar>
          </w:tcPr>
          <w:p>
            <w:pPr>
              <w:pStyle w:val="TableText"/>
            </w:pPr>
            <w:r>
              <w:rPr>
                <w:sz w:val="20"/>
              </w:rPr>
              <w:t>Electricity, PUE 1.3 and $0.12/kWh</w:t>
            </w:r>
          </w:p>
        </w:tc>
        <w:tc>
          <w:tcPr>
            <w:tcW w:type="dxa" w:w="2390"/>
            <w:vAlign w:val="top"/>
            <w:shd w:fill="F3F5F7"/>
            <w:tcMar>
              <w:top w:w="73" w:type="dxa"/>
              <w:bottom w:w="73" w:type="dxa"/>
              <w:left w:w="100" w:type="dxa"/>
              <w:right w:w="100" w:type="dxa"/>
            </w:tcMar>
          </w:tcPr>
          <w:p>
            <w:pPr>
              <w:pStyle w:val="TableText"/>
            </w:pPr>
            <w:r>
              <w:rPr>
                <w:sz w:val="20"/>
              </w:rPr>
              <w:t>$19,678</w:t>
            </w:r>
          </w:p>
        </w:tc>
        <w:tc>
          <w:tcPr>
            <w:tcW w:type="dxa" w:w="2405"/>
            <w:vAlign w:val="top"/>
            <w:shd w:fill="F3F5F7"/>
            <w:tcMar>
              <w:top w:w="73" w:type="dxa"/>
              <w:bottom w:w="73" w:type="dxa"/>
              <w:left w:w="100" w:type="dxa"/>
              <w:right w:w="100" w:type="dxa"/>
            </w:tcMar>
          </w:tcPr>
          <w:p>
            <w:pPr>
              <w:pStyle w:val="TableText"/>
            </w:pPr>
            <w:r>
              <w:rPr>
                <w:sz w:val="20"/>
              </w:rPr>
              <w:t>$9,839</w:t>
            </w:r>
          </w:p>
        </w:tc>
      </w:tr>
      <w:tr>
        <w:trPr>
          <w:cantSplit/>
        </w:trPr>
        <w:tc>
          <w:tcPr>
            <w:tcW w:type="dxa" w:w="5371"/>
            <w:vAlign w:val="top"/>
            <w:tcMar>
              <w:top w:w="73" w:type="dxa"/>
              <w:bottom w:w="73" w:type="dxa"/>
              <w:left w:w="100" w:type="dxa"/>
              <w:right w:w="100" w:type="dxa"/>
            </w:tcMar>
          </w:tcPr>
          <w:p>
            <w:pPr>
              <w:pStyle w:val="TableText"/>
            </w:pPr>
            <w:r>
              <w:rPr>
                <w:sz w:val="20"/>
              </w:rPr>
              <w:t>Operations + non-energy facilities</w:t>
            </w:r>
          </w:p>
        </w:tc>
        <w:tc>
          <w:tcPr>
            <w:tcW w:type="dxa" w:w="2390"/>
            <w:vAlign w:val="top"/>
            <w:tcMar>
              <w:top w:w="73" w:type="dxa"/>
              <w:bottom w:w="73" w:type="dxa"/>
              <w:left w:w="100" w:type="dxa"/>
              <w:right w:w="100" w:type="dxa"/>
            </w:tcMar>
          </w:tcPr>
          <w:p>
            <w:pPr>
              <w:pStyle w:val="TableText"/>
            </w:pPr>
            <w:r>
              <w:rPr>
                <w:sz w:val="20"/>
              </w:rPr>
              <w:t>$144,000</w:t>
            </w:r>
          </w:p>
        </w:tc>
        <w:tc>
          <w:tcPr>
            <w:tcW w:type="dxa" w:w="2405"/>
            <w:vAlign w:val="top"/>
            <w:tcMar>
              <w:top w:w="73" w:type="dxa"/>
              <w:bottom w:w="73" w:type="dxa"/>
              <w:left w:w="100" w:type="dxa"/>
              <w:right w:w="100" w:type="dxa"/>
            </w:tcMar>
          </w:tcPr>
          <w:p>
            <w:pPr>
              <w:pStyle w:val="TableText"/>
            </w:pPr>
            <w:r>
              <w:rPr>
                <w:sz w:val="20"/>
              </w:rPr>
              <w:t>$138,000</w:t>
            </w:r>
          </w:p>
        </w:tc>
      </w:tr>
      <w:tr>
        <w:trPr>
          <w:cantSplit/>
        </w:trPr>
        <w:tc>
          <w:tcPr>
            <w:tcW w:type="dxa" w:w="5371"/>
            <w:vAlign w:val="top"/>
            <w:shd w:fill="F3F5F7"/>
            <w:tcMar>
              <w:top w:w="73" w:type="dxa"/>
              <w:bottom w:w="73" w:type="dxa"/>
              <w:left w:w="100" w:type="dxa"/>
              <w:right w:w="100" w:type="dxa"/>
            </w:tcMar>
          </w:tcPr>
          <w:p>
            <w:pPr>
              <w:pStyle w:val="TableText"/>
            </w:pPr>
            <w:r>
              <w:rPr>
                <w:sz w:val="20"/>
              </w:rPr>
              <w:t>Common retrieval/source services</w:t>
            </w:r>
          </w:p>
        </w:tc>
        <w:tc>
          <w:tcPr>
            <w:tcW w:type="dxa" w:w="2390"/>
            <w:vAlign w:val="top"/>
            <w:shd w:fill="F3F5F7"/>
            <w:tcMar>
              <w:top w:w="73" w:type="dxa"/>
              <w:bottom w:w="73" w:type="dxa"/>
              <w:left w:w="100" w:type="dxa"/>
              <w:right w:w="100" w:type="dxa"/>
            </w:tcMar>
          </w:tcPr>
          <w:p>
            <w:pPr>
              <w:pStyle w:val="TableText"/>
            </w:pPr>
            <w:r>
              <w:rPr>
                <w:sz w:val="20"/>
              </w:rPr>
              <w:t>$180,000</w:t>
            </w:r>
          </w:p>
        </w:tc>
        <w:tc>
          <w:tcPr>
            <w:tcW w:type="dxa" w:w="2405"/>
            <w:vAlign w:val="top"/>
            <w:shd w:fill="F3F5F7"/>
            <w:tcMar>
              <w:top w:w="73" w:type="dxa"/>
              <w:bottom w:w="73" w:type="dxa"/>
              <w:left w:w="100" w:type="dxa"/>
              <w:right w:w="100" w:type="dxa"/>
            </w:tcMar>
          </w:tcPr>
          <w:p>
            <w:pPr>
              <w:pStyle w:val="TableText"/>
            </w:pPr>
            <w:r>
              <w:rPr>
                <w:sz w:val="20"/>
              </w:rPr>
              <w:t>$180,000</w:t>
            </w:r>
          </w:p>
        </w:tc>
      </w:tr>
      <w:tr>
        <w:trPr>
          <w:cantSplit/>
        </w:trPr>
        <w:tc>
          <w:tcPr>
            <w:tcW w:type="dxa" w:w="5371"/>
            <w:vAlign w:val="top"/>
            <w:tcMar>
              <w:top w:w="73" w:type="dxa"/>
              <w:bottom w:w="73" w:type="dxa"/>
              <w:left w:w="100" w:type="dxa"/>
              <w:right w:w="100" w:type="dxa"/>
            </w:tcMar>
          </w:tcPr>
          <w:p>
            <w:pPr>
              <w:pStyle w:val="TableText"/>
            </w:pPr>
            <w:r>
              <w:rPr>
                <w:sz w:val="20"/>
              </w:rPr>
              <w:t>Integration</w:t>
            </w:r>
          </w:p>
        </w:tc>
        <w:tc>
          <w:tcPr>
            <w:tcW w:type="dxa" w:w="2390"/>
            <w:vAlign w:val="top"/>
            <w:tcMar>
              <w:top w:w="73" w:type="dxa"/>
              <w:bottom w:w="73" w:type="dxa"/>
              <w:left w:w="100" w:type="dxa"/>
              <w:right w:w="100" w:type="dxa"/>
            </w:tcMar>
          </w:tcPr>
          <w:p>
            <w:pPr>
              <w:pStyle w:val="TableText"/>
            </w:pPr>
            <w:r>
              <w:rPr>
                <w:sz w:val="20"/>
              </w:rPr>
              <w:t>$0</w:t>
            </w:r>
          </w:p>
        </w:tc>
        <w:tc>
          <w:tcPr>
            <w:tcW w:type="dxa" w:w="2405"/>
            <w:vAlign w:val="top"/>
            <w:tcMar>
              <w:top w:w="73" w:type="dxa"/>
              <w:bottom w:w="73" w:type="dxa"/>
              <w:left w:w="100" w:type="dxa"/>
              <w:right w:w="100" w:type="dxa"/>
            </w:tcMar>
          </w:tcPr>
          <w:p>
            <w:pPr>
              <w:pStyle w:val="TableText"/>
            </w:pPr>
            <w:r>
              <w:rPr>
                <w:sz w:val="20"/>
              </w:rPr>
              <w:t>$60,000</w:t>
            </w:r>
          </w:p>
        </w:tc>
      </w:tr>
      <w:tr>
        <w:trPr>
          <w:cantSplit/>
        </w:trPr>
        <w:tc>
          <w:tcPr>
            <w:tcW w:type="dxa" w:w="5371"/>
            <w:vAlign w:val="top"/>
            <w:shd w:fill="F3F5F7"/>
            <w:tcMar>
              <w:top w:w="73" w:type="dxa"/>
              <w:bottom w:w="73" w:type="dxa"/>
              <w:left w:w="100" w:type="dxa"/>
              <w:right w:w="100" w:type="dxa"/>
            </w:tcMar>
          </w:tcPr>
          <w:p>
            <w:pPr>
              <w:pStyle w:val="TableText"/>
            </w:pPr>
            <w:r>
              <w:rPr>
                <w:sz w:val="20"/>
              </w:rPr>
            </w:r>
            <w:r>
              <w:rPr>
                <w:b/>
                <w:sz w:val="20"/>
              </w:rPr>
              <w:t>Total</w:t>
            </w:r>
            <w:r>
              <w:rPr>
                <w:sz w:val="20"/>
              </w:rPr>
            </w:r>
          </w:p>
        </w:tc>
        <w:tc>
          <w:tcPr>
            <w:tcW w:type="dxa" w:w="2390"/>
            <w:vAlign w:val="top"/>
            <w:shd w:fill="F3F5F7"/>
            <w:tcMar>
              <w:top w:w="73" w:type="dxa"/>
              <w:bottom w:w="73" w:type="dxa"/>
              <w:left w:w="100" w:type="dxa"/>
              <w:right w:w="100" w:type="dxa"/>
            </w:tcMar>
          </w:tcPr>
          <w:p>
            <w:pPr>
              <w:pStyle w:val="TableText"/>
            </w:pPr>
            <w:r>
              <w:rPr>
                <w:sz w:val="20"/>
              </w:rPr>
            </w:r>
            <w:r>
              <w:rPr>
                <w:b/>
                <w:sz w:val="20"/>
              </w:rPr>
              <w:t>$670,078</w:t>
            </w:r>
            <w:r>
              <w:rPr>
                <w:sz w:val="20"/>
              </w:rPr>
            </w:r>
          </w:p>
        </w:tc>
        <w:tc>
          <w:tcPr>
            <w:tcW w:type="dxa" w:w="2405"/>
            <w:vAlign w:val="top"/>
            <w:shd w:fill="F3F5F7"/>
            <w:tcMar>
              <w:top w:w="73" w:type="dxa"/>
              <w:bottom w:w="73" w:type="dxa"/>
              <w:left w:w="100" w:type="dxa"/>
              <w:right w:w="100" w:type="dxa"/>
            </w:tcMar>
          </w:tcPr>
          <w:p>
            <w:pPr>
              <w:pStyle w:val="TableText"/>
            </w:pPr>
            <w:r>
              <w:rPr>
                <w:sz w:val="20"/>
              </w:rPr>
            </w:r>
            <w:r>
              <w:rPr>
                <w:b/>
                <w:sz w:val="20"/>
              </w:rPr>
              <w:t>$534,719</w:t>
            </w:r>
            <w:r>
              <w:rPr>
                <w:sz w:val="20"/>
              </w:rPr>
            </w:r>
          </w:p>
        </w:tc>
      </w:tr>
    </w:tbl>
    <w:p>
      <w:pPr>
        <w:spacing w:after="20"/>
      </w:pPr>
    </w:p>
    <w:p>
      <w:r/>
      <w:r>
        <w:rPr>
          <w:b/>
        </w:rPr>
        <w:t>Conditional result: 20.2% lower accounted cost.</w:t>
      </w:r>
      <w:r>
        <w:t xml:space="preserve"> This is an illustrative viability point, not expected savings. Most of the difference comes from hardware and support, not electricity. A slower candidate or a higher price can reverse it; the next page shows those cases.</w:t>
      </w:r>
    </w:p>
    <w:p>
      <w:pPr>
        <w:pStyle w:val="Small"/>
      </w:pPr>
      <w:r>
        <w:t>Same observed service volume is the denominator. RAG/LLM generation, taxes, financing, and corporate overhead are outside this illustrative retrieval boundary. Quote every included line and add omitted differences before a buying decision. Full equations and utilization sensitivity: Appendix B.</w:t>
      </w:r>
    </w:p>
    <w:p>
      <w:pPr>
        <w:pStyle w:val="Small"/>
        <w:keepNext/>
        <w:pageBreakBefore/>
      </w:pPr>
      <w:r>
        <w:rPr>
          <w:b/>
          <w:color w:val="24586E"/>
        </w:rPr>
        <w:t>ANALYTICAL SENSITIVITY—NOT A CONFIDENCE INTERVAL</w:t>
      </w:r>
    </w:p>
    <w:p>
      <w:pPr>
        <w:pStyle w:val="Heading1"/>
      </w:pPr>
      <w:r>
        <w:t>12. What performance and price must be true?</w:t>
      </w:r>
    </w:p>
    <w:p>
      <w:r>
        <w:t>Hold the preceding workload and accounting assumptions fixed. Change only the candidate’s qualified node rate and the end-customer device price. Each cell recalculates the number of whole nodes, including failure reserve; faster rates do not remove the minimum three-copy requirement.</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3197"/>
        <w:gridCol w:w="1742"/>
        <w:gridCol w:w="1742"/>
        <w:gridCol w:w="1742"/>
        <w:gridCol w:w="1742"/>
      </w:tblGrid>
      <w:tr>
        <w:trPr>
          <w:tblHeader/>
          <w:cantSplit/>
        </w:trPr>
        <w:tc>
          <w:tcPr>
            <w:tcW w:type="dxa" w:w="3197"/>
            <w:shd w:fill="A31630"/>
            <w:tcMar>
              <w:top w:w="73" w:type="dxa"/>
              <w:bottom w:w="73" w:type="dxa"/>
              <w:left w:w="100" w:type="dxa"/>
              <w:right w:w="100" w:type="dxa"/>
            </w:tcMar>
          </w:tcPr>
          <w:p>
            <w:pPr>
              <w:pStyle w:val="TableText"/>
            </w:pPr>
            <w:r>
              <w:rPr>
                <w:b/>
                <w:color w:val="FFFFFF"/>
                <w:sz w:val="20"/>
              </w:rPr>
              <w:t>Candidate QPS / sized fleet</w:t>
            </w:r>
          </w:p>
        </w:tc>
        <w:tc>
          <w:tcPr>
            <w:tcW w:type="dxa" w:w="1742"/>
            <w:shd w:fill="A31630"/>
            <w:tcMar>
              <w:top w:w="73" w:type="dxa"/>
              <w:bottom w:w="73" w:type="dxa"/>
              <w:left w:w="100" w:type="dxa"/>
              <w:right w:w="100" w:type="dxa"/>
            </w:tcMar>
          </w:tcPr>
          <w:p>
            <w:pPr>
              <w:pStyle w:val="TableText"/>
            </w:pPr>
            <w:r>
              <w:rPr>
                <w:b/>
                <w:color w:val="FFFFFF"/>
                <w:sz w:val="20"/>
              </w:rPr>
              <w:t>$1K/device</w:t>
            </w:r>
          </w:p>
        </w:tc>
        <w:tc>
          <w:tcPr>
            <w:tcW w:type="dxa" w:w="1742"/>
            <w:shd w:fill="A31630"/>
            <w:tcMar>
              <w:top w:w="73" w:type="dxa"/>
              <w:bottom w:w="73" w:type="dxa"/>
              <w:left w:w="100" w:type="dxa"/>
              <w:right w:w="100" w:type="dxa"/>
            </w:tcMar>
          </w:tcPr>
          <w:p>
            <w:pPr>
              <w:pStyle w:val="TableText"/>
            </w:pPr>
            <w:r>
              <w:rPr>
                <w:b/>
                <w:color w:val="FFFFFF"/>
                <w:sz w:val="20"/>
              </w:rPr>
              <w:t>$2K/device</w:t>
            </w:r>
          </w:p>
        </w:tc>
        <w:tc>
          <w:tcPr>
            <w:tcW w:type="dxa" w:w="1742"/>
            <w:shd w:fill="A31630"/>
            <w:tcMar>
              <w:top w:w="73" w:type="dxa"/>
              <w:bottom w:w="73" w:type="dxa"/>
              <w:left w:w="100" w:type="dxa"/>
              <w:right w:w="100" w:type="dxa"/>
            </w:tcMar>
          </w:tcPr>
          <w:p>
            <w:pPr>
              <w:pStyle w:val="TableText"/>
            </w:pPr>
            <w:r>
              <w:rPr>
                <w:b/>
                <w:color w:val="FFFFFF"/>
                <w:sz w:val="20"/>
              </w:rPr>
              <w:t>$4K/device</w:t>
            </w:r>
          </w:p>
        </w:tc>
        <w:tc>
          <w:tcPr>
            <w:tcW w:type="dxa" w:w="1742"/>
            <w:shd w:fill="A31630"/>
            <w:tcMar>
              <w:top w:w="73" w:type="dxa"/>
              <w:bottom w:w="73" w:type="dxa"/>
              <w:left w:w="100" w:type="dxa"/>
              <w:right w:w="100" w:type="dxa"/>
            </w:tcMar>
          </w:tcPr>
          <w:p>
            <w:pPr>
              <w:pStyle w:val="TableText"/>
            </w:pPr>
            <w:r>
              <w:rPr>
                <w:b/>
                <w:color w:val="FFFFFF"/>
                <w:sz w:val="20"/>
              </w:rPr>
              <w:t>$8K/device</w:t>
            </w:r>
          </w:p>
        </w:tc>
      </w:tr>
      <w:tr>
        <w:trPr>
          <w:cantSplit/>
        </w:trPr>
        <w:tc>
          <w:tcPr>
            <w:tcW w:type="dxa" w:w="3197"/>
            <w:vAlign w:val="top"/>
            <w:shd w:fill="F3F5F7"/>
            <w:tcMar>
              <w:top w:w="73" w:type="dxa"/>
              <w:bottom w:w="73" w:type="dxa"/>
              <w:left w:w="100" w:type="dxa"/>
              <w:right w:w="100" w:type="dxa"/>
            </w:tcMar>
          </w:tcPr>
          <w:p>
            <w:pPr>
              <w:pStyle w:val="TableText"/>
            </w:pPr>
            <w:r>
              <w:rPr>
                <w:sz w:val="19"/>
              </w:rPr>
              <w:t>1,000 QPS / 7 nodes</w:t>
            </w:r>
          </w:p>
        </w:tc>
        <w:tc>
          <w:tcPr>
            <w:tcW w:type="dxa" w:w="1742"/>
            <w:vAlign w:val="top"/>
            <w:shd w:fill="F3F5F7"/>
            <w:tcMar>
              <w:top w:w="73" w:type="dxa"/>
              <w:bottom w:w="73" w:type="dxa"/>
              <w:left w:w="100" w:type="dxa"/>
              <w:right w:w="100" w:type="dxa"/>
            </w:tcMar>
          </w:tcPr>
          <w:p>
            <w:pPr>
              <w:pStyle w:val="TableText"/>
            </w:pPr>
            <w:r>
              <w:rPr>
                <w:sz w:val="19"/>
              </w:rPr>
              <w:t>-3.2%</w:t>
            </w:r>
          </w:p>
        </w:tc>
        <w:tc>
          <w:tcPr>
            <w:tcW w:type="dxa" w:w="1742"/>
            <w:vAlign w:val="top"/>
            <w:shd w:fill="F3F5F7"/>
            <w:tcMar>
              <w:top w:w="73" w:type="dxa"/>
              <w:bottom w:w="73" w:type="dxa"/>
              <w:left w:w="100" w:type="dxa"/>
              <w:right w:w="100" w:type="dxa"/>
            </w:tcMar>
          </w:tcPr>
          <w:p>
            <w:pPr>
              <w:pStyle w:val="TableText"/>
            </w:pPr>
            <w:r>
              <w:rPr>
                <w:sz w:val="19"/>
              </w:rPr>
              <w:t>-14.6%</w:t>
            </w:r>
          </w:p>
        </w:tc>
        <w:tc>
          <w:tcPr>
            <w:tcW w:type="dxa" w:w="1742"/>
            <w:vAlign w:val="top"/>
            <w:shd w:fill="F3F5F7"/>
            <w:tcMar>
              <w:top w:w="73" w:type="dxa"/>
              <w:bottom w:w="73" w:type="dxa"/>
              <w:left w:w="100" w:type="dxa"/>
              <w:right w:w="100" w:type="dxa"/>
            </w:tcMar>
          </w:tcPr>
          <w:p>
            <w:pPr>
              <w:pStyle w:val="TableText"/>
            </w:pPr>
            <w:r>
              <w:rPr>
                <w:sz w:val="19"/>
              </w:rPr>
              <w:t>-37.3%</w:t>
            </w:r>
          </w:p>
        </w:tc>
        <w:tc>
          <w:tcPr>
            <w:tcW w:type="dxa" w:w="1742"/>
            <w:vAlign w:val="top"/>
            <w:shd w:fill="F3F5F7"/>
            <w:tcMar>
              <w:top w:w="73" w:type="dxa"/>
              <w:bottom w:w="73" w:type="dxa"/>
              <w:left w:w="100" w:type="dxa"/>
              <w:right w:w="100" w:type="dxa"/>
            </w:tcMar>
          </w:tcPr>
          <w:p>
            <w:pPr>
              <w:pStyle w:val="TableText"/>
            </w:pPr>
            <w:r>
              <w:rPr>
                <w:sz w:val="19"/>
              </w:rPr>
              <w:t>-82.8%</w:t>
            </w:r>
          </w:p>
        </w:tc>
      </w:tr>
      <w:tr>
        <w:trPr>
          <w:cantSplit/>
        </w:trPr>
        <w:tc>
          <w:tcPr>
            <w:tcW w:type="dxa" w:w="3197"/>
            <w:vAlign w:val="top"/>
            <w:tcMar>
              <w:top w:w="73" w:type="dxa"/>
              <w:bottom w:w="73" w:type="dxa"/>
              <w:left w:w="100" w:type="dxa"/>
              <w:right w:w="100" w:type="dxa"/>
            </w:tcMar>
          </w:tcPr>
          <w:p>
            <w:pPr>
              <w:pStyle w:val="TableText"/>
            </w:pPr>
            <w:r>
              <w:rPr>
                <w:sz w:val="19"/>
              </w:rPr>
              <w:t>2,000 QPS / 4 nodes</w:t>
            </w:r>
          </w:p>
        </w:tc>
        <w:tc>
          <w:tcPr>
            <w:tcW w:type="dxa" w:w="1742"/>
            <w:vAlign w:val="top"/>
            <w:tcMar>
              <w:top w:w="73" w:type="dxa"/>
              <w:bottom w:w="73" w:type="dxa"/>
              <w:left w:w="100" w:type="dxa"/>
              <w:right w:w="100" w:type="dxa"/>
            </w:tcMar>
          </w:tcPr>
          <w:p>
            <w:pPr>
              <w:pStyle w:val="TableText"/>
            </w:pPr>
            <w:r>
              <w:rPr>
                <w:sz w:val="19"/>
              </w:rPr>
              <w:t>+18.0%</w:t>
            </w:r>
          </w:p>
        </w:tc>
        <w:tc>
          <w:tcPr>
            <w:tcW w:type="dxa" w:w="1742"/>
            <w:vAlign w:val="top"/>
            <w:tcMar>
              <w:top w:w="73" w:type="dxa"/>
              <w:bottom w:w="73" w:type="dxa"/>
              <w:left w:w="100" w:type="dxa"/>
              <w:right w:w="100" w:type="dxa"/>
            </w:tcMar>
          </w:tcPr>
          <w:p>
            <w:pPr>
              <w:pStyle w:val="TableText"/>
            </w:pPr>
            <w:r>
              <w:rPr>
                <w:sz w:val="19"/>
              </w:rPr>
              <w:t>+11.5%</w:t>
            </w:r>
          </w:p>
        </w:tc>
        <w:tc>
          <w:tcPr>
            <w:tcW w:type="dxa" w:w="1742"/>
            <w:vAlign w:val="top"/>
            <w:tcMar>
              <w:top w:w="73" w:type="dxa"/>
              <w:bottom w:w="73" w:type="dxa"/>
              <w:left w:w="100" w:type="dxa"/>
              <w:right w:w="100" w:type="dxa"/>
            </w:tcMar>
          </w:tcPr>
          <w:p>
            <w:pPr>
              <w:pStyle w:val="TableText"/>
            </w:pPr>
            <w:r>
              <w:rPr>
                <w:sz w:val="19"/>
              </w:rPr>
              <w:t>-1.5%</w:t>
            </w:r>
          </w:p>
        </w:tc>
        <w:tc>
          <w:tcPr>
            <w:tcW w:type="dxa" w:w="1742"/>
            <w:vAlign w:val="top"/>
            <w:tcMar>
              <w:top w:w="73" w:type="dxa"/>
              <w:bottom w:w="73" w:type="dxa"/>
              <w:left w:w="100" w:type="dxa"/>
              <w:right w:w="100" w:type="dxa"/>
            </w:tcMar>
          </w:tcPr>
          <w:p>
            <w:pPr>
              <w:pStyle w:val="TableText"/>
            </w:pPr>
            <w:r>
              <w:rPr>
                <w:sz w:val="19"/>
              </w:rPr>
              <w:t>-27.5%</w:t>
            </w:r>
          </w:p>
        </w:tc>
      </w:tr>
      <w:tr>
        <w:trPr>
          <w:cantSplit/>
        </w:trPr>
        <w:tc>
          <w:tcPr>
            <w:tcW w:type="dxa" w:w="3197"/>
            <w:vAlign w:val="top"/>
            <w:shd w:fill="F3F5F7"/>
            <w:tcMar>
              <w:top w:w="73" w:type="dxa"/>
              <w:bottom w:w="73" w:type="dxa"/>
              <w:left w:w="100" w:type="dxa"/>
              <w:right w:w="100" w:type="dxa"/>
            </w:tcMar>
          </w:tcPr>
          <w:p>
            <w:pPr>
              <w:pStyle w:val="TableText"/>
            </w:pPr>
            <w:r>
              <w:rPr>
                <w:sz w:val="19"/>
              </w:rPr>
              <w:t>3,500 QPS / 3 nodes</w:t>
            </w:r>
          </w:p>
        </w:tc>
        <w:tc>
          <w:tcPr>
            <w:tcW w:type="dxa" w:w="1742"/>
            <w:vAlign w:val="top"/>
            <w:shd w:fill="F3F5F7"/>
            <w:tcMar>
              <w:top w:w="73" w:type="dxa"/>
              <w:bottom w:w="73" w:type="dxa"/>
              <w:left w:w="100" w:type="dxa"/>
              <w:right w:w="100" w:type="dxa"/>
            </w:tcMar>
          </w:tcPr>
          <w:p>
            <w:pPr>
              <w:pStyle w:val="TableText"/>
            </w:pPr>
            <w:r>
              <w:rPr>
                <w:sz w:val="19"/>
              </w:rPr>
              <w:t>+25.1%</w:t>
            </w:r>
          </w:p>
        </w:tc>
        <w:tc>
          <w:tcPr>
            <w:tcW w:type="dxa" w:w="1742"/>
            <w:vAlign w:val="top"/>
            <w:shd w:fill="F3F5F7"/>
            <w:tcMar>
              <w:top w:w="73" w:type="dxa"/>
              <w:bottom w:w="73" w:type="dxa"/>
              <w:left w:w="100" w:type="dxa"/>
              <w:right w:w="100" w:type="dxa"/>
            </w:tcMar>
          </w:tcPr>
          <w:p>
            <w:pPr>
              <w:pStyle w:val="TableText"/>
            </w:pPr>
            <w:r>
              <w:rPr>
                <w:sz w:val="19"/>
              </w:rPr>
              <w:t>+20.2%</w:t>
            </w:r>
          </w:p>
        </w:tc>
        <w:tc>
          <w:tcPr>
            <w:tcW w:type="dxa" w:w="1742"/>
            <w:vAlign w:val="top"/>
            <w:shd w:fill="F3F5F7"/>
            <w:tcMar>
              <w:top w:w="73" w:type="dxa"/>
              <w:bottom w:w="73" w:type="dxa"/>
              <w:left w:w="100" w:type="dxa"/>
              <w:right w:w="100" w:type="dxa"/>
            </w:tcMar>
          </w:tcPr>
          <w:p>
            <w:pPr>
              <w:pStyle w:val="TableText"/>
            </w:pPr>
            <w:r>
              <w:rPr>
                <w:sz w:val="19"/>
              </w:rPr>
              <w:t>+10.5%</w:t>
            </w:r>
          </w:p>
        </w:tc>
        <w:tc>
          <w:tcPr>
            <w:tcW w:type="dxa" w:w="1742"/>
            <w:vAlign w:val="top"/>
            <w:shd w:fill="F3F5F7"/>
            <w:tcMar>
              <w:top w:w="73" w:type="dxa"/>
              <w:bottom w:w="73" w:type="dxa"/>
              <w:left w:w="100" w:type="dxa"/>
              <w:right w:w="100" w:type="dxa"/>
            </w:tcMar>
          </w:tcPr>
          <w:p>
            <w:pPr>
              <w:pStyle w:val="TableText"/>
            </w:pPr>
            <w:r>
              <w:rPr>
                <w:sz w:val="19"/>
              </w:rPr>
              <w:t>-9.0%</w:t>
            </w:r>
          </w:p>
        </w:tc>
      </w:tr>
      <w:tr>
        <w:trPr>
          <w:cantSplit/>
        </w:trPr>
        <w:tc>
          <w:tcPr>
            <w:tcW w:type="dxa" w:w="3197"/>
            <w:vAlign w:val="top"/>
            <w:tcMar>
              <w:top w:w="73" w:type="dxa"/>
              <w:bottom w:w="73" w:type="dxa"/>
              <w:left w:w="100" w:type="dxa"/>
              <w:right w:w="100" w:type="dxa"/>
            </w:tcMar>
          </w:tcPr>
          <w:p>
            <w:pPr>
              <w:pStyle w:val="TableText"/>
            </w:pPr>
            <w:r>
              <w:rPr>
                <w:sz w:val="19"/>
              </w:rPr>
              <w:t>5,000 QPS / 3 nodes</w:t>
            </w:r>
          </w:p>
        </w:tc>
        <w:tc>
          <w:tcPr>
            <w:tcW w:type="dxa" w:w="1742"/>
            <w:vAlign w:val="top"/>
            <w:tcMar>
              <w:top w:w="73" w:type="dxa"/>
              <w:bottom w:w="73" w:type="dxa"/>
              <w:left w:w="100" w:type="dxa"/>
              <w:right w:w="100" w:type="dxa"/>
            </w:tcMar>
          </w:tcPr>
          <w:p>
            <w:pPr>
              <w:pStyle w:val="TableText"/>
            </w:pPr>
            <w:r>
              <w:rPr>
                <w:sz w:val="19"/>
              </w:rPr>
              <w:t>+25.1%</w:t>
            </w:r>
          </w:p>
        </w:tc>
        <w:tc>
          <w:tcPr>
            <w:tcW w:type="dxa" w:w="1742"/>
            <w:vAlign w:val="top"/>
            <w:tcMar>
              <w:top w:w="73" w:type="dxa"/>
              <w:bottom w:w="73" w:type="dxa"/>
              <w:left w:w="100" w:type="dxa"/>
              <w:right w:w="100" w:type="dxa"/>
            </w:tcMar>
          </w:tcPr>
          <w:p>
            <w:pPr>
              <w:pStyle w:val="TableText"/>
            </w:pPr>
            <w:r>
              <w:rPr>
                <w:sz w:val="19"/>
              </w:rPr>
              <w:t>+20.2%</w:t>
            </w:r>
          </w:p>
        </w:tc>
        <w:tc>
          <w:tcPr>
            <w:tcW w:type="dxa" w:w="1742"/>
            <w:vAlign w:val="top"/>
            <w:tcMar>
              <w:top w:w="73" w:type="dxa"/>
              <w:bottom w:w="73" w:type="dxa"/>
              <w:left w:w="100" w:type="dxa"/>
              <w:right w:w="100" w:type="dxa"/>
            </w:tcMar>
          </w:tcPr>
          <w:p>
            <w:pPr>
              <w:pStyle w:val="TableText"/>
            </w:pPr>
            <w:r>
              <w:rPr>
                <w:sz w:val="19"/>
              </w:rPr>
              <w:t>+10.5%</w:t>
            </w:r>
          </w:p>
        </w:tc>
        <w:tc>
          <w:tcPr>
            <w:tcW w:type="dxa" w:w="1742"/>
            <w:vAlign w:val="top"/>
            <w:tcMar>
              <w:top w:w="73" w:type="dxa"/>
              <w:bottom w:w="73" w:type="dxa"/>
              <w:left w:w="100" w:type="dxa"/>
              <w:right w:w="100" w:type="dxa"/>
            </w:tcMar>
          </w:tcPr>
          <w:p>
            <w:pPr>
              <w:pStyle w:val="TableText"/>
            </w:pPr>
            <w:r>
              <w:rPr>
                <w:sz w:val="19"/>
              </w:rPr>
              <w:t>-9.0%</w:t>
            </w:r>
          </w:p>
        </w:tc>
      </w:tr>
    </w:tbl>
    <w:p>
      <w:pPr>
        <w:spacing w:after="20"/>
      </w:pPr>
    </w:p>
    <w:p>
      <w:pPr>
        <w:pStyle w:val="Small"/>
      </w:pPr>
      <w:r>
        <w:t>Values are reduction in three-year TCO versus the $670,078 illustrative reference. Positive is cheaper; negative is more expensive. No cell is an ATMOS benchmark. More full-corpus replicas are purchased when lower QPS requires more nodes.</w:t>
      </w:r>
    </w:p>
    <w:p>
      <w:pPr>
        <w:pStyle w:val="Heading2"/>
      </w:pPr>
      <w:r>
        <w:t>The actionable result is a price ceiling</w:t>
      </w:r>
    </w:p>
    <w:p>
      <w:r>
        <w:t xml:space="preserve">At least </w:t>
      </w:r>
      <w:r>
        <w:rPr>
          <w:b/>
        </w:rPr>
        <w:t>2,858 qualified QPS/node</w:t>
      </w:r>
      <w:r>
        <w:t xml:space="preserve"> is needed to serve the 4,000-QPS peak on two surviving nodes with 70% admission. The 3,500-QPS case is one sensitivity point above that requirement. At this point, the end-customer device price must be approximately </w:t>
      </w:r>
      <w:r>
        <w:rPr>
          <w:b/>
        </w:rPr>
        <w:t>$2,041 or less</w:t>
      </w:r>
      <w:r>
        <w:t xml:space="preserve"> to retain a 20% cost reduction. Price parity is approximately </w:t>
      </w:r>
      <w:r>
        <w:rPr>
          <w:b/>
        </w:rPr>
        <w:t>$6,147/device</w:t>
      </w:r>
      <w:r>
        <w:t>, but parity alone may not justify adoption risk. These thresholds already include the stated host, support, energy, integration, and common-service costs. [A2]</w:t>
      </w:r>
    </w:p>
    <w:p>
      <w:pPr>
        <w:pStyle w:val="Heading2"/>
      </w:pPr>
      <w:r>
        <w:t>Why the margin is not yet comfortable</w:t>
      </w:r>
    </w:p>
    <w:p>
      <w:r>
        <w:t>The $2,000 example sits only about $41/device below the 20%-saving ceiling. The example therefore illustrates a narrow decision boundary, not a robust product case. Engineering overhead, a larger reserve, a cheaper incumbent, or more costly integration can remove the margin.</w:t>
      </w:r>
    </w:p>
    <w:p>
      <w:r>
        <w:t>At 2,000 QPS/node and $2,000/device, cost reduction falls to about 11.5%. At 1,000 QPS/node it becomes a 14.6% cost increase. At 5,000 QPS/node the three-copy minimum prevents further node reduction in this scenario.</w:t>
      </w:r>
    </w:p>
    <w:tbl>
      <w:tblPr>
        <w:tblW w:type="auto" w:w="0"/>
        <w:jc w:val="center"/>
        <w:tblLayout w:type="fixed"/>
        <w:tblLook w:firstColumn="1" w:firstRow="1" w:lastColumn="0" w:lastRow="0" w:noHBand="0" w:noVBand="1" w:val="04A0"/>
      </w:tblPr>
      <w:tblGrid>
        <w:gridCol w:w="10166"/>
      </w:tblGrid>
      <w:tr>
        <w:trPr>
          <w:cantSplit/>
        </w:trPr>
        <w:tc>
          <w:tcPr>
            <w:tcW w:type="dxa" w:w="10166"/>
            <w:shd w:fill="FBEEF0"/>
            <w:tcMar>
              <w:top w:w="115" w:type="dxa"/>
              <w:bottom w:w="50" w:type="dxa"/>
              <w:left w:w="155" w:type="dxa"/>
              <w:right w:w="155" w:type="dxa"/>
            </w:tcMar>
          </w:tcPr>
          <w:p>
            <w:pPr>
              <w:spacing w:after="100"/>
            </w:pPr>
            <w:r>
              <w:rPr>
                <w:b/>
                <w:color w:val="A31630"/>
                <w:sz w:val="23"/>
              </w:rPr>
              <w:t>What Finance and performance engineering must produce</w:t>
            </w:r>
          </w:p>
          <w:p>
            <w:pPr>
              <w:spacing w:after="140" w:line="252" w:lineRule="auto"/>
            </w:pPr>
            <w:r>
              <w:t>A quote-backed feasible region across realistic load, quality, node-loss operation, device price, support cost, and competitor improvements. Advance only when a material region survives—not when one optimistic point is favorable.</w:t>
            </w:r>
          </w:p>
        </w:tc>
      </w:tr>
    </w:tbl>
    <w:p>
      <w:pPr>
        <w:spacing w:after="20"/>
      </w:pPr>
    </w:p>
    <w:p>
      <w:pPr>
        <w:pStyle w:val="Heading2"/>
      </w:pPr>
      <w:r>
        <w:t>Power and utilization are separate checks</w:t>
      </w:r>
    </w:p>
    <w:p>
      <w:r>
        <w:t>With 0.8 kW candidate and 1.2 kW reference node power, per-node energy parity requires candidate accepted throughput above two-thirds of reference throughput at the compared load. The true fleet comparison must use measured load-dependent node energy, including idle capacity and failure reserve. [A2]</w:t>
      </w:r>
    </w:p>
    <w:p>
      <w:pPr>
        <w:pStyle w:val="Small"/>
        <w:keepNext/>
        <w:pageBreakBefore/>
      </w:pPr>
      <w:r>
        <w:rPr>
          <w:b/>
          <w:color w:val="24586E"/>
        </w:rPr>
        <w:t>THE CUSTOMER PRICE CEILING MUST EXCEED THE PRODUCT COST FLOOR</w:t>
      </w:r>
    </w:p>
    <w:p>
      <w:pPr>
        <w:pStyle w:val="Heading1"/>
      </w:pPr>
      <w:r>
        <w:t>13. Sandisk economics and commercial model</w:t>
      </w:r>
    </w:p>
    <w:p>
      <w:r>
        <w:t>Use the preceding end-customer price ceiling with a separate supplier model. For illustration only, assume a 20% OEM/channel discount and a 40% minimum hardware gross margin. These are not Sandisk policies, negotiated terms, or a quoted bill of materials.</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3816"/>
        <w:gridCol w:w="3067"/>
        <w:gridCol w:w="3283"/>
      </w:tblGrid>
      <w:tr>
        <w:trPr>
          <w:tblHeader/>
          <w:cantSplit/>
        </w:trPr>
        <w:tc>
          <w:tcPr>
            <w:tcW w:type="dxa" w:w="3816"/>
            <w:shd w:fill="A31630"/>
            <w:tcMar>
              <w:top w:w="73" w:type="dxa"/>
              <w:bottom w:w="73" w:type="dxa"/>
              <w:left w:w="100" w:type="dxa"/>
              <w:right w:w="100" w:type="dxa"/>
            </w:tcMar>
          </w:tcPr>
          <w:p>
            <w:pPr>
              <w:pStyle w:val="TableText"/>
            </w:pPr>
            <w:r>
              <w:rPr>
                <w:b/>
                <w:color w:val="FFFFFF"/>
                <w:sz w:val="20"/>
              </w:rPr>
              <w:t>Illustrative fully burdened unit cost</w:t>
            </w:r>
          </w:p>
        </w:tc>
        <w:tc>
          <w:tcPr>
            <w:tcW w:type="dxa" w:w="3067"/>
            <w:shd w:fill="A31630"/>
            <w:tcMar>
              <w:top w:w="73" w:type="dxa"/>
              <w:bottom w:w="73" w:type="dxa"/>
              <w:left w:w="100" w:type="dxa"/>
              <w:right w:w="100" w:type="dxa"/>
            </w:tcMar>
          </w:tcPr>
          <w:p>
            <w:pPr>
              <w:pStyle w:val="TableText"/>
            </w:pPr>
            <w:r>
              <w:rPr>
                <w:b/>
                <w:color w:val="FFFFFF"/>
                <w:sz w:val="20"/>
              </w:rPr>
              <w:t>Required end-customer price</w:t>
            </w:r>
          </w:p>
        </w:tc>
        <w:tc>
          <w:tcPr>
            <w:tcW w:type="dxa" w:w="3283"/>
            <w:shd w:fill="A31630"/>
            <w:tcMar>
              <w:top w:w="73" w:type="dxa"/>
              <w:bottom w:w="73" w:type="dxa"/>
              <w:left w:w="100" w:type="dxa"/>
              <w:right w:w="100" w:type="dxa"/>
            </w:tcMar>
          </w:tcPr>
          <w:p>
            <w:pPr>
              <w:pStyle w:val="TableText"/>
            </w:pPr>
            <w:r>
              <w:rPr>
                <w:b/>
                <w:color w:val="FFFFFF"/>
                <w:sz w:val="20"/>
              </w:rPr>
              <w:t>Fits the ~$2,041 ceiling?</w:t>
            </w:r>
          </w:p>
        </w:tc>
      </w:tr>
      <w:tr>
        <w:trPr>
          <w:cantSplit/>
        </w:trPr>
        <w:tc>
          <w:tcPr>
            <w:tcW w:type="dxa" w:w="3816"/>
            <w:vAlign w:val="top"/>
            <w:shd w:fill="F3F5F7"/>
            <w:tcMar>
              <w:top w:w="73" w:type="dxa"/>
              <w:bottom w:w="73" w:type="dxa"/>
              <w:left w:w="100" w:type="dxa"/>
              <w:right w:w="100" w:type="dxa"/>
            </w:tcMar>
          </w:tcPr>
          <w:p>
            <w:pPr>
              <w:pStyle w:val="TableText"/>
            </w:pPr>
            <w:r>
              <w:rPr>
                <w:sz w:val="20"/>
              </w:rPr>
              <w:t>$450</w:t>
            </w:r>
          </w:p>
        </w:tc>
        <w:tc>
          <w:tcPr>
            <w:tcW w:type="dxa" w:w="3067"/>
            <w:vAlign w:val="top"/>
            <w:shd w:fill="F3F5F7"/>
            <w:tcMar>
              <w:top w:w="73" w:type="dxa"/>
              <w:bottom w:w="73" w:type="dxa"/>
              <w:left w:w="100" w:type="dxa"/>
              <w:right w:w="100" w:type="dxa"/>
            </w:tcMar>
          </w:tcPr>
          <w:p>
            <w:pPr>
              <w:pStyle w:val="TableText"/>
            </w:pPr>
            <w:r>
              <w:rPr>
                <w:sz w:val="20"/>
              </w:rPr>
              <w:t>$938</w:t>
            </w:r>
          </w:p>
        </w:tc>
        <w:tc>
          <w:tcPr>
            <w:tcW w:type="dxa" w:w="3283"/>
            <w:vAlign w:val="top"/>
            <w:shd w:fill="F3F5F7"/>
            <w:tcMar>
              <w:top w:w="73" w:type="dxa"/>
              <w:bottom w:w="73" w:type="dxa"/>
              <w:left w:w="100" w:type="dxa"/>
              <w:right w:w="100" w:type="dxa"/>
            </w:tcMar>
          </w:tcPr>
          <w:p>
            <w:pPr>
              <w:pStyle w:val="TableText"/>
            </w:pPr>
            <w:r>
              <w:rPr>
                <w:sz w:val="20"/>
              </w:rPr>
              <w:t>Yes, under the other scenario assumptions</w:t>
            </w:r>
          </w:p>
        </w:tc>
      </w:tr>
      <w:tr>
        <w:trPr>
          <w:cantSplit/>
        </w:trPr>
        <w:tc>
          <w:tcPr>
            <w:tcW w:type="dxa" w:w="3816"/>
            <w:vAlign w:val="top"/>
            <w:tcMar>
              <w:top w:w="73" w:type="dxa"/>
              <w:bottom w:w="73" w:type="dxa"/>
              <w:left w:w="100" w:type="dxa"/>
              <w:right w:w="100" w:type="dxa"/>
            </w:tcMar>
          </w:tcPr>
          <w:p>
            <w:pPr>
              <w:pStyle w:val="TableText"/>
            </w:pPr>
            <w:r>
              <w:rPr>
                <w:sz w:val="20"/>
              </w:rPr>
              <w:t>$800</w:t>
            </w:r>
          </w:p>
        </w:tc>
        <w:tc>
          <w:tcPr>
            <w:tcW w:type="dxa" w:w="3067"/>
            <w:vAlign w:val="top"/>
            <w:tcMar>
              <w:top w:w="73" w:type="dxa"/>
              <w:bottom w:w="73" w:type="dxa"/>
              <w:left w:w="100" w:type="dxa"/>
              <w:right w:w="100" w:type="dxa"/>
            </w:tcMar>
          </w:tcPr>
          <w:p>
            <w:pPr>
              <w:pStyle w:val="TableText"/>
            </w:pPr>
            <w:r>
              <w:rPr>
                <w:sz w:val="20"/>
              </w:rPr>
              <w:t>$1,667</w:t>
            </w:r>
          </w:p>
        </w:tc>
        <w:tc>
          <w:tcPr>
            <w:tcW w:type="dxa" w:w="3283"/>
            <w:vAlign w:val="top"/>
            <w:tcMar>
              <w:top w:w="73" w:type="dxa"/>
              <w:bottom w:w="73" w:type="dxa"/>
              <w:left w:w="100" w:type="dxa"/>
              <w:right w:w="100" w:type="dxa"/>
            </w:tcMar>
          </w:tcPr>
          <w:p>
            <w:pPr>
              <w:pStyle w:val="TableText"/>
            </w:pPr>
            <w:r>
              <w:rPr>
                <w:sz w:val="20"/>
              </w:rPr>
              <w:t>Yes, with a limited price interval</w:t>
            </w:r>
          </w:p>
        </w:tc>
      </w:tr>
      <w:tr>
        <w:trPr>
          <w:cantSplit/>
        </w:trPr>
        <w:tc>
          <w:tcPr>
            <w:tcW w:type="dxa" w:w="3816"/>
            <w:vAlign w:val="top"/>
            <w:shd w:fill="F3F5F7"/>
            <w:tcMar>
              <w:top w:w="73" w:type="dxa"/>
              <w:bottom w:w="73" w:type="dxa"/>
              <w:left w:w="100" w:type="dxa"/>
              <w:right w:w="100" w:type="dxa"/>
            </w:tcMar>
          </w:tcPr>
          <w:p>
            <w:pPr>
              <w:pStyle w:val="TableText"/>
            </w:pPr>
            <w:r>
              <w:rPr>
                <w:sz w:val="20"/>
              </w:rPr>
              <w:t>$1,100</w:t>
            </w:r>
          </w:p>
        </w:tc>
        <w:tc>
          <w:tcPr>
            <w:tcW w:type="dxa" w:w="3067"/>
            <w:vAlign w:val="top"/>
            <w:shd w:fill="F3F5F7"/>
            <w:tcMar>
              <w:top w:w="73" w:type="dxa"/>
              <w:bottom w:w="73" w:type="dxa"/>
              <w:left w:w="100" w:type="dxa"/>
              <w:right w:w="100" w:type="dxa"/>
            </w:tcMar>
          </w:tcPr>
          <w:p>
            <w:pPr>
              <w:pStyle w:val="TableText"/>
            </w:pPr>
            <w:r>
              <w:rPr>
                <w:sz w:val="20"/>
              </w:rPr>
              <w:t>$2,292</w:t>
            </w:r>
          </w:p>
        </w:tc>
        <w:tc>
          <w:tcPr>
            <w:tcW w:type="dxa" w:w="3283"/>
            <w:vAlign w:val="top"/>
            <w:shd w:fill="F3F5F7"/>
            <w:tcMar>
              <w:top w:w="73" w:type="dxa"/>
              <w:bottom w:w="73" w:type="dxa"/>
              <w:left w:w="100" w:type="dxa"/>
              <w:right w:w="100" w:type="dxa"/>
            </w:tcMar>
          </w:tcPr>
          <w:p>
            <w:pPr>
              <w:pStyle w:val="TableText"/>
            </w:pPr>
            <w:r>
              <w:rPr>
                <w:sz w:val="20"/>
              </w:rPr>
              <w:t>No at this service/TCO target</w:t>
            </w:r>
          </w:p>
        </w:tc>
      </w:tr>
    </w:tbl>
    <w:p>
      <w:pPr>
        <w:spacing w:after="20"/>
      </w:pPr>
    </w:p>
    <w:p>
      <w:pPr>
        <w:pStyle w:val="Small"/>
      </w:pPr>
      <w:r>
        <w:t>Price floor = unit cost / [(1 − channel discount) × (1 − required margin)]. Unit cost must include manufacturing/test yield, controller/NPU/LPDDR/HBF, board/package, royalties, and warranty/logistics reserves. Development cost is accounted separately, not hidden inside a component price.</w:t>
      </w:r>
    </w:p>
    <w:p>
      <w:pPr>
        <w:pStyle w:val="Heading2"/>
      </w:pPr>
      <w:r>
        <w:t>Development recovery and volume discipline</w:t>
      </w:r>
    </w:p>
    <w:p>
      <w:r>
        <w:t>At a $2,000 customer price, a 20% channel discount gives $1,600 supplier revenue. With $800 variable cost, the hardware contribution is $800/unit. Recovering an illustrative $5M or $15M of development cost would require 6,250 or 18,750 units, before ongoing fixed costs, financing, taxes, or discounting. Neither development amount is an estimate of the actual ATMOS program. [A2]</w:t>
      </w:r>
    </w:p>
    <w:p>
      <w:r>
        <w:t>A 24-device service pool contributes only $19,200 on those assumptions. Two successful pilots do not establish recoverable development economics. Confirm repeatable deployment volume, a purchasing owner, supply terms, and a support model before committing to a broad launch.</w:t>
      </w:r>
    </w:p>
    <w:p>
      <w:pPr>
        <w:pStyle w:val="Heading2"/>
      </w:pPr>
      <w:r>
        <w:t>Recommended commercial route</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952"/>
        <w:gridCol w:w="7214"/>
      </w:tblGrid>
      <w:tr>
        <w:trPr>
          <w:tblHeader/>
          <w:cantSplit/>
        </w:trPr>
        <w:tc>
          <w:tcPr>
            <w:tcW w:type="dxa" w:w="2952"/>
            <w:shd w:fill="A31630"/>
            <w:tcMar>
              <w:top w:w="73" w:type="dxa"/>
              <w:bottom w:w="73" w:type="dxa"/>
              <w:left w:w="100" w:type="dxa"/>
              <w:right w:w="100" w:type="dxa"/>
            </w:tcMar>
          </w:tcPr>
          <w:p>
            <w:pPr>
              <w:pStyle w:val="TableText"/>
            </w:pPr>
            <w:r>
              <w:rPr>
                <w:b/>
                <w:color w:val="FFFFFF"/>
                <w:sz w:val="20"/>
              </w:rPr>
              <w:t>Route</w:t>
            </w:r>
          </w:p>
        </w:tc>
        <w:tc>
          <w:tcPr>
            <w:tcW w:type="dxa" w:w="7214"/>
            <w:shd w:fill="A31630"/>
            <w:tcMar>
              <w:top w:w="73" w:type="dxa"/>
              <w:bottom w:w="73" w:type="dxa"/>
              <w:left w:w="100" w:type="dxa"/>
              <w:right w:w="100" w:type="dxa"/>
            </w:tcMar>
          </w:tcPr>
          <w:p>
            <w:pPr>
              <w:pStyle w:val="TableText"/>
            </w:pPr>
            <w:r>
              <w:rPr>
                <w:b/>
                <w:color w:val="FFFFFF"/>
                <w:sz w:val="20"/>
              </w:rPr>
              <w:t>Recommendation and boundary</w:t>
            </w:r>
          </w:p>
        </w:tc>
      </w:tr>
      <w:tr>
        <w:trPr>
          <w:cantSplit/>
        </w:trPr>
        <w:tc>
          <w:tcPr>
            <w:tcW w:type="dxa" w:w="2952"/>
            <w:vAlign w:val="top"/>
            <w:shd w:fill="F3F5F7"/>
            <w:tcMar>
              <w:top w:w="73" w:type="dxa"/>
              <w:bottom w:w="73" w:type="dxa"/>
              <w:left w:w="100" w:type="dxa"/>
              <w:right w:w="100" w:type="dxa"/>
            </w:tcMar>
          </w:tcPr>
          <w:p>
            <w:pPr>
              <w:pStyle w:val="TableText"/>
            </w:pPr>
            <w:r>
              <w:rPr>
                <w:sz w:val="20"/>
              </w:rPr>
              <w:t>Device + maintained runtime/SDK</w:t>
            </w:r>
          </w:p>
        </w:tc>
        <w:tc>
          <w:tcPr>
            <w:tcW w:type="dxa" w:w="7214"/>
            <w:vAlign w:val="top"/>
            <w:shd w:fill="F3F5F7"/>
            <w:tcMar>
              <w:top w:w="73" w:type="dxa"/>
              <w:bottom w:w="73" w:type="dxa"/>
              <w:left w:w="100" w:type="dxa"/>
              <w:right w:w="100" w:type="dxa"/>
            </w:tcMar>
          </w:tcPr>
          <w:p>
            <w:pPr>
              <w:pStyle w:val="TableText"/>
            </w:pPr>
            <w:r>
              <w:rPr>
                <w:sz w:val="20"/>
              </w:rPr>
              <w:t>Preferred initial offer through a qualified OEM. Publish the supported primitive and representation envelope, not unrestricted model compatibility.</w:t>
            </w:r>
          </w:p>
        </w:tc>
      </w:tr>
      <w:tr>
        <w:trPr>
          <w:cantSplit/>
        </w:trPr>
        <w:tc>
          <w:tcPr>
            <w:tcW w:type="dxa" w:w="2952"/>
            <w:vAlign w:val="top"/>
            <w:tcMar>
              <w:top w:w="73" w:type="dxa"/>
              <w:bottom w:w="73" w:type="dxa"/>
              <w:left w:w="100" w:type="dxa"/>
              <w:right w:w="100" w:type="dxa"/>
            </w:tcMar>
          </w:tcPr>
          <w:p>
            <w:pPr>
              <w:pStyle w:val="TableText"/>
            </w:pPr>
            <w:r>
              <w:rPr>
                <w:sz w:val="20"/>
              </w:rPr>
              <w:t>Co-engineered platform / service SKU</w:t>
            </w:r>
          </w:p>
        </w:tc>
        <w:tc>
          <w:tcPr>
            <w:tcW w:type="dxa" w:w="7214"/>
            <w:vAlign w:val="top"/>
            <w:tcMar>
              <w:top w:w="73" w:type="dxa"/>
              <w:bottom w:w="73" w:type="dxa"/>
              <w:left w:w="100" w:type="dxa"/>
              <w:right w:w="100" w:type="dxa"/>
            </w:tcMar>
          </w:tcPr>
          <w:p>
            <w:pPr>
              <w:pStyle w:val="TableText"/>
            </w:pPr>
            <w:r>
              <w:rPr>
                <w:sz w:val="20"/>
              </w:rPr>
              <w:t>Pursue after workload proof. Partner owns the service; agree support escalation and upgrade responsibilities.</w:t>
            </w:r>
          </w:p>
        </w:tc>
      </w:tr>
      <w:tr>
        <w:trPr>
          <w:cantSplit/>
        </w:trPr>
        <w:tc>
          <w:tcPr>
            <w:tcW w:type="dxa" w:w="2952"/>
            <w:vAlign w:val="top"/>
            <w:shd w:fill="F3F5F7"/>
            <w:tcMar>
              <w:top w:w="73" w:type="dxa"/>
              <w:bottom w:w="73" w:type="dxa"/>
              <w:left w:w="100" w:type="dxa"/>
              <w:right w:w="100" w:type="dxa"/>
            </w:tcMar>
          </w:tcPr>
          <w:p>
            <w:pPr>
              <w:pStyle w:val="TableText"/>
            </w:pPr>
            <w:r>
              <w:rPr>
                <w:sz w:val="20"/>
              </w:rPr>
              <w:t>Hyperscaler HBF/controller co-design</w:t>
            </w:r>
          </w:p>
        </w:tc>
        <w:tc>
          <w:tcPr>
            <w:tcW w:type="dxa" w:w="7214"/>
            <w:vAlign w:val="top"/>
            <w:shd w:fill="F3F5F7"/>
            <w:tcMar>
              <w:top w:w="73" w:type="dxa"/>
              <w:bottom w:w="73" w:type="dxa"/>
              <w:left w:w="100" w:type="dxa"/>
              <w:right w:w="100" w:type="dxa"/>
            </w:tcMar>
          </w:tcPr>
          <w:p>
            <w:pPr>
              <w:pStyle w:val="TableText"/>
            </w:pPr>
            <w:r>
              <w:rPr>
                <w:sz w:val="20"/>
              </w:rPr>
              <w:t>Keep distinct from merchant E3.S sales. A buyer may value the technology but reject the proposed device form factor.</w:t>
            </w:r>
          </w:p>
        </w:tc>
      </w:tr>
      <w:tr>
        <w:trPr>
          <w:cantSplit/>
        </w:trPr>
        <w:tc>
          <w:tcPr>
            <w:tcW w:type="dxa" w:w="2952"/>
            <w:vAlign w:val="top"/>
            <w:tcMar>
              <w:top w:w="73" w:type="dxa"/>
              <w:bottom w:w="73" w:type="dxa"/>
              <w:left w:w="100" w:type="dxa"/>
              <w:right w:w="100" w:type="dxa"/>
            </w:tcMar>
          </w:tcPr>
          <w:p>
            <w:pPr>
              <w:pStyle w:val="TableText"/>
            </w:pPr>
            <w:r>
              <w:rPr>
                <w:sz w:val="20"/>
              </w:rPr>
              <w:t>Recurring software fees</w:t>
            </w:r>
          </w:p>
        </w:tc>
        <w:tc>
          <w:tcPr>
            <w:tcW w:type="dxa" w:w="7214"/>
            <w:vAlign w:val="top"/>
            <w:tcMar>
              <w:top w:w="73" w:type="dxa"/>
              <w:bottom w:w="73" w:type="dxa"/>
              <w:left w:w="100" w:type="dxa"/>
              <w:right w:w="100" w:type="dxa"/>
            </w:tcMar>
          </w:tcPr>
          <w:p>
            <w:pPr>
              <w:pStyle w:val="TableText"/>
            </w:pPr>
            <w:r>
              <w:rPr>
                <w:sz w:val="20"/>
              </w:rPr>
              <w:t>Consider only for supported, valued operations. Do not assume a new subscription layer in the base margin case.</w:t>
            </w:r>
          </w:p>
        </w:tc>
      </w:tr>
    </w:tbl>
    <w:p>
      <w:pPr>
        <w:spacing w:after="20"/>
      </w:pPr>
    </w:p>
    <w:p>
      <w:pPr>
        <w:pStyle w:val="Small"/>
      </w:pPr>
      <w:r>
        <w:t>Evaluate contribution after any displaced Sandisk SSD revenue and support obligations. Keep unverified TAM and partner win probabilities out of the investment case; build volume from qualified accounts.</w:t>
      </w:r>
    </w:p>
    <w:p>
      <w:pPr>
        <w:pStyle w:val="Small"/>
        <w:keepNext/>
        <w:pageBreakBefore/>
      </w:pPr>
      <w:r>
        <w:rPr>
          <w:b/>
          <w:color w:val="24586E"/>
        </w:rPr>
        <w:t>RISK OWNERSHIP AND SPECIFIC RESPONSES</w:t>
      </w:r>
    </w:p>
    <w:p>
      <w:pPr>
        <w:pStyle w:val="Heading1"/>
      </w:pPr>
      <w:r>
        <w:t>14. The risks that could stop the product</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520"/>
        <w:gridCol w:w="3067"/>
        <w:gridCol w:w="4579"/>
      </w:tblGrid>
      <w:tr>
        <w:trPr>
          <w:tblHeader/>
          <w:cantSplit/>
        </w:trPr>
        <w:tc>
          <w:tcPr>
            <w:tcW w:type="dxa" w:w="2520"/>
            <w:shd w:fill="A31630"/>
            <w:tcMar>
              <w:top w:w="73" w:type="dxa"/>
              <w:bottom w:w="73" w:type="dxa"/>
              <w:left w:w="100" w:type="dxa"/>
              <w:right w:w="100" w:type="dxa"/>
            </w:tcMar>
          </w:tcPr>
          <w:p>
            <w:pPr>
              <w:pStyle w:val="TableText"/>
            </w:pPr>
            <w:r>
              <w:rPr>
                <w:b/>
                <w:color w:val="FFFFFF"/>
                <w:sz w:val="20"/>
              </w:rPr>
              <w:t>Risk</w:t>
            </w:r>
          </w:p>
        </w:tc>
        <w:tc>
          <w:tcPr>
            <w:tcW w:type="dxa" w:w="3067"/>
            <w:shd w:fill="A31630"/>
            <w:tcMar>
              <w:top w:w="73" w:type="dxa"/>
              <w:bottom w:w="73" w:type="dxa"/>
              <w:left w:w="100" w:type="dxa"/>
              <w:right w:w="100" w:type="dxa"/>
            </w:tcMar>
          </w:tcPr>
          <w:p>
            <w:pPr>
              <w:pStyle w:val="TableText"/>
            </w:pPr>
            <w:r>
              <w:rPr>
                <w:b/>
                <w:color w:val="FFFFFF"/>
                <w:sz w:val="20"/>
              </w:rPr>
              <w:t>Business consequence</w:t>
            </w:r>
          </w:p>
        </w:tc>
        <w:tc>
          <w:tcPr>
            <w:tcW w:type="dxa" w:w="4579"/>
            <w:shd w:fill="A31630"/>
            <w:tcMar>
              <w:top w:w="73" w:type="dxa"/>
              <w:bottom w:w="73" w:type="dxa"/>
              <w:left w:w="100" w:type="dxa"/>
              <w:right w:w="100" w:type="dxa"/>
            </w:tcMar>
          </w:tcPr>
          <w:p>
            <w:pPr>
              <w:pStyle w:val="TableText"/>
            </w:pPr>
            <w:r>
              <w:rPr>
                <w:b/>
                <w:color w:val="FFFFFF"/>
                <w:sz w:val="20"/>
              </w:rPr>
              <w:t>Owner and required response</w:t>
            </w:r>
          </w:p>
        </w:tc>
      </w:tr>
      <w:tr>
        <w:trPr>
          <w:cantSplit/>
        </w:trPr>
        <w:tc>
          <w:tcPr>
            <w:tcW w:type="dxa" w:w="2520"/>
            <w:vAlign w:val="top"/>
            <w:shd w:fill="F3F5F7"/>
            <w:tcMar>
              <w:top w:w="73" w:type="dxa"/>
              <w:bottom w:w="73" w:type="dxa"/>
              <w:left w:w="100" w:type="dxa"/>
              <w:right w:w="100" w:type="dxa"/>
            </w:tcMar>
          </w:tcPr>
          <w:p>
            <w:pPr>
              <w:pStyle w:val="TableText"/>
            </w:pPr>
            <w:r>
              <w:rPr>
                <w:sz w:val="19"/>
              </w:rPr>
              <w:t>HBF path is limited by NPU attachment or LPDDR</w:t>
            </w:r>
          </w:p>
        </w:tc>
        <w:tc>
          <w:tcPr>
            <w:tcW w:type="dxa" w:w="3067"/>
            <w:vAlign w:val="top"/>
            <w:shd w:fill="F3F5F7"/>
            <w:tcMar>
              <w:top w:w="73" w:type="dxa"/>
              <w:bottom w:w="73" w:type="dxa"/>
              <w:left w:w="100" w:type="dxa"/>
              <w:right w:w="100" w:type="dxa"/>
            </w:tcMar>
          </w:tcPr>
          <w:p>
            <w:pPr>
              <w:pStyle w:val="TableText"/>
            </w:pPr>
            <w:r>
              <w:rPr>
                <w:sz w:val="19"/>
              </w:rPr>
              <w:t>Capacity is present but useful data delivery is inadequate.</w:t>
            </w:r>
          </w:p>
        </w:tc>
        <w:tc>
          <w:tcPr>
            <w:tcW w:type="dxa" w:w="4579"/>
            <w:vAlign w:val="top"/>
            <w:shd w:fill="F3F5F7"/>
            <w:tcMar>
              <w:top w:w="73" w:type="dxa"/>
              <w:bottom w:w="73" w:type="dxa"/>
              <w:left w:w="100" w:type="dxa"/>
              <w:right w:w="100" w:type="dxa"/>
            </w:tcMar>
          </w:tcPr>
          <w:p>
            <w:pPr>
              <w:pStyle w:val="TableText"/>
            </w:pPr>
            <w:r>
              <w:rPr>
                <w:sz w:val="19"/>
              </w:rPr>
              <w:t>Architecture + NPU supplier: trace every hop; compare staging/bypass variants only when actually supported.</w:t>
            </w:r>
          </w:p>
        </w:tc>
      </w:tr>
      <w:tr>
        <w:trPr>
          <w:cantSplit/>
        </w:trPr>
        <w:tc>
          <w:tcPr>
            <w:tcW w:type="dxa" w:w="2520"/>
            <w:vAlign w:val="top"/>
            <w:tcMar>
              <w:top w:w="73" w:type="dxa"/>
              <w:bottom w:w="73" w:type="dxa"/>
              <w:left w:w="100" w:type="dxa"/>
              <w:right w:w="100" w:type="dxa"/>
            </w:tcMar>
          </w:tcPr>
          <w:p>
            <w:pPr>
              <w:pStyle w:val="TableText"/>
            </w:pPr>
            <w:r>
              <w:rPr>
                <w:sz w:val="19"/>
              </w:rPr>
              <w:t>Random gather or top-k is inefficient</w:t>
            </w:r>
          </w:p>
        </w:tc>
        <w:tc>
          <w:tcPr>
            <w:tcW w:type="dxa" w:w="3067"/>
            <w:vAlign w:val="top"/>
            <w:tcMar>
              <w:top w:w="73" w:type="dxa"/>
              <w:bottom w:w="73" w:type="dxa"/>
              <w:left w:w="100" w:type="dxa"/>
              <w:right w:w="100" w:type="dxa"/>
            </w:tcMar>
          </w:tcPr>
          <w:p>
            <w:pPr>
              <w:pStyle w:val="TableText"/>
            </w:pPr>
            <w:r>
              <w:rPr>
                <w:sz w:val="19"/>
              </w:rPr>
              <w:t>Search misses latency/QPS targets despite high sequential bandwidth.</w:t>
            </w:r>
          </w:p>
        </w:tc>
        <w:tc>
          <w:tcPr>
            <w:tcW w:type="dxa" w:w="4579"/>
            <w:vAlign w:val="top"/>
            <w:tcMar>
              <w:top w:w="73" w:type="dxa"/>
              <w:bottom w:w="73" w:type="dxa"/>
              <w:left w:w="100" w:type="dxa"/>
              <w:right w:w="100" w:type="dxa"/>
            </w:tcMar>
          </w:tcPr>
          <w:p>
            <w:pPr>
              <w:pStyle w:val="TableText"/>
            </w:pPr>
            <w:r>
              <w:rPr>
                <w:sz w:val="19"/>
              </w:rPr>
              <w:t>Runtime + controller: use customer access traces and primitive tests; narrow layout or reconsider compute design.</w:t>
            </w:r>
          </w:p>
        </w:tc>
      </w:tr>
      <w:tr>
        <w:trPr>
          <w:cantSplit/>
        </w:trPr>
        <w:tc>
          <w:tcPr>
            <w:tcW w:type="dxa" w:w="2520"/>
            <w:vAlign w:val="top"/>
            <w:shd w:fill="F3F5F7"/>
            <w:tcMar>
              <w:top w:w="73" w:type="dxa"/>
              <w:bottom w:w="73" w:type="dxa"/>
              <w:left w:w="100" w:type="dxa"/>
              <w:right w:w="100" w:type="dxa"/>
            </w:tcMar>
          </w:tcPr>
          <w:p>
            <w:pPr>
              <w:pStyle w:val="TableText"/>
            </w:pPr>
            <w:r>
              <w:rPr>
                <w:sz w:val="19"/>
              </w:rPr>
              <w:t>Improved compression removes the need</w:t>
            </w:r>
          </w:p>
        </w:tc>
        <w:tc>
          <w:tcPr>
            <w:tcW w:type="dxa" w:w="3067"/>
            <w:vAlign w:val="top"/>
            <w:shd w:fill="F3F5F7"/>
            <w:tcMar>
              <w:top w:w="73" w:type="dxa"/>
              <w:bottom w:w="73" w:type="dxa"/>
              <w:left w:w="100" w:type="dxa"/>
              <w:right w:w="100" w:type="dxa"/>
            </w:tcMar>
          </w:tcPr>
          <w:p>
            <w:pPr>
              <w:pStyle w:val="TableText"/>
            </w:pPr>
            <w:r>
              <w:rPr>
                <w:sz w:val="19"/>
              </w:rPr>
              <w:t>Incumbent meets relevance using far less data.</w:t>
            </w:r>
          </w:p>
        </w:tc>
        <w:tc>
          <w:tcPr>
            <w:tcW w:type="dxa" w:w="4579"/>
            <w:vAlign w:val="top"/>
            <w:shd w:fill="F3F5F7"/>
            <w:tcMar>
              <w:top w:w="73" w:type="dxa"/>
              <w:bottom w:w="73" w:type="dxa"/>
              <w:left w:w="100" w:type="dxa"/>
              <w:right w:w="100" w:type="dxa"/>
            </w:tcMar>
          </w:tcPr>
          <w:p>
            <w:pPr>
              <w:pStyle w:val="TableText"/>
            </w:pPr>
            <w:r>
              <w:rPr>
                <w:sz w:val="19"/>
              </w:rPr>
              <w:t>Search + product: rerun optimized quantization/SSD/GPU controls at each gate. Stop P1 where rescoring adds no value.</w:t>
            </w:r>
          </w:p>
        </w:tc>
      </w:tr>
      <w:tr>
        <w:trPr>
          <w:cantSplit/>
        </w:trPr>
        <w:tc>
          <w:tcPr>
            <w:tcW w:type="dxa" w:w="2520"/>
            <w:vAlign w:val="top"/>
            <w:tcMar>
              <w:top w:w="73" w:type="dxa"/>
              <w:bottom w:w="73" w:type="dxa"/>
              <w:left w:w="100" w:type="dxa"/>
              <w:right w:w="100" w:type="dxa"/>
            </w:tcMar>
          </w:tcPr>
          <w:p>
            <w:pPr>
              <w:pStyle w:val="TableText"/>
            </w:pPr>
            <w:r>
              <w:rPr>
                <w:sz w:val="19"/>
              </w:rPr>
              <w:t>Power/thermal envelope fails</w:t>
            </w:r>
          </w:p>
        </w:tc>
        <w:tc>
          <w:tcPr>
            <w:tcW w:type="dxa" w:w="3067"/>
            <w:vAlign w:val="top"/>
            <w:tcMar>
              <w:top w:w="73" w:type="dxa"/>
              <w:bottom w:w="73" w:type="dxa"/>
              <w:left w:w="100" w:type="dxa"/>
              <w:right w:w="100" w:type="dxa"/>
            </w:tcMar>
          </w:tcPr>
          <w:p>
            <w:pPr>
              <w:pStyle w:val="TableText"/>
            </w:pPr>
            <w:r>
              <w:rPr>
                <w:sz w:val="19"/>
              </w:rPr>
              <w:t>E3.S density cannot be delivered safely.</w:t>
            </w:r>
          </w:p>
        </w:tc>
        <w:tc>
          <w:tcPr>
            <w:tcW w:type="dxa" w:w="4579"/>
            <w:vAlign w:val="top"/>
            <w:tcMar>
              <w:top w:w="73" w:type="dxa"/>
              <w:bottom w:w="73" w:type="dxa"/>
              <w:left w:w="100" w:type="dxa"/>
              <w:right w:w="100" w:type="dxa"/>
            </w:tcMar>
          </w:tcPr>
          <w:p>
            <w:pPr>
              <w:pStyle w:val="TableText"/>
            </w:pPr>
            <w:r>
              <w:rPr>
                <w:sz w:val="19"/>
              </w:rPr>
              <w:t>Hardware + OEM: sustained power vehicle; evaluate 2T or another form factor. Do not promise drop-in fit.</w:t>
            </w:r>
          </w:p>
        </w:tc>
      </w:tr>
      <w:tr>
        <w:trPr>
          <w:cantSplit/>
        </w:trPr>
        <w:tc>
          <w:tcPr>
            <w:tcW w:type="dxa" w:w="2520"/>
            <w:vAlign w:val="top"/>
            <w:shd w:fill="F3F5F7"/>
            <w:tcMar>
              <w:top w:w="73" w:type="dxa"/>
              <w:bottom w:w="73" w:type="dxa"/>
              <w:left w:w="100" w:type="dxa"/>
              <w:right w:w="100" w:type="dxa"/>
            </w:tcMar>
          </w:tcPr>
          <w:p>
            <w:pPr>
              <w:pStyle w:val="TableText"/>
            </w:pPr>
            <w:r>
              <w:rPr>
                <w:sz w:val="19"/>
              </w:rPr>
              <w:t>Freshness, deletion, or isolation fails</w:t>
            </w:r>
          </w:p>
        </w:tc>
        <w:tc>
          <w:tcPr>
            <w:tcW w:type="dxa" w:w="3067"/>
            <w:vAlign w:val="top"/>
            <w:shd w:fill="F3F5F7"/>
            <w:tcMar>
              <w:top w:w="73" w:type="dxa"/>
              <w:bottom w:w="73" w:type="dxa"/>
              <w:left w:w="100" w:type="dxa"/>
              <w:right w:w="100" w:type="dxa"/>
            </w:tcMar>
          </w:tcPr>
          <w:p>
            <w:pPr>
              <w:pStyle w:val="TableText"/>
            </w:pPr>
            <w:r>
              <w:rPr>
                <w:sz w:val="19"/>
              </w:rPr>
              <w:t>Results are stale, unauthorized, or unsafe to operate.</w:t>
            </w:r>
          </w:p>
        </w:tc>
        <w:tc>
          <w:tcPr>
            <w:tcW w:type="dxa" w:w="4579"/>
            <w:vAlign w:val="top"/>
            <w:shd w:fill="F3F5F7"/>
            <w:tcMar>
              <w:top w:w="73" w:type="dxa"/>
              <w:bottom w:w="73" w:type="dxa"/>
              <w:left w:w="100" w:type="dxa"/>
              <w:right w:w="100" w:type="dxa"/>
            </w:tcMar>
          </w:tcPr>
          <w:p>
            <w:pPr>
              <w:pStyle w:val="TableText"/>
            </w:pPr>
            <w:r>
              <w:rPr>
                <w:sz w:val="19"/>
              </w:rPr>
              <w:t>Partner + firmware + security: versioned snapshots, immediate eligibility controls, rollback and data handling tests.</w:t>
            </w:r>
          </w:p>
        </w:tc>
      </w:tr>
      <w:tr>
        <w:trPr>
          <w:cantSplit/>
        </w:trPr>
        <w:tc>
          <w:tcPr>
            <w:tcW w:type="dxa" w:w="2520"/>
            <w:vAlign w:val="top"/>
            <w:tcMar>
              <w:top w:w="73" w:type="dxa"/>
              <w:bottom w:w="73" w:type="dxa"/>
              <w:left w:w="100" w:type="dxa"/>
              <w:right w:w="100" w:type="dxa"/>
            </w:tcMar>
          </w:tcPr>
          <w:p>
            <w:pPr>
              <w:pStyle w:val="TableText"/>
            </w:pPr>
            <w:r>
              <w:rPr>
                <w:sz w:val="19"/>
              </w:rPr>
              <w:t>Incumbent capacity cannot be retired</w:t>
            </w:r>
          </w:p>
        </w:tc>
        <w:tc>
          <w:tcPr>
            <w:tcW w:type="dxa" w:w="3067"/>
            <w:vAlign w:val="top"/>
            <w:tcMar>
              <w:top w:w="73" w:type="dxa"/>
              <w:bottom w:w="73" w:type="dxa"/>
              <w:left w:w="100" w:type="dxa"/>
              <w:right w:w="100" w:type="dxa"/>
            </w:tcMar>
          </w:tcPr>
          <w:p>
            <w:pPr>
              <w:pStyle w:val="TableText"/>
            </w:pPr>
            <w:r>
              <w:rPr>
                <w:sz w:val="19"/>
              </w:rPr>
              <w:t>Performance gains do not create cash savings.</w:t>
            </w:r>
          </w:p>
        </w:tc>
        <w:tc>
          <w:tcPr>
            <w:tcW w:type="dxa" w:w="4579"/>
            <w:vAlign w:val="top"/>
            <w:tcMar>
              <w:top w:w="73" w:type="dxa"/>
              <w:bottom w:w="73" w:type="dxa"/>
              <w:left w:w="100" w:type="dxa"/>
              <w:right w:w="100" w:type="dxa"/>
            </w:tcMar>
          </w:tcPr>
          <w:p>
            <w:pPr>
              <w:pStyle w:val="TableText"/>
            </w:pPr>
            <w:r>
              <w:rPr>
                <w:sz w:val="19"/>
              </w:rPr>
              <w:t>Customer finance + product: identify removable bills, refresh timing, or separately value redeployment.</w:t>
            </w:r>
          </w:p>
        </w:tc>
      </w:tr>
      <w:tr>
        <w:trPr>
          <w:cantSplit/>
        </w:trPr>
        <w:tc>
          <w:tcPr>
            <w:tcW w:type="dxa" w:w="2520"/>
            <w:vAlign w:val="top"/>
            <w:shd w:fill="F3F5F7"/>
            <w:tcMar>
              <w:top w:w="73" w:type="dxa"/>
              <w:bottom w:w="73" w:type="dxa"/>
              <w:left w:w="100" w:type="dxa"/>
              <w:right w:w="100" w:type="dxa"/>
            </w:tcMar>
          </w:tcPr>
          <w:p>
            <w:pPr>
              <w:pStyle w:val="TableText"/>
            </w:pPr>
            <w:r>
              <w:rPr>
                <w:sz w:val="19"/>
              </w:rPr>
              <w:t>Custom ASIC interface is required</w:t>
            </w:r>
          </w:p>
        </w:tc>
        <w:tc>
          <w:tcPr>
            <w:tcW w:type="dxa" w:w="3067"/>
            <w:vAlign w:val="top"/>
            <w:shd w:fill="F3F5F7"/>
            <w:tcMar>
              <w:top w:w="73" w:type="dxa"/>
              <w:bottom w:w="73" w:type="dxa"/>
              <w:left w:w="100" w:type="dxa"/>
              <w:right w:w="100" w:type="dxa"/>
            </w:tcMar>
          </w:tcPr>
          <w:p>
            <w:pPr>
              <w:pStyle w:val="TableText"/>
            </w:pPr>
            <w:r>
              <w:rPr>
                <w:sz w:val="19"/>
              </w:rPr>
              <w:t>Schedule, NRE, and supplier dependence grow materially.</w:t>
            </w:r>
          </w:p>
        </w:tc>
        <w:tc>
          <w:tcPr>
            <w:tcW w:type="dxa" w:w="4579"/>
            <w:vAlign w:val="top"/>
            <w:shd w:fill="F3F5F7"/>
            <w:tcMar>
              <w:top w:w="73" w:type="dxa"/>
              <w:bottom w:w="73" w:type="dxa"/>
              <w:left w:w="100" w:type="dxa"/>
              <w:right w:w="100" w:type="dxa"/>
            </w:tcMar>
          </w:tcPr>
          <w:p>
            <w:pPr>
              <w:pStyle w:val="TableText"/>
            </w:pPr>
            <w:r>
              <w:rPr>
                <w:sz w:val="19"/>
              </w:rPr>
              <w:t>Architecture + procurement: confirm interface rights and silicon changes before representing the plan as off-the-shelf integration.</w:t>
            </w:r>
          </w:p>
        </w:tc>
      </w:tr>
      <w:tr>
        <w:trPr>
          <w:cantSplit/>
        </w:trPr>
        <w:tc>
          <w:tcPr>
            <w:tcW w:type="dxa" w:w="2520"/>
            <w:vAlign w:val="top"/>
            <w:tcMar>
              <w:top w:w="73" w:type="dxa"/>
              <w:bottom w:w="73" w:type="dxa"/>
              <w:left w:w="100" w:type="dxa"/>
              <w:right w:w="100" w:type="dxa"/>
            </w:tcMar>
          </w:tcPr>
          <w:p>
            <w:pPr>
              <w:pStyle w:val="TableText"/>
            </w:pPr>
            <w:r>
              <w:rPr>
                <w:sz w:val="19"/>
              </w:rPr>
              <w:t>No maintained engine integration</w:t>
            </w:r>
          </w:p>
        </w:tc>
        <w:tc>
          <w:tcPr>
            <w:tcW w:type="dxa" w:w="3067"/>
            <w:vAlign w:val="top"/>
            <w:tcMar>
              <w:top w:w="73" w:type="dxa"/>
              <w:bottom w:w="73" w:type="dxa"/>
              <w:left w:w="100" w:type="dxa"/>
              <w:right w:w="100" w:type="dxa"/>
            </w:tcMar>
          </w:tcPr>
          <w:p>
            <w:pPr>
              <w:pStyle w:val="TableText"/>
            </w:pPr>
            <w:r>
              <w:rPr>
                <w:sz w:val="19"/>
              </w:rPr>
              <w:t>A demo cannot become a service.</w:t>
            </w:r>
          </w:p>
        </w:tc>
        <w:tc>
          <w:tcPr>
            <w:tcW w:type="dxa" w:w="4579"/>
            <w:vAlign w:val="top"/>
            <w:tcMar>
              <w:top w:w="73" w:type="dxa"/>
              <w:bottom w:w="73" w:type="dxa"/>
              <w:left w:w="100" w:type="dxa"/>
              <w:right w:w="100" w:type="dxa"/>
            </w:tcMar>
          </w:tcPr>
          <w:p>
            <w:pPr>
              <w:pStyle w:val="TableText"/>
            </w:pPr>
            <w:r>
              <w:rPr>
                <w:sz w:val="19"/>
              </w:rPr>
              <w:t>Partner engineering + SDK owner: demonstrate lifecycle/failure semantics and release ownership before scale testing.</w:t>
            </w:r>
          </w:p>
        </w:tc>
      </w:tr>
      <w:tr>
        <w:trPr>
          <w:cantSplit/>
        </w:trPr>
        <w:tc>
          <w:tcPr>
            <w:tcW w:type="dxa" w:w="2520"/>
            <w:vAlign w:val="top"/>
            <w:shd w:fill="F3F5F7"/>
            <w:tcMar>
              <w:top w:w="73" w:type="dxa"/>
              <w:bottom w:w="73" w:type="dxa"/>
              <w:left w:w="100" w:type="dxa"/>
              <w:right w:w="100" w:type="dxa"/>
            </w:tcMar>
          </w:tcPr>
          <w:p>
            <w:pPr>
              <w:pStyle w:val="TableText"/>
            </w:pPr>
            <w:r>
              <w:rPr>
                <w:sz w:val="19"/>
              </w:rPr>
              <w:t>Low utilization or expensive availability reserve</w:t>
            </w:r>
          </w:p>
        </w:tc>
        <w:tc>
          <w:tcPr>
            <w:tcW w:type="dxa" w:w="3067"/>
            <w:vAlign w:val="top"/>
            <w:shd w:fill="F3F5F7"/>
            <w:tcMar>
              <w:top w:w="73" w:type="dxa"/>
              <w:bottom w:w="73" w:type="dxa"/>
              <w:left w:w="100" w:type="dxa"/>
              <w:right w:w="100" w:type="dxa"/>
            </w:tcMar>
          </w:tcPr>
          <w:p>
            <w:pPr>
              <w:pStyle w:val="TableText"/>
            </w:pPr>
            <w:r>
              <w:rPr>
                <w:sz w:val="19"/>
              </w:rPr>
              <w:t>Unit economics fail outside peak benchmarks.</w:t>
            </w:r>
          </w:p>
        </w:tc>
        <w:tc>
          <w:tcPr>
            <w:tcW w:type="dxa" w:w="4579"/>
            <w:vAlign w:val="top"/>
            <w:shd w:fill="F3F5F7"/>
            <w:tcMar>
              <w:top w:w="73" w:type="dxa"/>
              <w:bottom w:w="73" w:type="dxa"/>
              <w:left w:w="100" w:type="dxa"/>
              <w:right w:w="100" w:type="dxa"/>
            </w:tcMar>
          </w:tcPr>
          <w:p>
            <w:pPr>
              <w:pStyle w:val="TableText"/>
            </w:pPr>
            <w:r>
              <w:rPr>
                <w:sz w:val="19"/>
              </w:rPr>
              <w:t>SRE + finance: test demand traces and node loss; recalculate cost with installed idle/reserve capacity.</w:t>
            </w:r>
          </w:p>
        </w:tc>
      </w:tr>
      <w:tr>
        <w:trPr>
          <w:cantSplit/>
        </w:trPr>
        <w:tc>
          <w:tcPr>
            <w:tcW w:type="dxa" w:w="2520"/>
            <w:vAlign w:val="top"/>
            <w:tcMar>
              <w:top w:w="73" w:type="dxa"/>
              <w:bottom w:w="73" w:type="dxa"/>
              <w:left w:w="100" w:type="dxa"/>
              <w:right w:w="100" w:type="dxa"/>
            </w:tcMar>
          </w:tcPr>
          <w:p>
            <w:pPr>
              <w:pStyle w:val="TableText"/>
            </w:pPr>
            <w:r>
              <w:rPr>
                <w:sz w:val="19"/>
              </w:rPr>
              <w:t>One customer drives an unrepeatable design</w:t>
            </w:r>
          </w:p>
        </w:tc>
        <w:tc>
          <w:tcPr>
            <w:tcW w:type="dxa" w:w="3067"/>
            <w:vAlign w:val="top"/>
            <w:tcMar>
              <w:top w:w="73" w:type="dxa"/>
              <w:bottom w:w="73" w:type="dxa"/>
              <w:left w:w="100" w:type="dxa"/>
              <w:right w:w="100" w:type="dxa"/>
            </w:tcMar>
          </w:tcPr>
          <w:p>
            <w:pPr>
              <w:pStyle w:val="TableText"/>
            </w:pPr>
            <w:r>
              <w:rPr>
                <w:sz w:val="19"/>
              </w:rPr>
              <w:t>Engineering investment cannot be recovered at volume.</w:t>
            </w:r>
          </w:p>
        </w:tc>
        <w:tc>
          <w:tcPr>
            <w:tcW w:type="dxa" w:w="4579"/>
            <w:vAlign w:val="top"/>
            <w:tcMar>
              <w:top w:w="73" w:type="dxa"/>
              <w:bottom w:w="73" w:type="dxa"/>
              <w:left w:w="100" w:type="dxa"/>
              <w:right w:w="100" w:type="dxa"/>
            </w:tcMar>
          </w:tcPr>
          <w:p>
            <w:pPr>
              <w:pStyle w:val="TableText"/>
            </w:pPr>
            <w:r>
              <w:rPr>
                <w:sz w:val="19"/>
              </w:rPr>
              <w:t>Product + business development: seek a second workload owner with the same primitive/API, not a new application stack.</w:t>
            </w:r>
          </w:p>
        </w:tc>
      </w:tr>
    </w:tbl>
    <w:p>
      <w:pPr>
        <w:spacing w:after="20"/>
      </w:pPr>
    </w:p>
    <w:p>
      <w:r>
        <w:t>The existence of low-power E3 AI products and CXL memory devices demonstrates adjacent packaging and compute offerings—not their ability to implement this HBF retrieval path. Unigen’s product catalog is a competitive reference, not evidence that ATMOS alone offers modular AI. [R15]</w:t>
      </w:r>
    </w:p>
    <w:p>
      <w:pPr>
        <w:pStyle w:val="Small"/>
      </w:pPr>
      <w:r>
        <w:t>Review risks weekly during definition. “Hold” means a time-boxed question with an owner and deadline. Persistent failure of the HBF path, service semantics, OEM envelope, or quote-backed economics should stop that product route rather than trigger indefinite scope growth.</w:t>
      </w:r>
    </w:p>
    <w:p>
      <w:pPr>
        <w:pStyle w:val="Small"/>
        <w:keepNext/>
        <w:pageBreakBefore/>
      </w:pPr>
      <w:r>
        <w:rPr>
          <w:b/>
          <w:color w:val="24586E"/>
        </w:rPr>
        <w:t>A SPECIFIC OFFER—NOT AN OPEN-ENDED REQUEST FOR A POC</w:t>
      </w:r>
    </w:p>
    <w:p>
      <w:pPr>
        <w:pStyle w:val="Heading1"/>
      </w:pPr>
      <w:r>
        <w:t>15. How to approach partners</w:t>
      </w:r>
    </w:p>
    <w:p>
      <w:r>
        <w:t>Lead with the partner’s serving bottleneck and an explicit division of work. Do not open with peak bandwidth, imply silicon availability, or ask for unrestricted production data. First request a bounded architecture and trace review.</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347"/>
        <w:gridCol w:w="3917"/>
        <w:gridCol w:w="3902"/>
      </w:tblGrid>
      <w:tr>
        <w:trPr>
          <w:tblHeader/>
          <w:cantSplit/>
        </w:trPr>
        <w:tc>
          <w:tcPr>
            <w:tcW w:type="dxa" w:w="2347"/>
            <w:shd w:fill="A31630"/>
            <w:tcMar>
              <w:top w:w="73" w:type="dxa"/>
              <w:bottom w:w="73" w:type="dxa"/>
              <w:left w:w="100" w:type="dxa"/>
              <w:right w:w="100" w:type="dxa"/>
            </w:tcMar>
          </w:tcPr>
          <w:p>
            <w:pPr>
              <w:pStyle w:val="TableText"/>
            </w:pPr>
            <w:r>
              <w:rPr>
                <w:b/>
                <w:color w:val="FFFFFF"/>
                <w:sz w:val="20"/>
              </w:rPr>
              <w:t>Step / proposed timing</w:t>
            </w:r>
          </w:p>
        </w:tc>
        <w:tc>
          <w:tcPr>
            <w:tcW w:type="dxa" w:w="3917"/>
            <w:shd w:fill="A31630"/>
            <w:tcMar>
              <w:top w:w="73" w:type="dxa"/>
              <w:bottom w:w="73" w:type="dxa"/>
              <w:left w:w="100" w:type="dxa"/>
              <w:right w:w="100" w:type="dxa"/>
            </w:tcMar>
          </w:tcPr>
          <w:p>
            <w:pPr>
              <w:pStyle w:val="TableText"/>
            </w:pPr>
            <w:r>
              <w:rPr>
                <w:b/>
                <w:color w:val="FFFFFF"/>
                <w:sz w:val="20"/>
              </w:rPr>
              <w:t>Sandisk action</w:t>
            </w:r>
          </w:p>
        </w:tc>
        <w:tc>
          <w:tcPr>
            <w:tcW w:type="dxa" w:w="3902"/>
            <w:shd w:fill="A31630"/>
            <w:tcMar>
              <w:top w:w="73" w:type="dxa"/>
              <w:bottom w:w="73" w:type="dxa"/>
              <w:left w:w="100" w:type="dxa"/>
              <w:right w:w="100" w:type="dxa"/>
            </w:tcMar>
          </w:tcPr>
          <w:p>
            <w:pPr>
              <w:pStyle w:val="TableText"/>
            </w:pPr>
            <w:r>
              <w:rPr>
                <w:b/>
                <w:color w:val="FFFFFF"/>
                <w:sz w:val="20"/>
              </w:rPr>
              <w:t>Partner commitment / exit artifact</w:t>
            </w:r>
          </w:p>
        </w:tc>
      </w:tr>
      <w:tr>
        <w:trPr>
          <w:cantSplit/>
        </w:trPr>
        <w:tc>
          <w:tcPr>
            <w:tcW w:type="dxa" w:w="2347"/>
            <w:vAlign w:val="top"/>
            <w:shd w:fill="F3F5F7"/>
            <w:tcMar>
              <w:top w:w="73" w:type="dxa"/>
              <w:bottom w:w="73" w:type="dxa"/>
              <w:left w:w="100" w:type="dxa"/>
              <w:right w:w="100" w:type="dxa"/>
            </w:tcMar>
          </w:tcPr>
          <w:p>
            <w:pPr>
              <w:pStyle w:val="TableText"/>
            </w:pPr>
            <w:r>
              <w:rPr>
                <w:sz w:val="19"/>
              </w:rPr>
              <w:t>1. Internal preparation</w:t>
              <w:br/>
              <w:t>Days 1–10</w:t>
            </w:r>
          </w:p>
        </w:tc>
        <w:tc>
          <w:tcPr>
            <w:tcW w:type="dxa" w:w="3917"/>
            <w:vAlign w:val="top"/>
            <w:shd w:fill="F3F5F7"/>
            <w:tcMar>
              <w:top w:w="73" w:type="dxa"/>
              <w:bottom w:w="73" w:type="dxa"/>
              <w:left w:w="100" w:type="dxa"/>
              <w:right w:w="100" w:type="dxa"/>
            </w:tcMar>
          </w:tcPr>
          <w:p>
            <w:pPr>
              <w:pStyle w:val="TableText"/>
            </w:pPr>
            <w:r>
              <w:rPr>
                <w:sz w:val="19"/>
              </w:rPr>
              <w:t>Freeze the shareable device profile; appoint product/architecture owners; prepare a one-page thesis, primitive list, and evidence labels.</w:t>
            </w:r>
          </w:p>
        </w:tc>
        <w:tc>
          <w:tcPr>
            <w:tcW w:type="dxa" w:w="3902"/>
            <w:vAlign w:val="top"/>
            <w:shd w:fill="F3F5F7"/>
            <w:tcMar>
              <w:top w:w="73" w:type="dxa"/>
              <w:bottom w:w="73" w:type="dxa"/>
              <w:left w:w="100" w:type="dxa"/>
              <w:right w:w="100" w:type="dxa"/>
            </w:tcMar>
          </w:tcPr>
          <w:p>
            <w:pPr>
              <w:pStyle w:val="TableText"/>
            </w:pPr>
            <w:r>
              <w:rPr>
                <w:sz w:val="19"/>
              </w:rPr>
              <w:t>No external performance promise. Internal account teams confirm access routes and disclosure approval.</w:t>
            </w:r>
          </w:p>
        </w:tc>
      </w:tr>
      <w:tr>
        <w:trPr>
          <w:cantSplit/>
        </w:trPr>
        <w:tc>
          <w:tcPr>
            <w:tcW w:type="dxa" w:w="2347"/>
            <w:vAlign w:val="top"/>
            <w:tcMar>
              <w:top w:w="73" w:type="dxa"/>
              <w:bottom w:w="73" w:type="dxa"/>
              <w:left w:w="100" w:type="dxa"/>
              <w:right w:w="100" w:type="dxa"/>
            </w:tcMar>
          </w:tcPr>
          <w:p>
            <w:pPr>
              <w:pStyle w:val="TableText"/>
            </w:pPr>
            <w:r>
              <w:rPr>
                <w:sz w:val="19"/>
              </w:rPr>
              <w:t>2. Focused discovery</w:t>
              <w:br/>
              <w:t>Days 10–30</w:t>
            </w:r>
          </w:p>
        </w:tc>
        <w:tc>
          <w:tcPr>
            <w:tcW w:type="dxa" w:w="3917"/>
            <w:vAlign w:val="top"/>
            <w:tcMar>
              <w:top w:w="73" w:type="dxa"/>
              <w:bottom w:w="73" w:type="dxa"/>
              <w:left w:w="100" w:type="dxa"/>
              <w:right w:w="100" w:type="dxa"/>
            </w:tcMar>
          </w:tcPr>
          <w:p>
            <w:pPr>
              <w:pStyle w:val="TableText"/>
            </w:pPr>
            <w:r>
              <w:rPr>
                <w:sz w:val="19"/>
              </w:rPr>
              <w:t>Approach two engine/ISV candidates, two workload operators, and two OEM/NPU platform contacts; select, do not implement all.</w:t>
            </w:r>
          </w:p>
        </w:tc>
        <w:tc>
          <w:tcPr>
            <w:tcW w:type="dxa" w:w="3902"/>
            <w:vAlign w:val="top"/>
            <w:tcMar>
              <w:top w:w="73" w:type="dxa"/>
              <w:bottom w:w="73" w:type="dxa"/>
              <w:left w:w="100" w:type="dxa"/>
              <w:right w:w="100" w:type="dxa"/>
            </w:tcMar>
          </w:tcPr>
          <w:p>
            <w:pPr>
              <w:pStyle w:val="TableText"/>
            </w:pPr>
            <w:r>
              <w:rPr>
                <w:sz w:val="19"/>
              </w:rPr>
              <w:t>Named engineering and business owner; current bottleneck; ability to supply an approved trace or aggregate profile.</w:t>
            </w:r>
          </w:p>
        </w:tc>
      </w:tr>
      <w:tr>
        <w:trPr>
          <w:cantSplit/>
        </w:trPr>
        <w:tc>
          <w:tcPr>
            <w:tcW w:type="dxa" w:w="2347"/>
            <w:vAlign w:val="top"/>
            <w:shd w:fill="F3F5F7"/>
            <w:tcMar>
              <w:top w:w="73" w:type="dxa"/>
              <w:bottom w:w="73" w:type="dxa"/>
              <w:left w:w="100" w:type="dxa"/>
              <w:right w:w="100" w:type="dxa"/>
            </w:tcMar>
          </w:tcPr>
          <w:p>
            <w:pPr>
              <w:pStyle w:val="TableText"/>
            </w:pPr>
            <w:r>
              <w:rPr>
                <w:sz w:val="19"/>
              </w:rPr>
              <w:t>3. Joint workshop</w:t>
              <w:br/>
              <w:t>After initial fit</w:t>
            </w:r>
          </w:p>
        </w:tc>
        <w:tc>
          <w:tcPr>
            <w:tcW w:type="dxa" w:w="3917"/>
            <w:vAlign w:val="top"/>
            <w:shd w:fill="F3F5F7"/>
            <w:tcMar>
              <w:top w:w="73" w:type="dxa"/>
              <w:bottom w:w="73" w:type="dxa"/>
              <w:left w:w="100" w:type="dxa"/>
              <w:right w:w="100" w:type="dxa"/>
            </w:tcMar>
          </w:tcPr>
          <w:p>
            <w:pPr>
              <w:pStyle w:val="TableText"/>
            </w:pPr>
            <w:r>
              <w:rPr>
                <w:sz w:val="19"/>
              </w:rPr>
              <w:t>Run the 60-minute workshop in Appendix C. Review current costs, filters, freshness, quality, and deployment control.</w:t>
            </w:r>
          </w:p>
        </w:tc>
        <w:tc>
          <w:tcPr>
            <w:tcW w:type="dxa" w:w="3902"/>
            <w:vAlign w:val="top"/>
            <w:shd w:fill="F3F5F7"/>
            <w:tcMar>
              <w:top w:w="73" w:type="dxa"/>
              <w:bottom w:w="73" w:type="dxa"/>
              <w:left w:w="100" w:type="dxa"/>
              <w:right w:w="100" w:type="dxa"/>
            </w:tcMar>
          </w:tcPr>
          <w:p>
            <w:pPr>
              <w:pStyle w:val="TableText"/>
            </w:pPr>
            <w:r>
              <w:rPr>
                <w:sz w:val="19"/>
              </w:rPr>
              <w:t>One workload contract, one baseline, success/stop thresholds, proposed adapter boundary, and data owner.</w:t>
            </w:r>
          </w:p>
        </w:tc>
      </w:tr>
      <w:tr>
        <w:trPr>
          <w:cantSplit/>
        </w:trPr>
        <w:tc>
          <w:tcPr>
            <w:tcW w:type="dxa" w:w="2347"/>
            <w:vAlign w:val="top"/>
            <w:tcMar>
              <w:top w:w="73" w:type="dxa"/>
              <w:bottom w:w="73" w:type="dxa"/>
              <w:left w:w="100" w:type="dxa"/>
              <w:right w:w="100" w:type="dxa"/>
            </w:tcMar>
          </w:tcPr>
          <w:p>
            <w:pPr>
              <w:pStyle w:val="TableText"/>
            </w:pPr>
            <w:r>
              <w:rPr>
                <w:sz w:val="19"/>
              </w:rPr>
              <w:t>4. Scoped engineering agreement</w:t>
            </w:r>
          </w:p>
        </w:tc>
        <w:tc>
          <w:tcPr>
            <w:tcW w:type="dxa" w:w="3917"/>
            <w:vAlign w:val="top"/>
            <w:tcMar>
              <w:top w:w="73" w:type="dxa"/>
              <w:bottom w:w="73" w:type="dxa"/>
              <w:left w:w="100" w:type="dxa"/>
              <w:right w:w="100" w:type="dxa"/>
            </w:tcMar>
          </w:tcPr>
          <w:p>
            <w:pPr>
              <w:pStyle w:val="TableText"/>
            </w:pPr>
            <w:r>
              <w:rPr>
                <w:sz w:val="19"/>
              </w:rPr>
              <w:t>Commercial/legal teams agree permitted use, IP, data handling, publication, support, hardware custody, and effort.</w:t>
            </w:r>
          </w:p>
        </w:tc>
        <w:tc>
          <w:tcPr>
            <w:tcW w:type="dxa" w:w="3902"/>
            <w:vAlign w:val="top"/>
            <w:tcMar>
              <w:top w:w="73" w:type="dxa"/>
              <w:bottom w:w="73" w:type="dxa"/>
              <w:left w:w="100" w:type="dxa"/>
              <w:right w:w="100" w:type="dxa"/>
            </w:tcMar>
          </w:tcPr>
          <w:p>
            <w:pPr>
              <w:pStyle w:val="TableText"/>
            </w:pPr>
            <w:r>
              <w:rPr>
                <w:sz w:val="19"/>
              </w:rPr>
              <w:t>Time-boxed work package, staff allocation, approved trace access, and explicit non-production status.</w:t>
            </w:r>
          </w:p>
        </w:tc>
      </w:tr>
      <w:tr>
        <w:trPr>
          <w:cantSplit/>
        </w:trPr>
        <w:tc>
          <w:tcPr>
            <w:tcW w:type="dxa" w:w="2347"/>
            <w:vAlign w:val="top"/>
            <w:shd w:fill="F3F5F7"/>
            <w:tcMar>
              <w:top w:w="73" w:type="dxa"/>
              <w:bottom w:w="73" w:type="dxa"/>
              <w:left w:w="100" w:type="dxa"/>
              <w:right w:w="100" w:type="dxa"/>
            </w:tcMar>
          </w:tcPr>
          <w:p>
            <w:pPr>
              <w:pStyle w:val="TableText"/>
            </w:pPr>
            <w:r>
              <w:rPr>
                <w:sz w:val="19"/>
              </w:rPr>
              <w:t>5. Evidence review</w:t>
            </w:r>
          </w:p>
        </w:tc>
        <w:tc>
          <w:tcPr>
            <w:tcW w:type="dxa" w:w="3917"/>
            <w:vAlign w:val="top"/>
            <w:shd w:fill="F3F5F7"/>
            <w:tcMar>
              <w:top w:w="73" w:type="dxa"/>
              <w:bottom w:w="73" w:type="dxa"/>
              <w:left w:w="100" w:type="dxa"/>
              <w:right w:w="100" w:type="dxa"/>
            </w:tcMar>
          </w:tcPr>
          <w:p>
            <w:pPr>
              <w:pStyle w:val="TableText"/>
            </w:pPr>
            <w:r>
              <w:rPr>
                <w:sz w:val="19"/>
              </w:rPr>
              <w:t>Return the measured control, model envelope, operational gaps, and price/performance threshold—not a favorable bar alone.</w:t>
            </w:r>
          </w:p>
        </w:tc>
        <w:tc>
          <w:tcPr>
            <w:tcW w:type="dxa" w:w="3902"/>
            <w:vAlign w:val="top"/>
            <w:shd w:fill="F3F5F7"/>
            <w:tcMar>
              <w:top w:w="73" w:type="dxa"/>
              <w:bottom w:w="73" w:type="dxa"/>
              <w:left w:w="100" w:type="dxa"/>
              <w:right w:w="100" w:type="dxa"/>
            </w:tcMar>
          </w:tcPr>
          <w:p>
            <w:pPr>
              <w:pStyle w:val="TableText"/>
            </w:pPr>
            <w:r>
              <w:rPr>
                <w:sz w:val="19"/>
              </w:rPr>
              <w:t>Choose prototype validation, one bounded redesign, or no fit. Obtain conditional deployment intent rather than an unqualified forecast.</w:t>
            </w:r>
          </w:p>
        </w:tc>
      </w:tr>
    </w:tbl>
    <w:p>
      <w:pPr>
        <w:spacing w:after="20"/>
      </w:pPr>
    </w:p>
    <w:p>
      <w:pPr>
        <w:pStyle w:val="Heading2"/>
      </w:pPr>
      <w:r>
        <w:t>Make the exchange valuable to the partner</w:t>
      </w:r>
    </w:p>
    <w:p>
      <w:r>
        <w:t>The partner gains a characterized workload, a transparent incumbent baseline, potential infrastructure savings, and early influence on the SDK and device design. Sandisk gains a real access pattern, integration ownership, economic thresholds, and evidence of a purchasing path.</w:t>
      </w:r>
    </w:p>
    <w:p>
      <w:r>
        <w:t>Start with replay and shadow evaluation, not production migration. Agree whether each stage is co-funded, paid, or in-kind and cap engineering effort. Later canaries need a readiness review and tested fallback. Do not presume exclusivity or a public reference in return for a free experiment.</w:t>
      </w:r>
    </w:p>
    <w:p>
      <w:pPr>
        <w:pStyle w:val="Small"/>
      </w:pPr>
      <w:r>
        <w:t>No partner outreach has been performed as part of this proposal. Organizations named here are research-based prospects only. Use existing authorized account relationships; this document does not identify or invent personal contacts.</w:t>
      </w:r>
    </w:p>
    <w:p>
      <w:pPr>
        <w:pStyle w:val="Small"/>
        <w:keepNext/>
        <w:pageBreakBefore/>
      </w:pPr>
      <w:r>
        <w:rPr>
          <w:b/>
          <w:color w:val="24586E"/>
        </w:rPr>
        <w:t>PROSPECTS AND ENGAGEMENT ROLES—NOT COMMITTED PARTNERS</w:t>
      </w:r>
    </w:p>
    <w:p>
      <w:pPr>
        <w:pStyle w:val="Heading1"/>
      </w:pPr>
      <w:r>
        <w:t>16. Partner-specific discussion plans</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534"/>
        <w:gridCol w:w="3917"/>
        <w:gridCol w:w="3715"/>
      </w:tblGrid>
      <w:tr>
        <w:trPr>
          <w:tblHeader/>
          <w:cantSplit/>
        </w:trPr>
        <w:tc>
          <w:tcPr>
            <w:tcW w:type="dxa" w:w="2534"/>
            <w:shd w:fill="A31630"/>
            <w:tcMar>
              <w:top w:w="73" w:type="dxa"/>
              <w:bottom w:w="73" w:type="dxa"/>
              <w:left w:w="100" w:type="dxa"/>
              <w:right w:w="100" w:type="dxa"/>
            </w:tcMar>
          </w:tcPr>
          <w:p>
            <w:pPr>
              <w:pStyle w:val="TableText"/>
            </w:pPr>
            <w:r>
              <w:rPr>
                <w:b/>
                <w:color w:val="FFFFFF"/>
                <w:sz w:val="20"/>
              </w:rPr>
              <w:t>Partner type / examples</w:t>
            </w:r>
          </w:p>
        </w:tc>
        <w:tc>
          <w:tcPr>
            <w:tcW w:type="dxa" w:w="3917"/>
            <w:shd w:fill="A31630"/>
            <w:tcMar>
              <w:top w:w="73" w:type="dxa"/>
              <w:bottom w:w="73" w:type="dxa"/>
              <w:left w:w="100" w:type="dxa"/>
              <w:right w:w="100" w:type="dxa"/>
            </w:tcMar>
          </w:tcPr>
          <w:p>
            <w:pPr>
              <w:pStyle w:val="TableText"/>
            </w:pPr>
            <w:r>
              <w:rPr>
                <w:b/>
                <w:color w:val="FFFFFF"/>
                <w:sz w:val="20"/>
              </w:rPr>
              <w:t>Opening discussion</w:t>
            </w:r>
          </w:p>
        </w:tc>
        <w:tc>
          <w:tcPr>
            <w:tcW w:type="dxa" w:w="3715"/>
            <w:shd w:fill="A31630"/>
            <w:tcMar>
              <w:top w:w="73" w:type="dxa"/>
              <w:bottom w:w="73" w:type="dxa"/>
              <w:left w:w="100" w:type="dxa"/>
              <w:right w:w="100" w:type="dxa"/>
            </w:tcMar>
          </w:tcPr>
          <w:p>
            <w:pPr>
              <w:pStyle w:val="TableText"/>
            </w:pPr>
            <w:r>
              <w:rPr>
                <w:b/>
                <w:color w:val="FFFFFF"/>
                <w:sz w:val="20"/>
              </w:rPr>
              <w:t>First concrete request</w:t>
            </w:r>
          </w:p>
        </w:tc>
      </w:tr>
      <w:tr>
        <w:trPr>
          <w:cantSplit/>
        </w:trPr>
        <w:tc>
          <w:tcPr>
            <w:tcW w:type="dxa" w:w="2534"/>
            <w:vAlign w:val="top"/>
            <w:shd w:fill="F3F5F7"/>
            <w:tcMar>
              <w:top w:w="73" w:type="dxa"/>
              <w:bottom w:w="73" w:type="dxa"/>
              <w:left w:w="100" w:type="dxa"/>
              <w:right w:w="100" w:type="dxa"/>
            </w:tcMar>
          </w:tcPr>
          <w:p>
            <w:pPr>
              <w:pStyle w:val="TableText"/>
            </w:pPr>
            <w:r>
              <w:rPr>
                <w:sz w:val="19"/>
              </w:rPr>
              <w:t>OpenSearch ecosystem / AWS</w:t>
            </w:r>
          </w:p>
        </w:tc>
        <w:tc>
          <w:tcPr>
            <w:tcW w:type="dxa" w:w="3917"/>
            <w:vAlign w:val="top"/>
            <w:shd w:fill="F3F5F7"/>
            <w:tcMar>
              <w:top w:w="73" w:type="dxa"/>
              <w:bottom w:w="73" w:type="dxa"/>
              <w:left w:w="100" w:type="dxa"/>
              <w:right w:w="100" w:type="dxa"/>
            </w:tcMar>
          </w:tcPr>
          <w:p>
            <w:pPr>
              <w:pStyle w:val="TableText"/>
            </w:pPr>
            <w:r>
              <w:rPr>
                <w:sz w:val="19"/>
              </w:rPr>
              <w:t>Can original-vector refinement justify a new local processing backend after tuned quantization? Keep managed-service hardware insertion separate from a self-managed engine spike. [R1–R2, R18]</w:t>
            </w:r>
          </w:p>
        </w:tc>
        <w:tc>
          <w:tcPr>
            <w:tcW w:type="dxa" w:w="3715"/>
            <w:vAlign w:val="top"/>
            <w:shd w:fill="F3F5F7"/>
            <w:tcMar>
              <w:top w:w="73" w:type="dxa"/>
              <w:bottom w:w="73" w:type="dxa"/>
              <w:left w:w="100" w:type="dxa"/>
              <w:right w:w="100" w:type="dxa"/>
            </w:tcMar>
          </w:tcPr>
          <w:p>
            <w:pPr>
              <w:pStyle w:val="TableText"/>
            </w:pPr>
            <w:r>
              <w:rPr>
                <w:sz w:val="19"/>
              </w:rPr>
              <w:t>Search engine owner plus infrastructure sponsor; an anonymized candidate/read trace, supported extension boundary, and provider-specific adoption constraints.</w:t>
            </w:r>
          </w:p>
        </w:tc>
      </w:tr>
      <w:tr>
        <w:trPr>
          <w:cantSplit/>
        </w:trPr>
        <w:tc>
          <w:tcPr>
            <w:tcW w:type="dxa" w:w="2534"/>
            <w:vAlign w:val="top"/>
            <w:tcMar>
              <w:top w:w="73" w:type="dxa"/>
              <w:bottom w:w="73" w:type="dxa"/>
              <w:left w:w="100" w:type="dxa"/>
              <w:right w:w="100" w:type="dxa"/>
            </w:tcMar>
          </w:tcPr>
          <w:p>
            <w:pPr>
              <w:pStyle w:val="TableText"/>
            </w:pPr>
            <w:r>
              <w:rPr>
                <w:sz w:val="19"/>
              </w:rPr>
              <w:t>Milvus/Zilliz or Qdrant</w:t>
            </w:r>
          </w:p>
        </w:tc>
        <w:tc>
          <w:tcPr>
            <w:tcW w:type="dxa" w:w="3917"/>
            <w:vAlign w:val="top"/>
            <w:tcMar>
              <w:top w:w="73" w:type="dxa"/>
              <w:bottom w:w="73" w:type="dxa"/>
              <w:left w:w="100" w:type="dxa"/>
              <w:right w:w="100" w:type="dxa"/>
            </w:tcMar>
          </w:tcPr>
          <w:p>
            <w:pPr>
              <w:pStyle w:val="TableText"/>
            </w:pPr>
            <w:r>
              <w:rPr>
                <w:sz w:val="19"/>
              </w:rPr>
              <w:t>Can a maintained execution path expose selected-candidate work while preserving filters, versions, and service behavior? [R8, R10]</w:t>
            </w:r>
          </w:p>
        </w:tc>
        <w:tc>
          <w:tcPr>
            <w:tcW w:type="dxa" w:w="3715"/>
            <w:vAlign w:val="top"/>
            <w:tcMar>
              <w:top w:w="73" w:type="dxa"/>
              <w:bottom w:w="73" w:type="dxa"/>
              <w:left w:w="100" w:type="dxa"/>
              <w:right w:w="100" w:type="dxa"/>
            </w:tcMar>
          </w:tcPr>
          <w:p>
            <w:pPr>
              <w:pStyle w:val="TableText"/>
            </w:pPr>
            <w:r>
              <w:rPr>
                <w:sz w:val="19"/>
              </w:rPr>
              <w:t>One engine version, one adapter feasibility review, and a jointly owned baseline. A public API alone does not prove the required internal hook.</w:t>
            </w:r>
          </w:p>
        </w:tc>
      </w:tr>
      <w:tr>
        <w:trPr>
          <w:cantSplit/>
        </w:trPr>
        <w:tc>
          <w:tcPr>
            <w:tcW w:type="dxa" w:w="2534"/>
            <w:vAlign w:val="top"/>
            <w:shd w:fill="F3F5F7"/>
            <w:tcMar>
              <w:top w:w="73" w:type="dxa"/>
              <w:bottom w:w="73" w:type="dxa"/>
              <w:left w:w="100" w:type="dxa"/>
              <w:right w:w="100" w:type="dxa"/>
            </w:tcMar>
          </w:tcPr>
          <w:p>
            <w:pPr>
              <w:pStyle w:val="TableText"/>
            </w:pPr>
            <w:r>
              <w:rPr>
                <w:sz w:val="19"/>
              </w:rPr>
              <w:t>Vespa / multi-vector service</w:t>
            </w:r>
          </w:p>
        </w:tc>
        <w:tc>
          <w:tcPr>
            <w:tcW w:type="dxa" w:w="3917"/>
            <w:vAlign w:val="top"/>
            <w:shd w:fill="F3F5F7"/>
            <w:tcMar>
              <w:top w:w="73" w:type="dxa"/>
              <w:bottom w:w="73" w:type="dxa"/>
              <w:left w:w="100" w:type="dxa"/>
              <w:right w:w="100" w:type="dxa"/>
            </w:tcMar>
          </w:tcPr>
          <w:p>
            <w:pPr>
              <w:pStyle w:val="TableText"/>
            </w:pPr>
            <w:r>
              <w:rPr>
                <w:sz w:val="19"/>
              </w:rPr>
              <w:t>Can richer document matching benefit after compressed, data-local scoring is already optimized? [R7]</w:t>
            </w:r>
          </w:p>
        </w:tc>
        <w:tc>
          <w:tcPr>
            <w:tcW w:type="dxa" w:w="3715"/>
            <w:vAlign w:val="top"/>
            <w:shd w:fill="F3F5F7"/>
            <w:tcMar>
              <w:top w:w="73" w:type="dxa"/>
              <w:bottom w:w="73" w:type="dxa"/>
              <w:left w:w="100" w:type="dxa"/>
              <w:right w:w="100" w:type="dxa"/>
            </w:tcMar>
          </w:tcPr>
          <w:p>
            <w:pPr>
              <w:pStyle w:val="TableText"/>
            </w:pPr>
            <w:r>
              <w:rPr>
                <w:sz w:val="19"/>
              </w:rPr>
              <w:t>One judged dataset and compressed control; review of the supported operator/layout and production scoring boundary.</w:t>
            </w:r>
          </w:p>
        </w:tc>
      </w:tr>
      <w:tr>
        <w:trPr>
          <w:cantSplit/>
        </w:trPr>
        <w:tc>
          <w:tcPr>
            <w:tcW w:type="dxa" w:w="2534"/>
            <w:vAlign w:val="top"/>
            <w:tcMar>
              <w:top w:w="73" w:type="dxa"/>
              <w:bottom w:w="73" w:type="dxa"/>
              <w:left w:w="100" w:type="dxa"/>
              <w:right w:w="100" w:type="dxa"/>
            </w:tcMar>
          </w:tcPr>
          <w:p>
            <w:pPr>
              <w:pStyle w:val="TableText"/>
            </w:pPr>
            <w:r>
              <w:rPr>
                <w:sz w:val="19"/>
              </w:rPr>
              <w:t>LinkedIn / Meta</w:t>
            </w:r>
          </w:p>
        </w:tc>
        <w:tc>
          <w:tcPr>
            <w:tcW w:type="dxa" w:w="3917"/>
            <w:vAlign w:val="top"/>
            <w:tcMar>
              <w:top w:w="73" w:type="dxa"/>
              <w:bottom w:w="73" w:type="dxa"/>
              <w:left w:w="100" w:type="dxa"/>
              <w:right w:w="100" w:type="dxa"/>
            </w:tcMar>
          </w:tcPr>
          <w:p>
            <w:pPr>
              <w:pStyle w:val="TableText"/>
            </w:pPr>
            <w:r>
              <w:rPr>
                <w:sz w:val="19"/>
              </w:rPr>
              <w:t>Where does a capacity, feature-access, or power bottleneck remain after current GPU/custom-system optimization? [R4–R6]</w:t>
            </w:r>
          </w:p>
        </w:tc>
        <w:tc>
          <w:tcPr>
            <w:tcW w:type="dxa" w:w="3715"/>
            <w:vAlign w:val="top"/>
            <w:tcMar>
              <w:top w:w="73" w:type="dxa"/>
              <w:bottom w:w="73" w:type="dxa"/>
              <w:left w:w="100" w:type="dxa"/>
              <w:right w:w="100" w:type="dxa"/>
            </w:tcMar>
          </w:tcPr>
          <w:p>
            <w:pPr>
              <w:pStyle w:val="TableText"/>
            </w:pPr>
            <w:r>
              <w:rPr>
                <w:sz w:val="19"/>
              </w:rPr>
              <w:t>Bounded retrieval/feature-stage trace and a co-design discussion. Merchant E3.S packaging is optional until infrastructure preference is known.</w:t>
            </w:r>
          </w:p>
        </w:tc>
      </w:tr>
      <w:tr>
        <w:trPr>
          <w:cantSplit/>
        </w:trPr>
        <w:tc>
          <w:tcPr>
            <w:tcW w:type="dxa" w:w="2534"/>
            <w:vAlign w:val="top"/>
            <w:shd w:fill="F3F5F7"/>
            <w:tcMar>
              <w:top w:w="73" w:type="dxa"/>
              <w:bottom w:w="73" w:type="dxa"/>
              <w:left w:w="100" w:type="dxa"/>
              <w:right w:w="100" w:type="dxa"/>
            </w:tcMar>
          </w:tcPr>
          <w:p>
            <w:pPr>
              <w:pStyle w:val="TableText"/>
            </w:pPr>
            <w:r>
              <w:rPr>
                <w:sz w:val="19"/>
              </w:rPr>
              <w:t>Specialist SaaS / workload operator</w:t>
            </w:r>
          </w:p>
        </w:tc>
        <w:tc>
          <w:tcPr>
            <w:tcW w:type="dxa" w:w="3917"/>
            <w:vAlign w:val="top"/>
            <w:shd w:fill="F3F5F7"/>
            <w:tcMar>
              <w:top w:w="73" w:type="dxa"/>
              <w:bottom w:w="73" w:type="dxa"/>
              <w:left w:w="100" w:type="dxa"/>
              <w:right w:w="100" w:type="dxa"/>
            </w:tcMar>
          </w:tcPr>
          <w:p>
            <w:pPr>
              <w:pStyle w:val="TableText"/>
            </w:pPr>
            <w:r>
              <w:rPr>
                <w:sz w:val="19"/>
              </w:rPr>
              <w:t>Is there a repeated representation-access problem large enough to change the serving bill?</w:t>
            </w:r>
          </w:p>
        </w:tc>
        <w:tc>
          <w:tcPr>
            <w:tcW w:type="dxa" w:w="3715"/>
            <w:vAlign w:val="top"/>
            <w:shd w:fill="F3F5F7"/>
            <w:tcMar>
              <w:top w:w="73" w:type="dxa"/>
              <w:bottom w:w="73" w:type="dxa"/>
              <w:left w:w="100" w:type="dxa"/>
              <w:right w:w="100" w:type="dxa"/>
            </w:tcMar>
          </w:tcPr>
          <w:p>
            <w:pPr>
              <w:pStyle w:val="TableText"/>
            </w:pPr>
            <w:r>
              <w:rPr>
                <w:sz w:val="19"/>
              </w:rPr>
              <w:t>Approved workload statistics, relevance labels, current deployment/cost boundary, and business sponsor. Qlik, March Networks, and xCures are examples to research further—not validated prospects. [R3]</w:t>
            </w:r>
          </w:p>
        </w:tc>
      </w:tr>
      <w:tr>
        <w:trPr>
          <w:cantSplit/>
        </w:trPr>
        <w:tc>
          <w:tcPr>
            <w:tcW w:type="dxa" w:w="2534"/>
            <w:vAlign w:val="top"/>
            <w:tcMar>
              <w:top w:w="73" w:type="dxa"/>
              <w:bottom w:w="73" w:type="dxa"/>
              <w:left w:w="100" w:type="dxa"/>
              <w:right w:w="100" w:type="dxa"/>
            </w:tcMar>
          </w:tcPr>
          <w:p>
            <w:pPr>
              <w:pStyle w:val="TableText"/>
            </w:pPr>
            <w:r>
              <w:rPr>
                <w:sz w:val="19"/>
              </w:rPr>
              <w:t>Dell and an alternate OEM/ODM; NPU supplier</w:t>
            </w:r>
          </w:p>
        </w:tc>
        <w:tc>
          <w:tcPr>
            <w:tcW w:type="dxa" w:w="3917"/>
            <w:vAlign w:val="top"/>
            <w:tcMar>
              <w:top w:w="73" w:type="dxa"/>
              <w:bottom w:w="73" w:type="dxa"/>
              <w:left w:w="100" w:type="dxa"/>
              <w:right w:w="100" w:type="dxa"/>
            </w:tcMar>
          </w:tcPr>
          <w:p>
            <w:pPr>
              <w:pStyle w:val="TableText"/>
            </w:pPr>
            <w:r>
              <w:rPr>
                <w:sz w:val="19"/>
              </w:rPr>
              <w:t>Can the complete module be installed, driven, cooled, serviced, and supplied?</w:t>
            </w:r>
          </w:p>
        </w:tc>
        <w:tc>
          <w:tcPr>
            <w:tcW w:type="dxa" w:w="3715"/>
            <w:vAlign w:val="top"/>
            <w:tcMar>
              <w:top w:w="73" w:type="dxa"/>
              <w:bottom w:w="73" w:type="dxa"/>
              <w:left w:w="100" w:type="dxa"/>
              <w:right w:w="100" w:type="dxa"/>
            </w:tcMar>
          </w:tcPr>
          <w:p>
            <w:pPr>
              <w:pStyle w:val="TableText"/>
            </w:pPr>
            <w:r>
              <w:rPr>
                <w:sz w:val="19"/>
              </w:rPr>
              <w:t>Exact candidate chassis/topology, E3.S/2T constraints, firmware/SDK access, lifecycle commitments, and non-recurring engineering quote.</w:t>
            </w:r>
          </w:p>
        </w:tc>
      </w:tr>
    </w:tbl>
    <w:p>
      <w:pPr>
        <w:spacing w:after="20"/>
      </w:pPr>
    </w:p>
    <w:p>
      <w:pPr>
        <w:pStyle w:val="Heading2"/>
      </w:pPr>
      <w:r>
        <w:t>Choose the first team by evidence access</w:t>
      </w:r>
    </w:p>
    <w:p>
      <w:r>
        <w:t>Prefer a partner able to modify its backend, provide a representative trace, and define a purchasing decision. A smaller operator with a repeatable stage may be more valuable initially than a hyperscaler willing only to attend an introductory meeting.</w:t>
      </w:r>
    </w:p>
    <w:p>
      <w:pPr>
        <w:pStyle w:val="Small"/>
      </w:pPr>
      <w:r>
        <w:t>First-cycle target: one integration partner, one workload operator, and one OEM/NPU feasibility path. Hold separate contacts with strategic hyperscalers, but do not make access to AWS, LinkedIn, or Meta a prerequisite for the initial proof.</w:t>
      </w:r>
    </w:p>
    <w:p>
      <w:pPr>
        <w:pStyle w:val="Small"/>
        <w:keepNext/>
        <w:pageBreakBefore/>
      </w:pPr>
      <w:r>
        <w:rPr>
          <w:b/>
          <w:color w:val="24586E"/>
        </w:rPr>
        <w:t>USE NEW WORKSTREAM LABELS; PRESERVE THE SOURCE-CHARTER MAPPING</w:t>
      </w:r>
    </w:p>
    <w:p>
      <w:pPr>
        <w:pStyle w:val="Heading1"/>
      </w:pPr>
      <w:r>
        <w:t>17. POC portfolio and promotion gates</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678"/>
        <w:gridCol w:w="4392"/>
        <w:gridCol w:w="3096"/>
      </w:tblGrid>
      <w:tr>
        <w:trPr>
          <w:tblHeader/>
          <w:cantSplit/>
        </w:trPr>
        <w:tc>
          <w:tcPr>
            <w:tcW w:type="dxa" w:w="2678"/>
            <w:shd w:fill="A31630"/>
            <w:tcMar>
              <w:top w:w="73" w:type="dxa"/>
              <w:bottom w:w="73" w:type="dxa"/>
              <w:left w:w="100" w:type="dxa"/>
              <w:right w:w="100" w:type="dxa"/>
            </w:tcMar>
          </w:tcPr>
          <w:p>
            <w:pPr>
              <w:pStyle w:val="TableText"/>
            </w:pPr>
            <w:r>
              <w:rPr>
                <w:b/>
                <w:color w:val="FFFFFF"/>
                <w:sz w:val="20"/>
              </w:rPr>
              <w:t>Track</w:t>
            </w:r>
          </w:p>
        </w:tc>
        <w:tc>
          <w:tcPr>
            <w:tcW w:type="dxa" w:w="4392"/>
            <w:shd w:fill="A31630"/>
            <w:tcMar>
              <w:top w:w="73" w:type="dxa"/>
              <w:bottom w:w="73" w:type="dxa"/>
              <w:left w:w="100" w:type="dxa"/>
              <w:right w:w="100" w:type="dxa"/>
            </w:tcMar>
          </w:tcPr>
          <w:p>
            <w:pPr>
              <w:pStyle w:val="TableText"/>
            </w:pPr>
            <w:r>
              <w:rPr>
                <w:b/>
                <w:color w:val="FFFFFF"/>
                <w:sz w:val="20"/>
              </w:rPr>
              <w:t>Initial scope and deliverable</w:t>
            </w:r>
          </w:p>
        </w:tc>
        <w:tc>
          <w:tcPr>
            <w:tcW w:type="dxa" w:w="3096"/>
            <w:shd w:fill="A31630"/>
            <w:tcMar>
              <w:top w:w="73" w:type="dxa"/>
              <w:bottom w:w="73" w:type="dxa"/>
              <w:left w:w="100" w:type="dxa"/>
              <w:right w:w="100" w:type="dxa"/>
            </w:tcMar>
          </w:tcPr>
          <w:p>
            <w:pPr>
              <w:pStyle w:val="TableText"/>
            </w:pPr>
            <w:r>
              <w:rPr>
                <w:b/>
                <w:color w:val="FFFFFF"/>
                <w:sz w:val="20"/>
              </w:rPr>
              <w:t>Gate / next step</w:t>
            </w:r>
          </w:p>
        </w:tc>
      </w:tr>
      <w:tr>
        <w:trPr>
          <w:cantSplit/>
        </w:trPr>
        <w:tc>
          <w:tcPr>
            <w:tcW w:type="dxa" w:w="2678"/>
            <w:vAlign w:val="top"/>
            <w:shd w:fill="F3F5F7"/>
            <w:tcMar>
              <w:top w:w="73" w:type="dxa"/>
              <w:bottom w:w="73" w:type="dxa"/>
              <w:left w:w="100" w:type="dxa"/>
              <w:right w:w="100" w:type="dxa"/>
            </w:tcMar>
          </w:tcPr>
          <w:p>
            <w:pPr>
              <w:pStyle w:val="TableText"/>
            </w:pPr>
            <w:r>
              <w:rPr>
                <w:sz w:val="19"/>
              </w:rPr>
            </w:r>
            <w:r>
              <w:rPr>
                <w:b/>
                <w:sz w:val="19"/>
              </w:rPr>
              <w:t>P0: Device-path requirements</w:t>
            </w:r>
            <w:r>
              <w:rPr>
                <w:sz w:val="19"/>
              </w:rPr>
              <w:br/>
              <w:t>[I1] POC 0</w:t>
            </w:r>
          </w:p>
        </w:tc>
        <w:tc>
          <w:tcPr>
            <w:tcW w:type="dxa" w:w="4392"/>
            <w:vAlign w:val="top"/>
            <w:shd w:fill="F3F5F7"/>
            <w:tcMar>
              <w:top w:w="73" w:type="dxa"/>
              <w:bottom w:w="73" w:type="dxa"/>
              <w:left w:w="100" w:type="dxa"/>
              <w:right w:w="100" w:type="dxa"/>
            </w:tcMar>
          </w:tcPr>
          <w:p>
            <w:pPr>
              <w:pStyle w:val="TableText"/>
            </w:pPr>
            <w:r>
              <w:rPr>
                <w:sz w:val="19"/>
              </w:rPr>
              <w:t>Memory/NoC/NPU/host path model; primitive coverage; usable capacity; controller service profiles; OEM thermal/interface review.</w:t>
            </w:r>
          </w:p>
        </w:tc>
        <w:tc>
          <w:tcPr>
            <w:tcW w:type="dxa" w:w="3096"/>
            <w:vAlign w:val="top"/>
            <w:shd w:fill="F3F5F7"/>
            <w:tcMar>
              <w:top w:w="73" w:type="dxa"/>
              <w:bottom w:w="73" w:type="dxa"/>
              <w:left w:w="100" w:type="dxa"/>
              <w:right w:w="100" w:type="dxa"/>
            </w:tcMar>
          </w:tcPr>
          <w:p>
            <w:pPr>
              <w:pStyle w:val="TableText"/>
            </w:pPr>
            <w:r>
              <w:rPr>
                <w:sz w:val="19"/>
              </w:rPr>
              <w:t>A plausible executable path and bounded uncertainties. If a necessary interface is unavailable, hold before pretending software can fix it.</w:t>
            </w:r>
          </w:p>
        </w:tc>
      </w:tr>
      <w:tr>
        <w:trPr>
          <w:cantSplit/>
        </w:trPr>
        <w:tc>
          <w:tcPr>
            <w:tcW w:type="dxa" w:w="2678"/>
            <w:vAlign w:val="top"/>
            <w:tcMar>
              <w:top w:w="73" w:type="dxa"/>
              <w:bottom w:w="73" w:type="dxa"/>
              <w:left w:w="100" w:type="dxa"/>
              <w:right w:w="100" w:type="dxa"/>
            </w:tcMar>
          </w:tcPr>
          <w:p>
            <w:pPr>
              <w:pStyle w:val="TableText"/>
            </w:pPr>
            <w:r>
              <w:rPr>
                <w:sz w:val="19"/>
              </w:rPr>
            </w:r>
            <w:r>
              <w:rPr>
                <w:b/>
                <w:sz w:val="19"/>
              </w:rPr>
              <w:t>P1: Candidate refinement</w:t>
            </w:r>
            <w:r>
              <w:rPr>
                <w:sz w:val="19"/>
              </w:rPr>
              <w:br/>
              <w:t>[I1] POC 1</w:t>
            </w:r>
          </w:p>
        </w:tc>
        <w:tc>
          <w:tcPr>
            <w:tcW w:type="dxa" w:w="4392"/>
            <w:vAlign w:val="top"/>
            <w:tcMar>
              <w:top w:w="73" w:type="dxa"/>
              <w:bottom w:w="73" w:type="dxa"/>
              <w:left w:w="100" w:type="dxa"/>
              <w:right w:w="100" w:type="dxa"/>
            </w:tcMar>
          </w:tcPr>
          <w:p>
            <w:pPr>
              <w:pStyle w:val="TableText"/>
            </w:pPr>
            <w:r>
              <w:rPr>
                <w:sz w:val="19"/>
              </w:rPr>
              <w:t>Fixed-candidate correctness and CPU/DRAM/NVMe/GPU comparisons; one adapter path; load and cost envelope.</w:t>
            </w:r>
          </w:p>
        </w:tc>
        <w:tc>
          <w:tcPr>
            <w:tcW w:type="dxa" w:w="3096"/>
            <w:vAlign w:val="top"/>
            <w:tcMar>
              <w:top w:w="73" w:type="dxa"/>
              <w:bottom w:w="73" w:type="dxa"/>
              <w:left w:w="100" w:type="dxa"/>
              <w:right w:w="100" w:type="dxa"/>
            </w:tcMar>
          </w:tcPr>
          <w:p>
            <w:pPr>
              <w:pStyle w:val="TableText"/>
            </w:pPr>
            <w:r>
              <w:rPr>
                <w:sz w:val="19"/>
              </w:rPr>
              <w:t>Proposed hurdle: ≥20% improvement in the agreed primary economic or service KPI across two trace-representative regions, without quality/freshness regressions.</w:t>
            </w:r>
          </w:p>
        </w:tc>
      </w:tr>
      <w:tr>
        <w:trPr>
          <w:cantSplit/>
        </w:trPr>
        <w:tc>
          <w:tcPr>
            <w:tcW w:type="dxa" w:w="2678"/>
            <w:vAlign w:val="top"/>
            <w:shd w:fill="F3F5F7"/>
            <w:tcMar>
              <w:top w:w="73" w:type="dxa"/>
              <w:bottom w:w="73" w:type="dxa"/>
              <w:left w:w="100" w:type="dxa"/>
              <w:right w:w="100" w:type="dxa"/>
            </w:tcMar>
          </w:tcPr>
          <w:p>
            <w:pPr>
              <w:pStyle w:val="TableText"/>
            </w:pPr>
            <w:r>
              <w:rPr>
                <w:sz w:val="19"/>
              </w:rPr>
            </w:r>
            <w:r>
              <w:rPr>
                <w:b/>
                <w:sz w:val="19"/>
              </w:rPr>
              <w:t>P2: Multi-vector retrieval</w:t>
            </w:r>
            <w:r>
              <w:rPr>
                <w:sz w:val="19"/>
              </w:rPr>
              <w:br/>
              <w:t>[I1] POC 2; later 3</w:t>
            </w:r>
          </w:p>
        </w:tc>
        <w:tc>
          <w:tcPr>
            <w:tcW w:type="dxa" w:w="4392"/>
            <w:vAlign w:val="top"/>
            <w:shd w:fill="F3F5F7"/>
            <w:tcMar>
              <w:top w:w="73" w:type="dxa"/>
              <w:bottom w:w="73" w:type="dxa"/>
              <w:left w:w="100" w:type="dxa"/>
              <w:right w:w="100" w:type="dxa"/>
            </w:tcMar>
          </w:tcPr>
          <w:p>
            <w:pPr>
              <w:pStyle w:val="TableText"/>
            </w:pPr>
            <w:r>
              <w:rPr>
                <w:sz w:val="19"/>
              </w:rPr>
              <w:t>Initial quarter: operator correctness, compressed baseline, representation budget, and integration feasibility—not a second complete product.</w:t>
            </w:r>
          </w:p>
        </w:tc>
        <w:tc>
          <w:tcPr>
            <w:tcW w:type="dxa" w:w="3096"/>
            <w:vAlign w:val="top"/>
            <w:shd w:fill="F3F5F7"/>
            <w:tcMar>
              <w:top w:w="73" w:type="dxa"/>
              <w:bottom w:w="73" w:type="dxa"/>
              <w:left w:w="100" w:type="dxa"/>
              <w:right w:w="100" w:type="dxa"/>
            </w:tcMar>
          </w:tcPr>
          <w:p>
            <w:pPr>
              <w:pStyle w:val="TableText"/>
            </w:pPr>
            <w:r>
              <w:rPr>
                <w:sz w:val="19"/>
              </w:rPr>
              <w:t>Expand only after P0 passes and P1 reaches a decision; may continue independently if a distinct quality-led business case is documented.</w:t>
            </w:r>
          </w:p>
        </w:tc>
      </w:tr>
      <w:tr>
        <w:trPr>
          <w:cantSplit/>
        </w:trPr>
        <w:tc>
          <w:tcPr>
            <w:tcW w:type="dxa" w:w="2678"/>
            <w:vAlign w:val="top"/>
            <w:tcMar>
              <w:top w:w="73" w:type="dxa"/>
              <w:bottom w:w="73" w:type="dxa"/>
              <w:left w:w="100" w:type="dxa"/>
              <w:right w:w="100" w:type="dxa"/>
            </w:tcMar>
          </w:tcPr>
          <w:p>
            <w:pPr>
              <w:pStyle w:val="TableText"/>
            </w:pPr>
            <w:r>
              <w:rPr>
                <w:sz w:val="19"/>
              </w:rPr>
            </w:r>
            <w:r>
              <w:rPr>
                <w:b/>
                <w:sz w:val="19"/>
              </w:rPr>
              <w:t>D1: Recommendation discovery</w:t>
            </w:r>
            <w:r>
              <w:rPr>
                <w:sz w:val="19"/>
              </w:rPr>
              <w:br/>
              <w:t>[I1] POC 6; [I6] 13A</w:t>
            </w:r>
          </w:p>
        </w:tc>
        <w:tc>
          <w:tcPr>
            <w:tcW w:type="dxa" w:w="4392"/>
            <w:vAlign w:val="top"/>
            <w:tcMar>
              <w:top w:w="73" w:type="dxa"/>
              <w:bottom w:w="73" w:type="dxa"/>
              <w:left w:w="100" w:type="dxa"/>
              <w:right w:w="100" w:type="dxa"/>
            </w:tcMar>
          </w:tcPr>
          <w:p>
            <w:pPr>
              <w:pStyle w:val="TableText"/>
            </w:pPr>
            <w:r>
              <w:rPr>
                <w:sz w:val="19"/>
              </w:rPr>
              <w:t>Obtain timestamped gather/update trace and assess batching, skew, read sizes, freshness, and endurance requirements.</w:t>
            </w:r>
          </w:p>
        </w:tc>
        <w:tc>
          <w:tcPr>
            <w:tcW w:type="dxa" w:w="3096"/>
            <w:vAlign w:val="top"/>
            <w:tcMar>
              <w:top w:w="73" w:type="dxa"/>
              <w:bottom w:w="73" w:type="dxa"/>
              <w:left w:w="100" w:type="dxa"/>
              <w:right w:w="100" w:type="dxa"/>
            </w:tcMar>
          </w:tcPr>
          <w:p>
            <w:pPr>
              <w:pStyle w:val="TableText"/>
            </w:pPr>
            <w:r>
              <w:rPr>
                <w:sz w:val="19"/>
              </w:rPr>
              <w:t>No kernel/product commitment without a qualified operator and feasible read/write envelope. Tiny feature KV remains separate.</w:t>
            </w:r>
          </w:p>
        </w:tc>
      </w:tr>
      <w:tr>
        <w:trPr>
          <w:cantSplit/>
        </w:trPr>
        <w:tc>
          <w:tcPr>
            <w:tcW w:type="dxa" w:w="2678"/>
            <w:vAlign w:val="top"/>
            <w:shd w:fill="F3F5F7"/>
            <w:tcMar>
              <w:top w:w="73" w:type="dxa"/>
              <w:bottom w:w="73" w:type="dxa"/>
              <w:left w:w="100" w:type="dxa"/>
              <w:right w:w="100" w:type="dxa"/>
            </w:tcMar>
          </w:tcPr>
          <w:p>
            <w:pPr>
              <w:pStyle w:val="TableText"/>
            </w:pPr>
            <w:r>
              <w:rPr>
                <w:sz w:val="19"/>
              </w:rPr>
            </w:r>
            <w:r>
              <w:rPr>
                <w:b/>
                <w:sz w:val="19"/>
              </w:rPr>
              <w:t>Scale and operations</w:t>
            </w:r>
            <w:r>
              <w:rPr>
                <w:sz w:val="19"/>
              </w:rPr>
              <w:br/>
              <w:t>[I1] POCs 5 and 7</w:t>
            </w:r>
          </w:p>
        </w:tc>
        <w:tc>
          <w:tcPr>
            <w:tcW w:type="dxa" w:w="4392"/>
            <w:vAlign w:val="top"/>
            <w:shd w:fill="F3F5F7"/>
            <w:tcMar>
              <w:top w:w="73" w:type="dxa"/>
              <w:bottom w:w="73" w:type="dxa"/>
              <w:left w:w="100" w:type="dxa"/>
              <w:right w:w="100" w:type="dxa"/>
            </w:tcMar>
          </w:tcPr>
          <w:p>
            <w:pPr>
              <w:pStyle w:val="TableText"/>
            </w:pPr>
            <w:r>
              <w:rPr>
                <w:sz w:val="19"/>
              </w:rPr>
              <w:t>After physical single-device proof, test shards, replica routing, one-node loss, updates, reset, thermal soak, and recovery.</w:t>
            </w:r>
          </w:p>
        </w:tc>
        <w:tc>
          <w:tcPr>
            <w:tcW w:type="dxa" w:w="3096"/>
            <w:vAlign w:val="top"/>
            <w:shd w:fill="F3F5F7"/>
            <w:tcMar>
              <w:top w:w="73" w:type="dxa"/>
              <w:bottom w:w="73" w:type="dxa"/>
              <w:left w:w="100" w:type="dxa"/>
              <w:right w:w="100" w:type="dxa"/>
            </w:tcMar>
          </w:tcPr>
          <w:p>
            <w:pPr>
              <w:pStyle w:val="TableText"/>
            </w:pPr>
            <w:r>
              <w:rPr>
                <w:sz w:val="19"/>
              </w:rPr>
              <w:t>Repeat on the actual OEM path; economic advantage must survive reserve and deployment overhead.</w:t>
            </w:r>
          </w:p>
        </w:tc>
      </w:tr>
    </w:tbl>
    <w:p>
      <w:pPr>
        <w:spacing w:after="20"/>
      </w:pPr>
    </w:p>
    <w:p>
      <w:pPr>
        <w:pStyle w:val="Heading2"/>
      </w:pPr>
      <w:r>
        <w:t>How results will be judged</w:t>
      </w:r>
    </w:p>
    <w:p>
      <w:r>
        <w:t>Freeze the primary metric before seeing the data. The 20% hurdle is a proposed decision margin, not a performance forecast or inherited customer agreement. Use a hold region when effects are small or within uncertainty; a materiality threshold may be changed only before the comparison.</w:t>
      </w:r>
    </w:p>
    <w:p>
      <w:r>
        <w:t>A measured physical HBF path supports a tier claim. An ATMOS claim additionally requires the actual NPU/runtime and complete accepted workload. A simulator may justify the next test; it cannot satisfy the physical pass gate.</w:t>
      </w:r>
    </w:p>
    <w:p>
      <w:pPr>
        <w:pStyle w:val="Small"/>
      </w:pPr>
      <w:r>
        <w:t>Baseline rules: include quality-acceptable compressed configurations, tuned resident CPU/GPU paths and optimized NVMe/DiskANN where relevant. Compare identical mechanisms first, then best-supported service configurations separately. Keep preprocessing, query embedding, heavy reranking, and LLM generation outside the first isolated comparison. [I1, I3–I6, R11]</w:t>
      </w:r>
    </w:p>
    <w:p>
      <w:pPr>
        <w:pStyle w:val="Small"/>
        <w:keepNext/>
        <w:pageBreakBefore/>
      </w:pPr>
      <w:r>
        <w:rPr>
          <w:b/>
          <w:color w:val="24586E"/>
        </w:rPr>
        <w:t>NEW PLANNING ESTIMATE • FIRST 12 ACTIVE WORKING WEEKS</w:t>
      </w:r>
    </w:p>
    <w:p>
      <w:pPr>
        <w:pStyle w:val="Heading1"/>
      </w:pPr>
      <w:r>
        <w:t>18. Resources and initial study budget</w:t>
      </w:r>
    </w:p>
    <w:p>
      <w:r>
        <w:t>This envelope supports P0, one substantial P1 study, a limited P2 correctness/adapter spike, and D1 discovery. It assumes reuse of existing lab infrastructure and engineering models. It does not fund a new NPU design, HBF production silicon, a broad software framework, or every vertical in parallel.</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4738"/>
        <w:gridCol w:w="1757"/>
        <w:gridCol w:w="1699"/>
        <w:gridCol w:w="1973"/>
      </w:tblGrid>
      <w:tr>
        <w:trPr>
          <w:tblHeader/>
          <w:cantSplit/>
        </w:trPr>
        <w:tc>
          <w:tcPr>
            <w:tcW w:type="dxa" w:w="4738"/>
            <w:shd w:fill="A31630"/>
            <w:tcMar>
              <w:top w:w="73" w:type="dxa"/>
              <w:bottom w:w="73" w:type="dxa"/>
              <w:left w:w="100" w:type="dxa"/>
              <w:right w:w="100" w:type="dxa"/>
            </w:tcMar>
          </w:tcPr>
          <w:p>
            <w:pPr>
              <w:pStyle w:val="TableText"/>
            </w:pPr>
            <w:r>
              <w:rPr>
                <w:b/>
                <w:color w:val="FFFFFF"/>
                <w:sz w:val="20"/>
              </w:rPr>
              <w:t>Capability</w:t>
            </w:r>
          </w:p>
        </w:tc>
        <w:tc>
          <w:tcPr>
            <w:tcW w:type="dxa" w:w="1757"/>
            <w:shd w:fill="A31630"/>
            <w:tcMar>
              <w:top w:w="73" w:type="dxa"/>
              <w:bottom w:w="73" w:type="dxa"/>
              <w:left w:w="100" w:type="dxa"/>
              <w:right w:w="100" w:type="dxa"/>
            </w:tcMar>
          </w:tcPr>
          <w:p>
            <w:pPr>
              <w:pStyle w:val="TableText"/>
            </w:pPr>
            <w:r>
              <w:rPr>
                <w:b/>
                <w:color w:val="FFFFFF"/>
                <w:sz w:val="20"/>
              </w:rPr>
              <w:t>FTE allocation</w:t>
            </w:r>
          </w:p>
        </w:tc>
        <w:tc>
          <w:tcPr>
            <w:tcW w:type="dxa" w:w="1699"/>
            <w:shd w:fill="A31630"/>
            <w:tcMar>
              <w:top w:w="73" w:type="dxa"/>
              <w:bottom w:w="73" w:type="dxa"/>
              <w:left w:w="100" w:type="dxa"/>
              <w:right w:w="100" w:type="dxa"/>
            </w:tcMar>
          </w:tcPr>
          <w:p>
            <w:pPr>
              <w:pStyle w:val="TableText"/>
            </w:pPr>
            <w:r>
              <w:rPr>
                <w:b/>
                <w:color w:val="FFFFFF"/>
                <w:sz w:val="20"/>
              </w:rPr>
              <w:t>Active weeks</w:t>
            </w:r>
          </w:p>
        </w:tc>
        <w:tc>
          <w:tcPr>
            <w:tcW w:type="dxa" w:w="1973"/>
            <w:shd w:fill="A31630"/>
            <w:tcMar>
              <w:top w:w="73" w:type="dxa"/>
              <w:bottom w:w="73" w:type="dxa"/>
              <w:left w:w="100" w:type="dxa"/>
              <w:right w:w="100" w:type="dxa"/>
            </w:tcMar>
          </w:tcPr>
          <w:p>
            <w:pPr>
              <w:pStyle w:val="TableText"/>
            </w:pPr>
            <w:r>
              <w:rPr>
                <w:b/>
                <w:color w:val="FFFFFF"/>
                <w:sz w:val="20"/>
              </w:rPr>
              <w:t>FTE-weeks</w:t>
            </w:r>
          </w:p>
        </w:tc>
      </w:tr>
      <w:tr>
        <w:trPr>
          <w:cantSplit/>
        </w:trPr>
        <w:tc>
          <w:tcPr>
            <w:tcW w:type="dxa" w:w="4738"/>
            <w:vAlign w:val="top"/>
            <w:shd w:fill="F3F5F7"/>
            <w:tcMar>
              <w:top w:w="73" w:type="dxa"/>
              <w:bottom w:w="73" w:type="dxa"/>
              <w:left w:w="100" w:type="dxa"/>
              <w:right w:w="100" w:type="dxa"/>
            </w:tcMar>
          </w:tcPr>
          <w:p>
            <w:pPr>
              <w:pStyle w:val="TableText"/>
            </w:pPr>
            <w:r>
              <w:rPr>
                <w:sz w:val="19"/>
              </w:rPr>
              <w:t>Product / systems lead</w:t>
            </w:r>
          </w:p>
        </w:tc>
        <w:tc>
          <w:tcPr>
            <w:tcW w:type="dxa" w:w="1757"/>
            <w:vAlign w:val="top"/>
            <w:shd w:fill="F3F5F7"/>
            <w:tcMar>
              <w:top w:w="73" w:type="dxa"/>
              <w:bottom w:w="73" w:type="dxa"/>
              <w:left w:w="100" w:type="dxa"/>
              <w:right w:w="100" w:type="dxa"/>
            </w:tcMar>
          </w:tcPr>
          <w:p>
            <w:pPr>
              <w:pStyle w:val="TableText"/>
            </w:pPr>
            <w:r>
              <w:rPr>
                <w:sz w:val="19"/>
              </w:rPr>
              <w:t>1</w:t>
            </w:r>
          </w:p>
        </w:tc>
        <w:tc>
          <w:tcPr>
            <w:tcW w:type="dxa" w:w="1699"/>
            <w:vAlign w:val="top"/>
            <w:shd w:fill="F3F5F7"/>
            <w:tcMar>
              <w:top w:w="73" w:type="dxa"/>
              <w:bottom w:w="73" w:type="dxa"/>
              <w:left w:w="100" w:type="dxa"/>
              <w:right w:w="100" w:type="dxa"/>
            </w:tcMar>
          </w:tcPr>
          <w:p>
            <w:pPr>
              <w:pStyle w:val="TableText"/>
            </w:pPr>
            <w:r>
              <w:rPr>
                <w:sz w:val="19"/>
              </w:rPr>
              <w:t>12</w:t>
            </w:r>
          </w:p>
        </w:tc>
        <w:tc>
          <w:tcPr>
            <w:tcW w:type="dxa" w:w="1973"/>
            <w:vAlign w:val="top"/>
            <w:shd w:fill="F3F5F7"/>
            <w:tcMar>
              <w:top w:w="73" w:type="dxa"/>
              <w:bottom w:w="73" w:type="dxa"/>
              <w:left w:w="100" w:type="dxa"/>
              <w:right w:w="100" w:type="dxa"/>
            </w:tcMar>
          </w:tcPr>
          <w:p>
            <w:pPr>
              <w:pStyle w:val="TableText"/>
            </w:pPr>
            <w:r>
              <w:rPr>
                <w:sz w:val="19"/>
              </w:rPr>
              <w:t>12</w:t>
            </w:r>
          </w:p>
        </w:tc>
      </w:tr>
      <w:tr>
        <w:trPr>
          <w:cantSplit/>
        </w:trPr>
        <w:tc>
          <w:tcPr>
            <w:tcW w:type="dxa" w:w="4738"/>
            <w:vAlign w:val="top"/>
            <w:tcMar>
              <w:top w:w="73" w:type="dxa"/>
              <w:bottom w:w="73" w:type="dxa"/>
              <w:left w:w="100" w:type="dxa"/>
              <w:right w:w="100" w:type="dxa"/>
            </w:tcMar>
          </w:tcPr>
          <w:p>
            <w:pPr>
              <w:pStyle w:val="TableText"/>
            </w:pPr>
            <w:r>
              <w:rPr>
                <w:sz w:val="19"/>
              </w:rPr>
              <w:t>Search / data engineer</w:t>
            </w:r>
          </w:p>
        </w:tc>
        <w:tc>
          <w:tcPr>
            <w:tcW w:type="dxa" w:w="1757"/>
            <w:vAlign w:val="top"/>
            <w:tcMar>
              <w:top w:w="73" w:type="dxa"/>
              <w:bottom w:w="73" w:type="dxa"/>
              <w:left w:w="100" w:type="dxa"/>
              <w:right w:w="100" w:type="dxa"/>
            </w:tcMar>
          </w:tcPr>
          <w:p>
            <w:pPr>
              <w:pStyle w:val="TableText"/>
            </w:pPr>
            <w:r>
              <w:rPr>
                <w:sz w:val="19"/>
              </w:rPr>
              <w:t>1</w:t>
            </w:r>
          </w:p>
        </w:tc>
        <w:tc>
          <w:tcPr>
            <w:tcW w:type="dxa" w:w="1699"/>
            <w:vAlign w:val="top"/>
            <w:tcMar>
              <w:top w:w="73" w:type="dxa"/>
              <w:bottom w:w="73" w:type="dxa"/>
              <w:left w:w="100" w:type="dxa"/>
              <w:right w:w="100" w:type="dxa"/>
            </w:tcMar>
          </w:tcPr>
          <w:p>
            <w:pPr>
              <w:pStyle w:val="TableText"/>
            </w:pPr>
            <w:r>
              <w:rPr>
                <w:sz w:val="19"/>
              </w:rPr>
              <w:t>12</w:t>
            </w:r>
          </w:p>
        </w:tc>
        <w:tc>
          <w:tcPr>
            <w:tcW w:type="dxa" w:w="1973"/>
            <w:vAlign w:val="top"/>
            <w:tcMar>
              <w:top w:w="73" w:type="dxa"/>
              <w:bottom w:w="73" w:type="dxa"/>
              <w:left w:w="100" w:type="dxa"/>
              <w:right w:w="100" w:type="dxa"/>
            </w:tcMar>
          </w:tcPr>
          <w:p>
            <w:pPr>
              <w:pStyle w:val="TableText"/>
            </w:pPr>
            <w:r>
              <w:rPr>
                <w:sz w:val="19"/>
              </w:rPr>
              <w:t>12</w:t>
            </w:r>
          </w:p>
        </w:tc>
      </w:tr>
      <w:tr>
        <w:trPr>
          <w:cantSplit/>
        </w:trPr>
        <w:tc>
          <w:tcPr>
            <w:tcW w:type="dxa" w:w="4738"/>
            <w:vAlign w:val="top"/>
            <w:shd w:fill="F3F5F7"/>
            <w:tcMar>
              <w:top w:w="73" w:type="dxa"/>
              <w:bottom w:w="73" w:type="dxa"/>
              <w:left w:w="100" w:type="dxa"/>
              <w:right w:w="100" w:type="dxa"/>
            </w:tcMar>
          </w:tcPr>
          <w:p>
            <w:pPr>
              <w:pStyle w:val="TableText"/>
            </w:pPr>
            <w:r>
              <w:rPr>
                <w:sz w:val="19"/>
              </w:rPr>
              <w:t>NPU / runtime engineer</w:t>
            </w:r>
          </w:p>
        </w:tc>
        <w:tc>
          <w:tcPr>
            <w:tcW w:type="dxa" w:w="1757"/>
            <w:vAlign w:val="top"/>
            <w:shd w:fill="F3F5F7"/>
            <w:tcMar>
              <w:top w:w="73" w:type="dxa"/>
              <w:bottom w:w="73" w:type="dxa"/>
              <w:left w:w="100" w:type="dxa"/>
              <w:right w:w="100" w:type="dxa"/>
            </w:tcMar>
          </w:tcPr>
          <w:p>
            <w:pPr>
              <w:pStyle w:val="TableText"/>
            </w:pPr>
            <w:r>
              <w:rPr>
                <w:sz w:val="19"/>
              </w:rPr>
              <w:t>1</w:t>
            </w:r>
          </w:p>
        </w:tc>
        <w:tc>
          <w:tcPr>
            <w:tcW w:type="dxa" w:w="1699"/>
            <w:vAlign w:val="top"/>
            <w:shd w:fill="F3F5F7"/>
            <w:tcMar>
              <w:top w:w="73" w:type="dxa"/>
              <w:bottom w:w="73" w:type="dxa"/>
              <w:left w:w="100" w:type="dxa"/>
              <w:right w:w="100" w:type="dxa"/>
            </w:tcMar>
          </w:tcPr>
          <w:p>
            <w:pPr>
              <w:pStyle w:val="TableText"/>
            </w:pPr>
            <w:r>
              <w:rPr>
                <w:sz w:val="19"/>
              </w:rPr>
              <w:t>10</w:t>
            </w:r>
          </w:p>
        </w:tc>
        <w:tc>
          <w:tcPr>
            <w:tcW w:type="dxa" w:w="1973"/>
            <w:vAlign w:val="top"/>
            <w:shd w:fill="F3F5F7"/>
            <w:tcMar>
              <w:top w:w="73" w:type="dxa"/>
              <w:bottom w:w="73" w:type="dxa"/>
              <w:left w:w="100" w:type="dxa"/>
              <w:right w:w="100" w:type="dxa"/>
            </w:tcMar>
          </w:tcPr>
          <w:p>
            <w:pPr>
              <w:pStyle w:val="TableText"/>
            </w:pPr>
            <w:r>
              <w:rPr>
                <w:sz w:val="19"/>
              </w:rPr>
              <w:t>10</w:t>
            </w:r>
          </w:p>
        </w:tc>
      </w:tr>
      <w:tr>
        <w:trPr>
          <w:cantSplit/>
        </w:trPr>
        <w:tc>
          <w:tcPr>
            <w:tcW w:type="dxa" w:w="4738"/>
            <w:vAlign w:val="top"/>
            <w:tcMar>
              <w:top w:w="73" w:type="dxa"/>
              <w:bottom w:w="73" w:type="dxa"/>
              <w:left w:w="100" w:type="dxa"/>
              <w:right w:w="100" w:type="dxa"/>
            </w:tcMar>
          </w:tcPr>
          <w:p>
            <w:pPr>
              <w:pStyle w:val="TableText"/>
            </w:pPr>
            <w:r>
              <w:rPr>
                <w:sz w:val="19"/>
              </w:rPr>
              <w:t>Performance / simulation</w:t>
            </w:r>
          </w:p>
        </w:tc>
        <w:tc>
          <w:tcPr>
            <w:tcW w:type="dxa" w:w="1757"/>
            <w:vAlign w:val="top"/>
            <w:tcMar>
              <w:top w:w="73" w:type="dxa"/>
              <w:bottom w:w="73" w:type="dxa"/>
              <w:left w:w="100" w:type="dxa"/>
              <w:right w:w="100" w:type="dxa"/>
            </w:tcMar>
          </w:tcPr>
          <w:p>
            <w:pPr>
              <w:pStyle w:val="TableText"/>
            </w:pPr>
            <w:r>
              <w:rPr>
                <w:sz w:val="19"/>
              </w:rPr>
              <w:t>0.75</w:t>
            </w:r>
          </w:p>
        </w:tc>
        <w:tc>
          <w:tcPr>
            <w:tcW w:type="dxa" w:w="1699"/>
            <w:vAlign w:val="top"/>
            <w:tcMar>
              <w:top w:w="73" w:type="dxa"/>
              <w:bottom w:w="73" w:type="dxa"/>
              <w:left w:w="100" w:type="dxa"/>
              <w:right w:w="100" w:type="dxa"/>
            </w:tcMar>
          </w:tcPr>
          <w:p>
            <w:pPr>
              <w:pStyle w:val="TableText"/>
            </w:pPr>
            <w:r>
              <w:rPr>
                <w:sz w:val="19"/>
              </w:rPr>
              <w:t>12</w:t>
            </w:r>
          </w:p>
        </w:tc>
        <w:tc>
          <w:tcPr>
            <w:tcW w:type="dxa" w:w="1973"/>
            <w:vAlign w:val="top"/>
            <w:tcMar>
              <w:top w:w="73" w:type="dxa"/>
              <w:bottom w:w="73" w:type="dxa"/>
              <w:left w:w="100" w:type="dxa"/>
              <w:right w:w="100" w:type="dxa"/>
            </w:tcMar>
          </w:tcPr>
          <w:p>
            <w:pPr>
              <w:pStyle w:val="TableText"/>
            </w:pPr>
            <w:r>
              <w:rPr>
                <w:sz w:val="19"/>
              </w:rPr>
              <w:t>9</w:t>
            </w:r>
          </w:p>
        </w:tc>
      </w:tr>
      <w:tr>
        <w:trPr>
          <w:cantSplit/>
        </w:trPr>
        <w:tc>
          <w:tcPr>
            <w:tcW w:type="dxa" w:w="4738"/>
            <w:vAlign w:val="top"/>
            <w:shd w:fill="F3F5F7"/>
            <w:tcMar>
              <w:top w:w="73" w:type="dxa"/>
              <w:bottom w:w="73" w:type="dxa"/>
              <w:left w:w="100" w:type="dxa"/>
              <w:right w:w="100" w:type="dxa"/>
            </w:tcMar>
          </w:tcPr>
          <w:p>
            <w:pPr>
              <w:pStyle w:val="TableText"/>
            </w:pPr>
            <w:r>
              <w:rPr>
                <w:sz w:val="19"/>
              </w:rPr>
              <w:t>Firmware / driver</w:t>
            </w:r>
          </w:p>
        </w:tc>
        <w:tc>
          <w:tcPr>
            <w:tcW w:type="dxa" w:w="1757"/>
            <w:vAlign w:val="top"/>
            <w:shd w:fill="F3F5F7"/>
            <w:tcMar>
              <w:top w:w="73" w:type="dxa"/>
              <w:bottom w:w="73" w:type="dxa"/>
              <w:left w:w="100" w:type="dxa"/>
              <w:right w:w="100" w:type="dxa"/>
            </w:tcMar>
          </w:tcPr>
          <w:p>
            <w:pPr>
              <w:pStyle w:val="TableText"/>
            </w:pPr>
            <w:r>
              <w:rPr>
                <w:sz w:val="19"/>
              </w:rPr>
              <w:t>0.5</w:t>
            </w:r>
          </w:p>
        </w:tc>
        <w:tc>
          <w:tcPr>
            <w:tcW w:type="dxa" w:w="1699"/>
            <w:vAlign w:val="top"/>
            <w:shd w:fill="F3F5F7"/>
            <w:tcMar>
              <w:top w:w="73" w:type="dxa"/>
              <w:bottom w:w="73" w:type="dxa"/>
              <w:left w:w="100" w:type="dxa"/>
              <w:right w:w="100" w:type="dxa"/>
            </w:tcMar>
          </w:tcPr>
          <w:p>
            <w:pPr>
              <w:pStyle w:val="TableText"/>
            </w:pPr>
            <w:r>
              <w:rPr>
                <w:sz w:val="19"/>
              </w:rPr>
              <w:t>8</w:t>
            </w:r>
          </w:p>
        </w:tc>
        <w:tc>
          <w:tcPr>
            <w:tcW w:type="dxa" w:w="1973"/>
            <w:vAlign w:val="top"/>
            <w:shd w:fill="F3F5F7"/>
            <w:tcMar>
              <w:top w:w="73" w:type="dxa"/>
              <w:bottom w:w="73" w:type="dxa"/>
              <w:left w:w="100" w:type="dxa"/>
              <w:right w:w="100" w:type="dxa"/>
            </w:tcMar>
          </w:tcPr>
          <w:p>
            <w:pPr>
              <w:pStyle w:val="TableText"/>
            </w:pPr>
            <w:r>
              <w:rPr>
                <w:sz w:val="19"/>
              </w:rPr>
              <w:t>4</w:t>
            </w:r>
          </w:p>
        </w:tc>
      </w:tr>
      <w:tr>
        <w:trPr>
          <w:cantSplit/>
        </w:trPr>
        <w:tc>
          <w:tcPr>
            <w:tcW w:type="dxa" w:w="4738"/>
            <w:vAlign w:val="top"/>
            <w:tcMar>
              <w:top w:w="73" w:type="dxa"/>
              <w:bottom w:w="73" w:type="dxa"/>
              <w:left w:w="100" w:type="dxa"/>
              <w:right w:w="100" w:type="dxa"/>
            </w:tcMar>
          </w:tcPr>
          <w:p>
            <w:pPr>
              <w:pStyle w:val="TableText"/>
            </w:pPr>
            <w:r>
              <w:rPr>
                <w:sz w:val="19"/>
              </w:rPr>
              <w:t>OEM / platform</w:t>
            </w:r>
          </w:p>
        </w:tc>
        <w:tc>
          <w:tcPr>
            <w:tcW w:type="dxa" w:w="1757"/>
            <w:vAlign w:val="top"/>
            <w:tcMar>
              <w:top w:w="73" w:type="dxa"/>
              <w:bottom w:w="73" w:type="dxa"/>
              <w:left w:w="100" w:type="dxa"/>
              <w:right w:w="100" w:type="dxa"/>
            </w:tcMar>
          </w:tcPr>
          <w:p>
            <w:pPr>
              <w:pStyle w:val="TableText"/>
            </w:pPr>
            <w:r>
              <w:rPr>
                <w:sz w:val="19"/>
              </w:rPr>
              <w:t>0.5</w:t>
            </w:r>
          </w:p>
        </w:tc>
        <w:tc>
          <w:tcPr>
            <w:tcW w:type="dxa" w:w="1699"/>
            <w:vAlign w:val="top"/>
            <w:tcMar>
              <w:top w:w="73" w:type="dxa"/>
              <w:bottom w:w="73" w:type="dxa"/>
              <w:left w:w="100" w:type="dxa"/>
              <w:right w:w="100" w:type="dxa"/>
            </w:tcMar>
          </w:tcPr>
          <w:p>
            <w:pPr>
              <w:pStyle w:val="TableText"/>
            </w:pPr>
            <w:r>
              <w:rPr>
                <w:sz w:val="19"/>
              </w:rPr>
              <w:t>8</w:t>
            </w:r>
          </w:p>
        </w:tc>
        <w:tc>
          <w:tcPr>
            <w:tcW w:type="dxa" w:w="1973"/>
            <w:vAlign w:val="top"/>
            <w:tcMar>
              <w:top w:w="73" w:type="dxa"/>
              <w:bottom w:w="73" w:type="dxa"/>
              <w:left w:w="100" w:type="dxa"/>
              <w:right w:w="100" w:type="dxa"/>
            </w:tcMar>
          </w:tcPr>
          <w:p>
            <w:pPr>
              <w:pStyle w:val="TableText"/>
            </w:pPr>
            <w:r>
              <w:rPr>
                <w:sz w:val="19"/>
              </w:rPr>
              <w:t>4</w:t>
            </w:r>
          </w:p>
        </w:tc>
      </w:tr>
      <w:tr>
        <w:trPr>
          <w:cantSplit/>
        </w:trPr>
        <w:tc>
          <w:tcPr>
            <w:tcW w:type="dxa" w:w="4738"/>
            <w:vAlign w:val="top"/>
            <w:shd w:fill="F3F5F7"/>
            <w:tcMar>
              <w:top w:w="73" w:type="dxa"/>
              <w:bottom w:w="73" w:type="dxa"/>
              <w:left w:w="100" w:type="dxa"/>
              <w:right w:w="100" w:type="dxa"/>
            </w:tcMar>
          </w:tcPr>
          <w:p>
            <w:pPr>
              <w:pStyle w:val="TableText"/>
            </w:pPr>
            <w:r>
              <w:rPr>
                <w:sz w:val="19"/>
              </w:rPr>
              <w:t>Validation / SRE</w:t>
            </w:r>
          </w:p>
        </w:tc>
        <w:tc>
          <w:tcPr>
            <w:tcW w:type="dxa" w:w="1757"/>
            <w:vAlign w:val="top"/>
            <w:shd w:fill="F3F5F7"/>
            <w:tcMar>
              <w:top w:w="73" w:type="dxa"/>
              <w:bottom w:w="73" w:type="dxa"/>
              <w:left w:w="100" w:type="dxa"/>
              <w:right w:w="100" w:type="dxa"/>
            </w:tcMar>
          </w:tcPr>
          <w:p>
            <w:pPr>
              <w:pStyle w:val="TableText"/>
            </w:pPr>
            <w:r>
              <w:rPr>
                <w:sz w:val="19"/>
              </w:rPr>
              <w:t>0.5</w:t>
            </w:r>
          </w:p>
        </w:tc>
        <w:tc>
          <w:tcPr>
            <w:tcW w:type="dxa" w:w="1699"/>
            <w:vAlign w:val="top"/>
            <w:shd w:fill="F3F5F7"/>
            <w:tcMar>
              <w:top w:w="73" w:type="dxa"/>
              <w:bottom w:w="73" w:type="dxa"/>
              <w:left w:w="100" w:type="dxa"/>
              <w:right w:w="100" w:type="dxa"/>
            </w:tcMar>
          </w:tcPr>
          <w:p>
            <w:pPr>
              <w:pStyle w:val="TableText"/>
            </w:pPr>
            <w:r>
              <w:rPr>
                <w:sz w:val="19"/>
              </w:rPr>
              <w:t>8</w:t>
            </w:r>
          </w:p>
        </w:tc>
        <w:tc>
          <w:tcPr>
            <w:tcW w:type="dxa" w:w="1973"/>
            <w:vAlign w:val="top"/>
            <w:shd w:fill="F3F5F7"/>
            <w:tcMar>
              <w:top w:w="73" w:type="dxa"/>
              <w:bottom w:w="73" w:type="dxa"/>
              <w:left w:w="100" w:type="dxa"/>
              <w:right w:w="100" w:type="dxa"/>
            </w:tcMar>
          </w:tcPr>
          <w:p>
            <w:pPr>
              <w:pStyle w:val="TableText"/>
            </w:pPr>
            <w:r>
              <w:rPr>
                <w:sz w:val="19"/>
              </w:rPr>
              <w:t>4</w:t>
            </w:r>
          </w:p>
        </w:tc>
      </w:tr>
      <w:tr>
        <w:trPr>
          <w:cantSplit/>
        </w:trPr>
        <w:tc>
          <w:tcPr>
            <w:tcW w:type="dxa" w:w="4738"/>
            <w:vAlign w:val="top"/>
            <w:tcMar>
              <w:top w:w="73" w:type="dxa"/>
              <w:bottom w:w="73" w:type="dxa"/>
              <w:left w:w="100" w:type="dxa"/>
              <w:right w:w="100" w:type="dxa"/>
            </w:tcMar>
          </w:tcPr>
          <w:p>
            <w:pPr>
              <w:pStyle w:val="TableText"/>
            </w:pPr>
            <w:r>
              <w:rPr>
                <w:sz w:val="19"/>
              </w:rPr>
              <w:t>Partner development</w:t>
            </w:r>
          </w:p>
        </w:tc>
        <w:tc>
          <w:tcPr>
            <w:tcW w:type="dxa" w:w="1757"/>
            <w:vAlign w:val="top"/>
            <w:tcMar>
              <w:top w:w="73" w:type="dxa"/>
              <w:bottom w:w="73" w:type="dxa"/>
              <w:left w:w="100" w:type="dxa"/>
              <w:right w:w="100" w:type="dxa"/>
            </w:tcMar>
          </w:tcPr>
          <w:p>
            <w:pPr>
              <w:pStyle w:val="TableText"/>
            </w:pPr>
            <w:r>
              <w:rPr>
                <w:sz w:val="19"/>
              </w:rPr>
              <w:t>0.25</w:t>
            </w:r>
          </w:p>
        </w:tc>
        <w:tc>
          <w:tcPr>
            <w:tcW w:type="dxa" w:w="1699"/>
            <w:vAlign w:val="top"/>
            <w:tcMar>
              <w:top w:w="73" w:type="dxa"/>
              <w:bottom w:w="73" w:type="dxa"/>
              <w:left w:w="100" w:type="dxa"/>
              <w:right w:w="100" w:type="dxa"/>
            </w:tcMar>
          </w:tcPr>
          <w:p>
            <w:pPr>
              <w:pStyle w:val="TableText"/>
            </w:pPr>
            <w:r>
              <w:rPr>
                <w:sz w:val="19"/>
              </w:rPr>
              <w:t>12</w:t>
            </w:r>
          </w:p>
        </w:tc>
        <w:tc>
          <w:tcPr>
            <w:tcW w:type="dxa" w:w="1973"/>
            <w:vAlign w:val="top"/>
            <w:tcMar>
              <w:top w:w="73" w:type="dxa"/>
              <w:bottom w:w="73" w:type="dxa"/>
              <w:left w:w="100" w:type="dxa"/>
              <w:right w:w="100" w:type="dxa"/>
            </w:tcMar>
          </w:tcPr>
          <w:p>
            <w:pPr>
              <w:pStyle w:val="TableText"/>
            </w:pPr>
            <w:r>
              <w:rPr>
                <w:sz w:val="19"/>
              </w:rPr>
              <w:t>3</w:t>
            </w:r>
          </w:p>
        </w:tc>
      </w:tr>
      <w:tr>
        <w:trPr>
          <w:cantSplit/>
        </w:trPr>
        <w:tc>
          <w:tcPr>
            <w:tcW w:type="dxa" w:w="4738"/>
            <w:vAlign w:val="top"/>
            <w:shd w:fill="F3F5F7"/>
            <w:tcMar>
              <w:top w:w="73" w:type="dxa"/>
              <w:bottom w:w="73" w:type="dxa"/>
              <w:left w:w="100" w:type="dxa"/>
              <w:right w:w="100" w:type="dxa"/>
            </w:tcMar>
          </w:tcPr>
          <w:p>
            <w:pPr>
              <w:pStyle w:val="TableText"/>
            </w:pPr>
            <w:r>
              <w:rPr>
                <w:sz w:val="19"/>
              </w:rPr>
              <w:t>Finance</w:t>
            </w:r>
          </w:p>
        </w:tc>
        <w:tc>
          <w:tcPr>
            <w:tcW w:type="dxa" w:w="1757"/>
            <w:vAlign w:val="top"/>
            <w:shd w:fill="F3F5F7"/>
            <w:tcMar>
              <w:top w:w="73" w:type="dxa"/>
              <w:bottom w:w="73" w:type="dxa"/>
              <w:left w:w="100" w:type="dxa"/>
              <w:right w:w="100" w:type="dxa"/>
            </w:tcMar>
          </w:tcPr>
          <w:p>
            <w:pPr>
              <w:pStyle w:val="TableText"/>
            </w:pPr>
            <w:r>
              <w:rPr>
                <w:sz w:val="19"/>
              </w:rPr>
              <w:t>0.1</w:t>
            </w:r>
          </w:p>
        </w:tc>
        <w:tc>
          <w:tcPr>
            <w:tcW w:type="dxa" w:w="1699"/>
            <w:vAlign w:val="top"/>
            <w:shd w:fill="F3F5F7"/>
            <w:tcMar>
              <w:top w:w="73" w:type="dxa"/>
              <w:bottom w:w="73" w:type="dxa"/>
              <w:left w:w="100" w:type="dxa"/>
              <w:right w:w="100" w:type="dxa"/>
            </w:tcMar>
          </w:tcPr>
          <w:p>
            <w:pPr>
              <w:pStyle w:val="TableText"/>
            </w:pPr>
            <w:r>
              <w:rPr>
                <w:sz w:val="19"/>
              </w:rPr>
              <w:t>6</w:t>
            </w:r>
          </w:p>
        </w:tc>
        <w:tc>
          <w:tcPr>
            <w:tcW w:type="dxa" w:w="1973"/>
            <w:vAlign w:val="top"/>
            <w:shd w:fill="F3F5F7"/>
            <w:tcMar>
              <w:top w:w="73" w:type="dxa"/>
              <w:bottom w:w="73" w:type="dxa"/>
              <w:left w:w="100" w:type="dxa"/>
              <w:right w:w="100" w:type="dxa"/>
            </w:tcMar>
          </w:tcPr>
          <w:p>
            <w:pPr>
              <w:pStyle w:val="TableText"/>
            </w:pPr>
            <w:r>
              <w:rPr>
                <w:sz w:val="19"/>
              </w:rPr>
              <w:t>0.6</w:t>
            </w:r>
          </w:p>
        </w:tc>
      </w:tr>
      <w:tr>
        <w:trPr>
          <w:cantSplit/>
        </w:trPr>
        <w:tc>
          <w:tcPr>
            <w:tcW w:type="dxa" w:w="4738"/>
            <w:vAlign w:val="top"/>
            <w:tcMar>
              <w:top w:w="73" w:type="dxa"/>
              <w:bottom w:w="73" w:type="dxa"/>
              <w:left w:w="100" w:type="dxa"/>
              <w:right w:w="100" w:type="dxa"/>
            </w:tcMar>
          </w:tcPr>
          <w:p>
            <w:pPr>
              <w:pStyle w:val="TableText"/>
            </w:pPr>
            <w:r>
              <w:rPr>
                <w:sz w:val="19"/>
              </w:rPr>
              <w:t>Security / data governance</w:t>
            </w:r>
          </w:p>
        </w:tc>
        <w:tc>
          <w:tcPr>
            <w:tcW w:type="dxa" w:w="1757"/>
            <w:vAlign w:val="top"/>
            <w:tcMar>
              <w:top w:w="73" w:type="dxa"/>
              <w:bottom w:w="73" w:type="dxa"/>
              <w:left w:w="100" w:type="dxa"/>
              <w:right w:w="100" w:type="dxa"/>
            </w:tcMar>
          </w:tcPr>
          <w:p>
            <w:pPr>
              <w:pStyle w:val="TableText"/>
            </w:pPr>
            <w:r>
              <w:rPr>
                <w:sz w:val="19"/>
              </w:rPr>
              <w:t>0.1</w:t>
            </w:r>
          </w:p>
        </w:tc>
        <w:tc>
          <w:tcPr>
            <w:tcW w:type="dxa" w:w="1699"/>
            <w:vAlign w:val="top"/>
            <w:tcMar>
              <w:top w:w="73" w:type="dxa"/>
              <w:bottom w:w="73" w:type="dxa"/>
              <w:left w:w="100" w:type="dxa"/>
              <w:right w:w="100" w:type="dxa"/>
            </w:tcMar>
          </w:tcPr>
          <w:p>
            <w:pPr>
              <w:pStyle w:val="TableText"/>
            </w:pPr>
            <w:r>
              <w:rPr>
                <w:sz w:val="19"/>
              </w:rPr>
              <w:t>6</w:t>
            </w:r>
          </w:p>
        </w:tc>
        <w:tc>
          <w:tcPr>
            <w:tcW w:type="dxa" w:w="1973"/>
            <w:vAlign w:val="top"/>
            <w:tcMar>
              <w:top w:w="73" w:type="dxa"/>
              <w:bottom w:w="73" w:type="dxa"/>
              <w:left w:w="100" w:type="dxa"/>
              <w:right w:w="100" w:type="dxa"/>
            </w:tcMar>
          </w:tcPr>
          <w:p>
            <w:pPr>
              <w:pStyle w:val="TableText"/>
            </w:pPr>
            <w:r>
              <w:rPr>
                <w:sz w:val="19"/>
              </w:rPr>
              <w:t>0.6</w:t>
            </w:r>
          </w:p>
        </w:tc>
      </w:tr>
    </w:tbl>
    <w:p>
      <w:pPr>
        <w:spacing w:after="20"/>
      </w:pPr>
    </w:p>
    <w:p>
      <w:r/>
      <w:r>
        <w:rPr>
          <w:b/>
        </w:rPr>
        <w:t>Total: 59.2 FTE-weeks, or 13.66 FTE-months</w:t>
      </w:r>
      <w:r>
        <w:t xml:space="preserve"> using 52/12 weeks per month. This averages about five full-time equivalents over 12 weeks; managers must confirm actual overlap and availability. AI-assisted coding may reduce implementation effort, but not eliminate supplier, data, measurement, or qualification dependencies.</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7229"/>
        <w:gridCol w:w="2938"/>
      </w:tblGrid>
      <w:tr>
        <w:trPr>
          <w:tblHeader/>
          <w:cantSplit/>
        </w:trPr>
        <w:tc>
          <w:tcPr>
            <w:tcW w:type="dxa" w:w="7229"/>
            <w:shd w:fill="A31630"/>
            <w:tcMar>
              <w:top w:w="73" w:type="dxa"/>
              <w:bottom w:w="73" w:type="dxa"/>
              <w:left w:w="100" w:type="dxa"/>
              <w:right w:w="100" w:type="dxa"/>
            </w:tcMar>
          </w:tcPr>
          <w:p>
            <w:pPr>
              <w:pStyle w:val="TableText"/>
            </w:pPr>
            <w:r>
              <w:rPr>
                <w:b/>
                <w:color w:val="FFFFFF"/>
                <w:sz w:val="20"/>
              </w:rPr>
              <w:t>Incremental direct spend</w:t>
            </w:r>
          </w:p>
        </w:tc>
        <w:tc>
          <w:tcPr>
            <w:tcW w:type="dxa" w:w="2938"/>
            <w:shd w:fill="A31630"/>
            <w:tcMar>
              <w:top w:w="73" w:type="dxa"/>
              <w:bottom w:w="73" w:type="dxa"/>
              <w:left w:w="100" w:type="dxa"/>
              <w:right w:w="100" w:type="dxa"/>
            </w:tcMar>
          </w:tcPr>
          <w:p>
            <w:pPr>
              <w:pStyle w:val="TableText"/>
            </w:pPr>
            <w:r>
              <w:rPr>
                <w:b/>
                <w:color w:val="FFFFFF"/>
                <w:sz w:val="20"/>
              </w:rPr>
              <w:t>Planning range</w:t>
            </w:r>
          </w:p>
        </w:tc>
      </w:tr>
      <w:tr>
        <w:trPr>
          <w:cantSplit/>
        </w:trPr>
        <w:tc>
          <w:tcPr>
            <w:tcW w:type="dxa" w:w="7229"/>
            <w:vAlign w:val="top"/>
            <w:shd w:fill="F3F5F7"/>
            <w:tcMar>
              <w:top w:w="73" w:type="dxa"/>
              <w:bottom w:w="73" w:type="dxa"/>
              <w:left w:w="100" w:type="dxa"/>
              <w:right w:w="100" w:type="dxa"/>
            </w:tcMar>
          </w:tcPr>
          <w:p>
            <w:pPr>
              <w:pStyle w:val="TableText"/>
            </w:pPr>
            <w:r>
              <w:rPr>
                <w:sz w:val="20"/>
              </w:rPr>
              <w:t>Cloud / dataset storage / repeat runs</w:t>
            </w:r>
          </w:p>
        </w:tc>
        <w:tc>
          <w:tcPr>
            <w:tcW w:type="dxa" w:w="2938"/>
            <w:vAlign w:val="top"/>
            <w:shd w:fill="F3F5F7"/>
            <w:tcMar>
              <w:top w:w="73" w:type="dxa"/>
              <w:bottom w:w="73" w:type="dxa"/>
              <w:left w:w="100" w:type="dxa"/>
              <w:right w:w="100" w:type="dxa"/>
            </w:tcMar>
          </w:tcPr>
          <w:p>
            <w:pPr>
              <w:pStyle w:val="TableText"/>
            </w:pPr>
            <w:r>
              <w:rPr>
                <w:sz w:val="20"/>
              </w:rPr>
              <w:t>$10K–$25K</w:t>
            </w:r>
          </w:p>
        </w:tc>
      </w:tr>
      <w:tr>
        <w:trPr>
          <w:cantSplit/>
        </w:trPr>
        <w:tc>
          <w:tcPr>
            <w:tcW w:type="dxa" w:w="7229"/>
            <w:vAlign w:val="top"/>
            <w:tcMar>
              <w:top w:w="73" w:type="dxa"/>
              <w:bottom w:w="73" w:type="dxa"/>
              <w:left w:w="100" w:type="dxa"/>
              <w:right w:w="100" w:type="dxa"/>
            </w:tcMar>
          </w:tcPr>
          <w:p>
            <w:pPr>
              <w:pStyle w:val="TableText"/>
            </w:pPr>
            <w:r>
              <w:rPr>
                <w:sz w:val="20"/>
              </w:rPr>
              <w:t>Reference-lab rental or limited upgrades</w:t>
            </w:r>
          </w:p>
        </w:tc>
        <w:tc>
          <w:tcPr>
            <w:tcW w:type="dxa" w:w="2938"/>
            <w:vAlign w:val="top"/>
            <w:tcMar>
              <w:top w:w="73" w:type="dxa"/>
              <w:bottom w:w="73" w:type="dxa"/>
              <w:left w:w="100" w:type="dxa"/>
              <w:right w:w="100" w:type="dxa"/>
            </w:tcMar>
          </w:tcPr>
          <w:p>
            <w:pPr>
              <w:pStyle w:val="TableText"/>
            </w:pPr>
            <w:r>
              <w:rPr>
                <w:sz w:val="20"/>
              </w:rPr>
              <w:t>$5K–$25K</w:t>
            </w:r>
          </w:p>
        </w:tc>
      </w:tr>
      <w:tr>
        <w:trPr>
          <w:cantSplit/>
        </w:trPr>
        <w:tc>
          <w:tcPr>
            <w:tcW w:type="dxa" w:w="7229"/>
            <w:vAlign w:val="top"/>
            <w:shd w:fill="F3F5F7"/>
            <w:tcMar>
              <w:top w:w="73" w:type="dxa"/>
              <w:bottom w:w="73" w:type="dxa"/>
              <w:left w:w="100" w:type="dxa"/>
              <w:right w:w="100" w:type="dxa"/>
            </w:tcMar>
          </w:tcPr>
          <w:p>
            <w:pPr>
              <w:pStyle w:val="TableText"/>
            </w:pPr>
            <w:r>
              <w:rPr>
                <w:sz w:val="20"/>
              </w:rPr>
              <w:t>Power/thermal fixture and emulator support</w:t>
            </w:r>
          </w:p>
        </w:tc>
        <w:tc>
          <w:tcPr>
            <w:tcW w:type="dxa" w:w="2938"/>
            <w:vAlign w:val="top"/>
            <w:shd w:fill="F3F5F7"/>
            <w:tcMar>
              <w:top w:w="73" w:type="dxa"/>
              <w:bottom w:w="73" w:type="dxa"/>
              <w:left w:w="100" w:type="dxa"/>
              <w:right w:w="100" w:type="dxa"/>
            </w:tcMar>
          </w:tcPr>
          <w:p>
            <w:pPr>
              <w:pStyle w:val="TableText"/>
            </w:pPr>
            <w:r>
              <w:rPr>
                <w:sz w:val="20"/>
              </w:rPr>
              <w:t>$5K–$15K</w:t>
            </w:r>
          </w:p>
        </w:tc>
      </w:tr>
      <w:tr>
        <w:trPr>
          <w:cantSplit/>
        </w:trPr>
        <w:tc>
          <w:tcPr>
            <w:tcW w:type="dxa" w:w="7229"/>
            <w:vAlign w:val="top"/>
            <w:tcMar>
              <w:top w:w="73" w:type="dxa"/>
              <w:bottom w:w="73" w:type="dxa"/>
              <w:left w:w="100" w:type="dxa"/>
              <w:right w:w="100" w:type="dxa"/>
            </w:tcMar>
          </w:tcPr>
          <w:p>
            <w:pPr>
              <w:pStyle w:val="TableText"/>
            </w:pPr>
            <w:r>
              <w:rPr>
                <w:sz w:val="20"/>
              </w:rPr>
              <w:t>Partner workshops / data preparation / travel</w:t>
            </w:r>
          </w:p>
        </w:tc>
        <w:tc>
          <w:tcPr>
            <w:tcW w:type="dxa" w:w="2938"/>
            <w:vAlign w:val="top"/>
            <w:tcMar>
              <w:top w:w="73" w:type="dxa"/>
              <w:bottom w:w="73" w:type="dxa"/>
              <w:left w:w="100" w:type="dxa"/>
              <w:right w:w="100" w:type="dxa"/>
            </w:tcMar>
          </w:tcPr>
          <w:p>
            <w:pPr>
              <w:pStyle w:val="TableText"/>
            </w:pPr>
            <w:r>
              <w:rPr>
                <w:sz w:val="20"/>
              </w:rPr>
              <w:t>$5K–$10K</w:t>
            </w:r>
          </w:p>
        </w:tc>
      </w:tr>
      <w:tr>
        <w:trPr>
          <w:cantSplit/>
        </w:trPr>
        <w:tc>
          <w:tcPr>
            <w:tcW w:type="dxa" w:w="7229"/>
            <w:vAlign w:val="top"/>
            <w:shd w:fill="F3F5F7"/>
            <w:tcMar>
              <w:top w:w="73" w:type="dxa"/>
              <w:bottom w:w="73" w:type="dxa"/>
              <w:left w:w="100" w:type="dxa"/>
              <w:right w:w="100" w:type="dxa"/>
            </w:tcMar>
          </w:tcPr>
          <w:p>
            <w:pPr>
              <w:pStyle w:val="TableText"/>
            </w:pPr>
            <w:r>
              <w:rPr>
                <w:sz w:val="20"/>
              </w:rPr>
            </w:r>
            <w:r>
              <w:rPr>
                <w:b/>
                <w:sz w:val="20"/>
              </w:rPr>
              <w:t>Direct-spend total</w:t>
            </w:r>
            <w:r>
              <w:rPr>
                <w:sz w:val="20"/>
              </w:rPr>
            </w:r>
          </w:p>
        </w:tc>
        <w:tc>
          <w:tcPr>
            <w:tcW w:type="dxa" w:w="2938"/>
            <w:vAlign w:val="top"/>
            <w:shd w:fill="F3F5F7"/>
            <w:tcMar>
              <w:top w:w="73" w:type="dxa"/>
              <w:bottom w:w="73" w:type="dxa"/>
              <w:left w:w="100" w:type="dxa"/>
              <w:right w:w="100" w:type="dxa"/>
            </w:tcMar>
          </w:tcPr>
          <w:p>
            <w:pPr>
              <w:pStyle w:val="TableText"/>
            </w:pPr>
            <w:r>
              <w:rPr>
                <w:sz w:val="20"/>
              </w:rPr>
            </w:r>
            <w:r>
              <w:rPr>
                <w:b/>
                <w:sz w:val="20"/>
              </w:rPr>
              <w:t>$25K–$75K</w:t>
            </w:r>
            <w:r>
              <w:rPr>
                <w:sz w:val="20"/>
              </w:rPr>
            </w:r>
          </w:p>
        </w:tc>
      </w:tr>
    </w:tbl>
    <w:p>
      <w:pPr>
        <w:spacing w:after="20"/>
      </w:pPr>
    </w:p>
    <w:p>
      <w:pPr>
        <w:pStyle w:val="Small"/>
      </w:pPr>
      <w:r>
        <w:t>Loaded labor sensitivity at $25K–$45K/FTE-month: $342K–$615K; total initial study envelope including direct spend: approximately $367K–$690K. Rates and ranges are analyst planning assumptions, not company rates or supplier quotes. Use internal rates before booking spend.</w:t>
      </w:r>
    </w:p>
    <w:p>
      <w:pPr>
        <w:pStyle w:val="Small"/>
      </w:pPr>
      <w:r>
        <w:t>Not included: ATMOS/HBF prototype boards and silicon, NPU modifications/licensing/NRE, production tooling, certification, inventory, product support organization, and later multi-node hardware. Obtain separate quotes. Do not add this estimate to earlier portfolio budgets without deduplicating shared work.</w:t>
      </w:r>
    </w:p>
    <w:p>
      <w:pPr>
        <w:pStyle w:val="Small"/>
        <w:keepNext/>
        <w:pageBreakBefore/>
      </w:pPr>
      <w:r>
        <w:rPr>
          <w:b/>
          <w:color w:val="24586E"/>
        </w:rPr>
        <w:t>USEFUL OUTPUTS BEFORE SILICON; HARDWARE DATES REMAIN CONDITIONAL</w:t>
      </w:r>
    </w:p>
    <w:p>
      <w:pPr>
        <w:pStyle w:val="Heading1"/>
      </w:pPr>
      <w:r>
        <w:t>19. The first 90 days and the evidence ladder</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1843"/>
        <w:gridCol w:w="4435"/>
        <w:gridCol w:w="3888"/>
      </w:tblGrid>
      <w:tr>
        <w:trPr>
          <w:tblHeader/>
          <w:cantSplit/>
        </w:trPr>
        <w:tc>
          <w:tcPr>
            <w:tcW w:type="dxa" w:w="1843"/>
            <w:shd w:fill="A31630"/>
            <w:tcMar>
              <w:top w:w="73" w:type="dxa"/>
              <w:bottom w:w="73" w:type="dxa"/>
              <w:left w:w="100" w:type="dxa"/>
              <w:right w:w="100" w:type="dxa"/>
            </w:tcMar>
          </w:tcPr>
          <w:p>
            <w:pPr>
              <w:pStyle w:val="TableText"/>
            </w:pPr>
            <w:r>
              <w:rPr>
                <w:b/>
                <w:color w:val="FFFFFF"/>
                <w:sz w:val="20"/>
              </w:rPr>
              <w:t>Window</w:t>
            </w:r>
          </w:p>
        </w:tc>
        <w:tc>
          <w:tcPr>
            <w:tcW w:type="dxa" w:w="4435"/>
            <w:shd w:fill="A31630"/>
            <w:tcMar>
              <w:top w:w="73" w:type="dxa"/>
              <w:bottom w:w="73" w:type="dxa"/>
              <w:left w:w="100" w:type="dxa"/>
              <w:right w:w="100" w:type="dxa"/>
            </w:tcMar>
          </w:tcPr>
          <w:p>
            <w:pPr>
              <w:pStyle w:val="TableText"/>
            </w:pPr>
            <w:r>
              <w:rPr>
                <w:b/>
                <w:color w:val="FFFFFF"/>
                <w:sz w:val="20"/>
              </w:rPr>
              <w:t>Work and owner</w:t>
            </w:r>
          </w:p>
        </w:tc>
        <w:tc>
          <w:tcPr>
            <w:tcW w:type="dxa" w:w="3888"/>
            <w:shd w:fill="A31630"/>
            <w:tcMar>
              <w:top w:w="73" w:type="dxa"/>
              <w:bottom w:w="73" w:type="dxa"/>
              <w:left w:w="100" w:type="dxa"/>
              <w:right w:w="100" w:type="dxa"/>
            </w:tcMar>
          </w:tcPr>
          <w:p>
            <w:pPr>
              <w:pStyle w:val="TableText"/>
            </w:pPr>
            <w:r>
              <w:rPr>
                <w:b/>
                <w:color w:val="FFFFFF"/>
                <w:sz w:val="20"/>
              </w:rPr>
              <w:t>Evidence available at exit</w:t>
            </w:r>
          </w:p>
        </w:tc>
      </w:tr>
      <w:tr>
        <w:trPr>
          <w:cantSplit/>
        </w:trPr>
        <w:tc>
          <w:tcPr>
            <w:tcW w:type="dxa" w:w="1843"/>
            <w:vAlign w:val="top"/>
            <w:shd w:fill="F3F5F7"/>
            <w:tcMar>
              <w:top w:w="73" w:type="dxa"/>
              <w:bottom w:w="73" w:type="dxa"/>
              <w:left w:w="100" w:type="dxa"/>
              <w:right w:w="100" w:type="dxa"/>
            </w:tcMar>
          </w:tcPr>
          <w:p>
            <w:pPr>
              <w:pStyle w:val="TableText"/>
            </w:pPr>
            <w:r>
              <w:rPr>
                <w:sz w:val="19"/>
              </w:rPr>
              <w:t>Weeks 1–2</w:t>
            </w:r>
          </w:p>
        </w:tc>
        <w:tc>
          <w:tcPr>
            <w:tcW w:type="dxa" w:w="4435"/>
            <w:vAlign w:val="top"/>
            <w:shd w:fill="F3F5F7"/>
            <w:tcMar>
              <w:top w:w="73" w:type="dxa"/>
              <w:bottom w:w="73" w:type="dxa"/>
              <w:left w:w="100" w:type="dxa"/>
              <w:right w:w="100" w:type="dxa"/>
            </w:tcMar>
          </w:tcPr>
          <w:p>
            <w:pPr>
              <w:pStyle w:val="TableText"/>
            </w:pPr>
            <w:r>
              <w:rPr>
                <w:sz w:val="19"/>
              </w:rPr>
              <w:t>Product + architecture: settle scope and shareable targets. Search lead: choose engine/data. Partner lead: qualify account paths.</w:t>
            </w:r>
          </w:p>
        </w:tc>
        <w:tc>
          <w:tcPr>
            <w:tcW w:type="dxa" w:w="3888"/>
            <w:vAlign w:val="top"/>
            <w:shd w:fill="F3F5F7"/>
            <w:tcMar>
              <w:top w:w="73" w:type="dxa"/>
              <w:bottom w:w="73" w:type="dxa"/>
              <w:left w:w="100" w:type="dxa"/>
              <w:right w:w="100" w:type="dxa"/>
            </w:tcMar>
          </w:tcPr>
          <w:p>
            <w:pPr>
              <w:pStyle w:val="TableText"/>
            </w:pPr>
            <w:r>
              <w:rPr>
                <w:sz w:val="19"/>
              </w:rPr>
              <w:t>Source/assumption register; one workload card; initial primitive/path risk report; outreach package.</w:t>
            </w:r>
          </w:p>
        </w:tc>
      </w:tr>
      <w:tr>
        <w:trPr>
          <w:cantSplit/>
        </w:trPr>
        <w:tc>
          <w:tcPr>
            <w:tcW w:type="dxa" w:w="1843"/>
            <w:vAlign w:val="top"/>
            <w:tcMar>
              <w:top w:w="73" w:type="dxa"/>
              <w:bottom w:w="73" w:type="dxa"/>
              <w:left w:w="100" w:type="dxa"/>
              <w:right w:w="100" w:type="dxa"/>
            </w:tcMar>
          </w:tcPr>
          <w:p>
            <w:pPr>
              <w:pStyle w:val="TableText"/>
            </w:pPr>
            <w:r>
              <w:rPr>
                <w:sz w:val="19"/>
              </w:rPr>
              <w:t>Weeks 3–4</w:t>
            </w:r>
          </w:p>
        </w:tc>
        <w:tc>
          <w:tcPr>
            <w:tcW w:type="dxa" w:w="4435"/>
            <w:vAlign w:val="top"/>
            <w:tcMar>
              <w:top w:w="73" w:type="dxa"/>
              <w:bottom w:w="73" w:type="dxa"/>
              <w:left w:w="100" w:type="dxa"/>
              <w:right w:w="100" w:type="dxa"/>
            </w:tcMar>
          </w:tcPr>
          <w:p>
            <w:pPr>
              <w:pStyle w:val="TableText"/>
            </w:pPr>
            <w:r>
              <w:rPr>
                <w:sz w:val="19"/>
              </w:rPr>
              <w:t>Search + performance: measured conventional controls. Runtime + OEM: adapter and device-path review.</w:t>
            </w:r>
          </w:p>
        </w:tc>
        <w:tc>
          <w:tcPr>
            <w:tcW w:type="dxa" w:w="3888"/>
            <w:vAlign w:val="top"/>
            <w:tcMar>
              <w:top w:w="73" w:type="dxa"/>
              <w:bottom w:w="73" w:type="dxa"/>
              <w:left w:w="100" w:type="dxa"/>
              <w:right w:w="100" w:type="dxa"/>
            </w:tcMar>
          </w:tcPr>
          <w:p>
            <w:pPr>
              <w:pStyle w:val="TableText"/>
            </w:pPr>
            <w:r>
              <w:rPr>
                <w:sz w:val="19"/>
              </w:rPr>
              <w:t>Repeatable score/correctness checks; access distributions; baseline cost inputs; confirmed blocking interfaces.</w:t>
            </w:r>
          </w:p>
        </w:tc>
      </w:tr>
      <w:tr>
        <w:trPr>
          <w:cantSplit/>
        </w:trPr>
        <w:tc>
          <w:tcPr>
            <w:tcW w:type="dxa" w:w="1843"/>
            <w:vAlign w:val="top"/>
            <w:shd w:fill="F3F5F7"/>
            <w:tcMar>
              <w:top w:w="73" w:type="dxa"/>
              <w:bottom w:w="73" w:type="dxa"/>
              <w:left w:w="100" w:type="dxa"/>
              <w:right w:w="100" w:type="dxa"/>
            </w:tcMar>
          </w:tcPr>
          <w:p>
            <w:pPr>
              <w:pStyle w:val="TableText"/>
            </w:pPr>
            <w:r>
              <w:rPr>
                <w:sz w:val="19"/>
              </w:rPr>
              <w:t>Weeks 5–8</w:t>
            </w:r>
          </w:p>
        </w:tc>
        <w:tc>
          <w:tcPr>
            <w:tcW w:type="dxa" w:w="4435"/>
            <w:vAlign w:val="top"/>
            <w:shd w:fill="F3F5F7"/>
            <w:tcMar>
              <w:top w:w="73" w:type="dxa"/>
              <w:bottom w:w="73" w:type="dxa"/>
              <w:left w:w="100" w:type="dxa"/>
              <w:right w:w="100" w:type="dxa"/>
            </w:tcMar>
          </w:tcPr>
          <w:p>
            <w:pPr>
              <w:pStyle w:val="TableText"/>
            </w:pPr>
            <w:r>
              <w:rPr>
                <w:sz w:val="19"/>
              </w:rPr>
              <w:t>P1 load/access sweeps and conservative model; P2 correctness spike; D1 trace triage. Finance updates price/cost envelope.</w:t>
            </w:r>
          </w:p>
        </w:tc>
        <w:tc>
          <w:tcPr>
            <w:tcW w:type="dxa" w:w="3888"/>
            <w:vAlign w:val="top"/>
            <w:shd w:fill="F3F5F7"/>
            <w:tcMar>
              <w:top w:w="73" w:type="dxa"/>
              <w:bottom w:w="73" w:type="dxa"/>
              <w:left w:w="100" w:type="dxa"/>
              <w:right w:w="100" w:type="dxa"/>
            </w:tcMar>
          </w:tcPr>
          <w:p>
            <w:pPr>
              <w:pStyle w:val="TableText"/>
            </w:pPr>
            <w:r>
              <w:rPr>
                <w:sz w:val="19"/>
              </w:rPr>
              <w:t>Fit/no-fit regions, bottleneck attribution, and requirements for a prototype. No fabricated hardware latency or watts.</w:t>
            </w:r>
          </w:p>
        </w:tc>
      </w:tr>
      <w:tr>
        <w:trPr>
          <w:cantSplit/>
        </w:trPr>
        <w:tc>
          <w:tcPr>
            <w:tcW w:type="dxa" w:w="1843"/>
            <w:vAlign w:val="top"/>
            <w:tcMar>
              <w:top w:w="73" w:type="dxa"/>
              <w:bottom w:w="73" w:type="dxa"/>
              <w:left w:w="100" w:type="dxa"/>
              <w:right w:w="100" w:type="dxa"/>
            </w:tcMar>
          </w:tcPr>
          <w:p>
            <w:pPr>
              <w:pStyle w:val="TableText"/>
            </w:pPr>
            <w:r>
              <w:rPr>
                <w:sz w:val="19"/>
              </w:rPr>
              <w:t>Weeks 9–12</w:t>
            </w:r>
          </w:p>
        </w:tc>
        <w:tc>
          <w:tcPr>
            <w:tcW w:type="dxa" w:w="4435"/>
            <w:vAlign w:val="top"/>
            <w:tcMar>
              <w:top w:w="73" w:type="dxa"/>
              <w:bottom w:w="73" w:type="dxa"/>
              <w:left w:w="100" w:type="dxa"/>
              <w:right w:w="100" w:type="dxa"/>
            </w:tcMar>
          </w:tcPr>
          <w:p>
            <w:pPr>
              <w:pStyle w:val="TableText"/>
            </w:pPr>
            <w:r>
              <w:rPr>
                <w:sz w:val="19"/>
              </w:rPr>
              <w:t>Independent result review; complete bounded failure/software tests; partner/OEM review; product synthesis.</w:t>
            </w:r>
          </w:p>
        </w:tc>
        <w:tc>
          <w:tcPr>
            <w:tcW w:type="dxa" w:w="3888"/>
            <w:vAlign w:val="top"/>
            <w:tcMar>
              <w:top w:w="73" w:type="dxa"/>
              <w:bottom w:w="73" w:type="dxa"/>
              <w:left w:w="100" w:type="dxa"/>
              <w:right w:w="100" w:type="dxa"/>
            </w:tcMar>
          </w:tcPr>
          <w:p>
            <w:pPr>
              <w:pStyle w:val="TableText"/>
            </w:pPr>
            <w:r>
              <w:rPr>
                <w:sz w:val="19"/>
              </w:rPr>
              <w:t>Executive recommendation, engineering backlog, priced next-stage scope, and conditional partner validation plan.</w:t>
            </w:r>
          </w:p>
        </w:tc>
      </w:tr>
      <w:tr>
        <w:trPr>
          <w:cantSplit/>
        </w:trPr>
        <w:tc>
          <w:tcPr>
            <w:tcW w:type="dxa" w:w="1843"/>
            <w:vAlign w:val="top"/>
            <w:shd w:fill="F3F5F7"/>
            <w:tcMar>
              <w:top w:w="73" w:type="dxa"/>
              <w:bottom w:w="73" w:type="dxa"/>
              <w:left w:w="100" w:type="dxa"/>
              <w:right w:w="100" w:type="dxa"/>
            </w:tcMar>
          </w:tcPr>
          <w:p>
            <w:pPr>
              <w:pStyle w:val="TableText"/>
            </w:pPr>
            <w:r>
              <w:rPr>
                <w:sz w:val="19"/>
              </w:rPr>
              <w:t>After usable hardware arrives</w:t>
            </w:r>
          </w:p>
        </w:tc>
        <w:tc>
          <w:tcPr>
            <w:tcW w:type="dxa" w:w="4435"/>
            <w:vAlign w:val="top"/>
            <w:shd w:fill="F3F5F7"/>
            <w:tcMar>
              <w:top w:w="73" w:type="dxa"/>
              <w:bottom w:w="73" w:type="dxa"/>
              <w:left w:w="100" w:type="dxa"/>
              <w:right w:w="100" w:type="dxa"/>
            </w:tcMar>
          </w:tcPr>
          <w:p>
            <w:pPr>
              <w:pStyle w:val="TableText"/>
            </w:pPr>
            <w:r>
              <w:rPr>
                <w:sz w:val="19"/>
              </w:rPr>
              <w:t>Hardware + validation + partner: matched physical path, full execution, sustained power, operational and service tests.</w:t>
            </w:r>
          </w:p>
        </w:tc>
        <w:tc>
          <w:tcPr>
            <w:tcW w:type="dxa" w:w="3888"/>
            <w:vAlign w:val="top"/>
            <w:shd w:fill="F3F5F7"/>
            <w:tcMar>
              <w:top w:w="73" w:type="dxa"/>
              <w:bottom w:w="73" w:type="dxa"/>
              <w:left w:w="100" w:type="dxa"/>
              <w:right w:w="100" w:type="dxa"/>
            </w:tcMar>
          </w:tcPr>
          <w:p>
            <w:pPr>
              <w:pStyle w:val="TableText"/>
            </w:pPr>
            <w:r>
              <w:rPr>
                <w:sz w:val="19"/>
              </w:rPr>
              <w:t>Measured device/system result with revision and error bounds. Timing follows hardware and access readiness.</w:t>
            </w:r>
          </w:p>
        </w:tc>
      </w:tr>
    </w:tbl>
    <w:p>
      <w:pPr>
        <w:spacing w:after="20"/>
      </w:pPr>
    </w:p>
    <w:p>
      <w:pPr>
        <w:pStyle w:val="Heading2"/>
      </w:pPr>
      <w:r>
        <w:t>Use the right tool for the question</w:t>
      </w:r>
    </w:p>
    <w:p>
      <w:r/>
      <w:r>
        <w:rPr>
          <w:b/>
        </w:rPr>
        <w:t>Fast search-service simulation:</w:t>
      </w:r>
      <w:r>
        <w:t xml:space="preserve"> model candidate arrivals, read sizes, queues, shard routing, memory paths, scoring, and merging. Build or adapt this explicitly; TokenSim’s LLM scope does not itself provide an ANN-device model.</w:t>
      </w:r>
    </w:p>
    <w:p>
      <w:r/>
      <w:r>
        <w:rPr>
          <w:b/>
        </w:rPr>
        <w:t>TokenSim, where relevant:</w:t>
      </w:r>
      <w:r>
        <w:t xml:space="preserve"> model the surrounding LLM/RAG service only after retrieval behavior is separately characterized. Keep retrieval latency and inference latency distinguishable.</w:t>
      </w:r>
    </w:p>
    <w:p>
      <w:r/>
      <w:r>
        <w:rPr>
          <w:b/>
        </w:rPr>
        <w:t>Functional/emulation tests:</w:t>
      </w:r>
      <w:r>
        <w:t xml:space="preserve"> validate request semantics, versioning, kernels, and software recovery against an implemented reference. A slow physical backing store cannot emulate faster real-time transfers merely by changing a bandwidth parameter.</w:t>
      </w:r>
    </w:p>
    <w:p>
      <w:r/>
      <w:r>
        <w:rPr>
          <w:b/>
        </w:rPr>
        <w:t>Hardware tests:</w:t>
      </w:r>
      <w:r>
        <w:t xml:space="preserve"> establish actual random/batched HBF service, NPU timing, power, thermals, endurance exposure, and reset behavior. Calibration of NVMe does not calibrate an unknown HBF/NPU implementation. [I1–I2, I3–I6]</w:t>
      </w:r>
    </w:p>
    <w:tbl>
      <w:tblPr>
        <w:tblW w:type="auto" w:w="0"/>
        <w:jc w:val="center"/>
        <w:tblLayout w:type="fixed"/>
        <w:tblLook w:firstColumn="1" w:firstRow="1" w:lastColumn="0" w:lastRow="0" w:noHBand="0" w:noVBand="1" w:val="04A0"/>
      </w:tblPr>
      <w:tblGrid>
        <w:gridCol w:w="10166"/>
      </w:tblGrid>
      <w:tr>
        <w:trPr>
          <w:cantSplit/>
        </w:trPr>
        <w:tc>
          <w:tcPr>
            <w:tcW w:type="dxa" w:w="10166"/>
            <w:shd w:fill="FBEEF0"/>
            <w:tcMar>
              <w:top w:w="115" w:type="dxa"/>
              <w:bottom w:w="50" w:type="dxa"/>
              <w:left w:w="155" w:type="dxa"/>
              <w:right w:w="155" w:type="dxa"/>
            </w:tcMar>
          </w:tcPr>
          <w:p>
            <w:pPr>
              <w:spacing w:after="100"/>
            </w:pPr>
            <w:r>
              <w:rPr>
                <w:b/>
                <w:color w:val="A31630"/>
                <w:sz w:val="23"/>
              </w:rPr>
              <w:t>Quarter-end output</w:t>
            </w:r>
          </w:p>
          <w:p>
            <w:pPr>
              <w:spacing w:after="140" w:line="252" w:lineRule="auto"/>
            </w:pPr>
            <w:r>
              <w:t>A decision-ready product definition and next-stage scope—not a launch announcement. Preserve negative results and identify whether the issue is the workload, the compute choice, the HBF path, the form factor, or the economics.</w:t>
            </w:r>
          </w:p>
        </w:tc>
      </w:tr>
    </w:tbl>
    <w:p>
      <w:pPr>
        <w:spacing w:after="20"/>
      </w:pPr>
    </w:p>
    <w:p>
      <w:pPr>
        <w:pStyle w:val="Small"/>
        <w:keepNext/>
        <w:pageBreakBefore/>
      </w:pPr>
      <w:r>
        <w:rPr>
          <w:b/>
          <w:color w:val="24586E"/>
        </w:rPr>
        <w:t>COMMERCIAL CONVERSION AND ACCOUNTABILITY</w:t>
      </w:r>
    </w:p>
    <w:p>
      <w:pPr>
        <w:pStyle w:val="Heading1"/>
      </w:pPr>
      <w:r>
        <w:t>20. From a successful study to a product</w:t>
      </w:r>
    </w:p>
    <w:p>
      <w:r>
        <w:t>Before a successful study becomes a product program, close the buying, supply, maintenance, and operational questions below.</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102"/>
        <w:gridCol w:w="4781"/>
        <w:gridCol w:w="3283"/>
      </w:tblGrid>
      <w:tr>
        <w:trPr>
          <w:tblHeader/>
          <w:cantSplit/>
        </w:trPr>
        <w:tc>
          <w:tcPr>
            <w:tcW w:type="dxa" w:w="2102"/>
            <w:shd w:fill="A31630"/>
            <w:tcMar>
              <w:top w:w="73" w:type="dxa"/>
              <w:bottom w:w="73" w:type="dxa"/>
              <w:left w:w="100" w:type="dxa"/>
              <w:right w:w="100" w:type="dxa"/>
            </w:tcMar>
          </w:tcPr>
          <w:p>
            <w:pPr>
              <w:pStyle w:val="TableText"/>
            </w:pPr>
            <w:r>
              <w:rPr>
                <w:b/>
                <w:color w:val="FFFFFF"/>
                <w:sz w:val="20"/>
              </w:rPr>
              <w:t>Milestone</w:t>
            </w:r>
          </w:p>
        </w:tc>
        <w:tc>
          <w:tcPr>
            <w:tcW w:type="dxa" w:w="4781"/>
            <w:shd w:fill="A31630"/>
            <w:tcMar>
              <w:top w:w="73" w:type="dxa"/>
              <w:bottom w:w="73" w:type="dxa"/>
              <w:left w:w="100" w:type="dxa"/>
              <w:right w:w="100" w:type="dxa"/>
            </w:tcMar>
          </w:tcPr>
          <w:p>
            <w:pPr>
              <w:pStyle w:val="TableText"/>
            </w:pPr>
            <w:r>
              <w:rPr>
                <w:b/>
                <w:color w:val="FFFFFF"/>
                <w:sz w:val="20"/>
              </w:rPr>
              <w:t>Required evidence</w:t>
            </w:r>
          </w:p>
        </w:tc>
        <w:tc>
          <w:tcPr>
            <w:tcW w:type="dxa" w:w="3283"/>
            <w:shd w:fill="A31630"/>
            <w:tcMar>
              <w:top w:w="73" w:type="dxa"/>
              <w:bottom w:w="73" w:type="dxa"/>
              <w:left w:w="100" w:type="dxa"/>
              <w:right w:w="100" w:type="dxa"/>
            </w:tcMar>
          </w:tcPr>
          <w:p>
            <w:pPr>
              <w:pStyle w:val="TableText"/>
            </w:pPr>
            <w:r>
              <w:rPr>
                <w:b/>
                <w:color w:val="FFFFFF"/>
                <w:sz w:val="20"/>
              </w:rPr>
              <w:t>Accountable roles</w:t>
            </w:r>
          </w:p>
        </w:tc>
      </w:tr>
      <w:tr>
        <w:trPr>
          <w:cantSplit/>
        </w:trPr>
        <w:tc>
          <w:tcPr>
            <w:tcW w:type="dxa" w:w="2102"/>
            <w:vAlign w:val="top"/>
            <w:shd w:fill="F3F5F7"/>
            <w:tcMar>
              <w:top w:w="73" w:type="dxa"/>
              <w:bottom w:w="73" w:type="dxa"/>
              <w:left w:w="100" w:type="dxa"/>
              <w:right w:w="100" w:type="dxa"/>
            </w:tcMar>
          </w:tcPr>
          <w:p>
            <w:pPr>
              <w:pStyle w:val="TableText"/>
            </w:pPr>
            <w:r>
              <w:rPr>
                <w:sz w:val="19"/>
              </w:rPr>
              <w:t>Workload fit</w:t>
            </w:r>
          </w:p>
        </w:tc>
        <w:tc>
          <w:tcPr>
            <w:tcW w:type="dxa" w:w="4781"/>
            <w:vAlign w:val="top"/>
            <w:shd w:fill="F3F5F7"/>
            <w:tcMar>
              <w:top w:w="73" w:type="dxa"/>
              <w:bottom w:w="73" w:type="dxa"/>
              <w:left w:w="100" w:type="dxa"/>
              <w:right w:w="100" w:type="dxa"/>
            </w:tcMar>
          </w:tcPr>
          <w:p>
            <w:pPr>
              <w:pStyle w:val="TableText"/>
            </w:pPr>
            <w:r>
              <w:rPr>
                <w:sz w:val="19"/>
              </w:rPr>
              <w:t>Customer-controlled trace and requirements; repeated mechanism and service results; named incumbent and no-fit conditions.</w:t>
            </w:r>
          </w:p>
        </w:tc>
        <w:tc>
          <w:tcPr>
            <w:tcW w:type="dxa" w:w="3283"/>
            <w:vAlign w:val="top"/>
            <w:shd w:fill="F3F5F7"/>
            <w:tcMar>
              <w:top w:w="73" w:type="dxa"/>
              <w:bottom w:w="73" w:type="dxa"/>
              <w:left w:w="100" w:type="dxa"/>
              <w:right w:w="100" w:type="dxa"/>
            </w:tcMar>
          </w:tcPr>
          <w:p>
            <w:pPr>
              <w:pStyle w:val="TableText"/>
            </w:pPr>
            <w:r>
              <w:rPr>
                <w:sz w:val="19"/>
              </w:rPr>
              <w:t>Partner service owner + Sandisk performance lead</w:t>
            </w:r>
          </w:p>
        </w:tc>
      </w:tr>
      <w:tr>
        <w:trPr>
          <w:cantSplit/>
        </w:trPr>
        <w:tc>
          <w:tcPr>
            <w:tcW w:type="dxa" w:w="2102"/>
            <w:vAlign w:val="top"/>
            <w:tcMar>
              <w:top w:w="73" w:type="dxa"/>
              <w:bottom w:w="73" w:type="dxa"/>
              <w:left w:w="100" w:type="dxa"/>
              <w:right w:w="100" w:type="dxa"/>
            </w:tcMar>
          </w:tcPr>
          <w:p>
            <w:pPr>
              <w:pStyle w:val="TableText"/>
            </w:pPr>
            <w:r>
              <w:rPr>
                <w:sz w:val="19"/>
              </w:rPr>
              <w:t>Physical feasibility</w:t>
            </w:r>
          </w:p>
        </w:tc>
        <w:tc>
          <w:tcPr>
            <w:tcW w:type="dxa" w:w="4781"/>
            <w:vAlign w:val="top"/>
            <w:tcMar>
              <w:top w:w="73" w:type="dxa"/>
              <w:bottom w:w="73" w:type="dxa"/>
              <w:left w:w="100" w:type="dxa"/>
              <w:right w:w="100" w:type="dxa"/>
            </w:tcMar>
          </w:tcPr>
          <w:p>
            <w:pPr>
              <w:pStyle w:val="TableText"/>
            </w:pPr>
            <w:r>
              <w:rPr>
                <w:sz w:val="19"/>
              </w:rPr>
              <w:t>Actual HBF/NPU path, qualified operating envelope, primitive correctness, and production-intended architecture.</w:t>
            </w:r>
          </w:p>
        </w:tc>
        <w:tc>
          <w:tcPr>
            <w:tcW w:type="dxa" w:w="3283"/>
            <w:vAlign w:val="top"/>
            <w:tcMar>
              <w:top w:w="73" w:type="dxa"/>
              <w:bottom w:w="73" w:type="dxa"/>
              <w:left w:w="100" w:type="dxa"/>
              <w:right w:w="100" w:type="dxa"/>
            </w:tcMar>
          </w:tcPr>
          <w:p>
            <w:pPr>
              <w:pStyle w:val="TableText"/>
            </w:pPr>
            <w:r>
              <w:rPr>
                <w:sz w:val="19"/>
              </w:rPr>
              <w:t>Architecture + hardware + NPU supplier</w:t>
            </w:r>
          </w:p>
        </w:tc>
      </w:tr>
      <w:tr>
        <w:trPr>
          <w:cantSplit/>
        </w:trPr>
        <w:tc>
          <w:tcPr>
            <w:tcW w:type="dxa" w:w="2102"/>
            <w:vAlign w:val="top"/>
            <w:shd w:fill="F3F5F7"/>
            <w:tcMar>
              <w:top w:w="73" w:type="dxa"/>
              <w:bottom w:w="73" w:type="dxa"/>
              <w:left w:w="100" w:type="dxa"/>
              <w:right w:w="100" w:type="dxa"/>
            </w:tcMar>
          </w:tcPr>
          <w:p>
            <w:pPr>
              <w:pStyle w:val="TableText"/>
            </w:pPr>
            <w:r>
              <w:rPr>
                <w:sz w:val="19"/>
              </w:rPr>
              <w:t>Economic feasibility</w:t>
            </w:r>
          </w:p>
        </w:tc>
        <w:tc>
          <w:tcPr>
            <w:tcW w:type="dxa" w:w="4781"/>
            <w:vAlign w:val="top"/>
            <w:shd w:fill="F3F5F7"/>
            <w:tcMar>
              <w:top w:w="73" w:type="dxa"/>
              <w:bottom w:w="73" w:type="dxa"/>
              <w:left w:w="100" w:type="dxa"/>
              <w:right w:w="100" w:type="dxa"/>
            </w:tcMar>
          </w:tcPr>
          <w:p>
            <w:pPr>
              <w:pStyle w:val="TableText"/>
            </w:pPr>
            <w:r>
              <w:rPr>
                <w:sz w:val="19"/>
              </w:rPr>
              <w:t>Quoted BOM and customer platform; cost/price corridor; utilization and reserve; support and development-recovery sensitivity.</w:t>
            </w:r>
          </w:p>
        </w:tc>
        <w:tc>
          <w:tcPr>
            <w:tcW w:type="dxa" w:w="3283"/>
            <w:vAlign w:val="top"/>
            <w:shd w:fill="F3F5F7"/>
            <w:tcMar>
              <w:top w:w="73" w:type="dxa"/>
              <w:bottom w:w="73" w:type="dxa"/>
              <w:left w:w="100" w:type="dxa"/>
              <w:right w:w="100" w:type="dxa"/>
            </w:tcMar>
          </w:tcPr>
          <w:p>
            <w:pPr>
              <w:pStyle w:val="TableText"/>
            </w:pPr>
            <w:r>
              <w:rPr>
                <w:sz w:val="19"/>
              </w:rPr>
              <w:t>Product + finance + procurement</w:t>
            </w:r>
          </w:p>
        </w:tc>
      </w:tr>
      <w:tr>
        <w:trPr>
          <w:cantSplit/>
        </w:trPr>
        <w:tc>
          <w:tcPr>
            <w:tcW w:type="dxa" w:w="2102"/>
            <w:vAlign w:val="top"/>
            <w:tcMar>
              <w:top w:w="73" w:type="dxa"/>
              <w:bottom w:w="73" w:type="dxa"/>
              <w:left w:w="100" w:type="dxa"/>
              <w:right w:w="100" w:type="dxa"/>
            </w:tcMar>
          </w:tcPr>
          <w:p>
            <w:pPr>
              <w:pStyle w:val="TableText"/>
            </w:pPr>
            <w:r>
              <w:rPr>
                <w:sz w:val="19"/>
              </w:rPr>
              <w:t>Maintained integration</w:t>
            </w:r>
          </w:p>
        </w:tc>
        <w:tc>
          <w:tcPr>
            <w:tcW w:type="dxa" w:w="4781"/>
            <w:vAlign w:val="top"/>
            <w:tcMar>
              <w:top w:w="73" w:type="dxa"/>
              <w:bottom w:w="73" w:type="dxa"/>
              <w:left w:w="100" w:type="dxa"/>
              <w:right w:w="100" w:type="dxa"/>
            </w:tcMar>
          </w:tcPr>
          <w:p>
            <w:pPr>
              <w:pStyle w:val="TableText"/>
            </w:pPr>
            <w:r>
              <w:rPr>
                <w:sz w:val="19"/>
              </w:rPr>
              <w:t>Stable ABI, supported representation set, engine releases, security fixes, observability, rollback, and escalation.</w:t>
            </w:r>
          </w:p>
        </w:tc>
        <w:tc>
          <w:tcPr>
            <w:tcW w:type="dxa" w:w="3283"/>
            <w:vAlign w:val="top"/>
            <w:tcMar>
              <w:top w:w="73" w:type="dxa"/>
              <w:bottom w:w="73" w:type="dxa"/>
              <w:left w:w="100" w:type="dxa"/>
              <w:right w:w="100" w:type="dxa"/>
            </w:tcMar>
          </w:tcPr>
          <w:p>
            <w:pPr>
              <w:pStyle w:val="TableText"/>
            </w:pPr>
            <w:r>
              <w:rPr>
                <w:sz w:val="19"/>
              </w:rPr>
              <w:t>Runtime/firmware leads + integration partner</w:t>
            </w:r>
          </w:p>
        </w:tc>
      </w:tr>
      <w:tr>
        <w:trPr>
          <w:cantSplit/>
        </w:trPr>
        <w:tc>
          <w:tcPr>
            <w:tcW w:type="dxa" w:w="2102"/>
            <w:vAlign w:val="top"/>
            <w:shd w:fill="F3F5F7"/>
            <w:tcMar>
              <w:top w:w="73" w:type="dxa"/>
              <w:bottom w:w="73" w:type="dxa"/>
              <w:left w:w="100" w:type="dxa"/>
              <w:right w:w="100" w:type="dxa"/>
            </w:tcMar>
          </w:tcPr>
          <w:p>
            <w:pPr>
              <w:pStyle w:val="TableText"/>
            </w:pPr>
            <w:r>
              <w:rPr>
                <w:sz w:val="19"/>
              </w:rPr>
              <w:t>OEM and supply qualification</w:t>
            </w:r>
          </w:p>
        </w:tc>
        <w:tc>
          <w:tcPr>
            <w:tcW w:type="dxa" w:w="4781"/>
            <w:vAlign w:val="top"/>
            <w:shd w:fill="F3F5F7"/>
            <w:tcMar>
              <w:top w:w="73" w:type="dxa"/>
              <w:bottom w:w="73" w:type="dxa"/>
              <w:left w:w="100" w:type="dxa"/>
              <w:right w:w="100" w:type="dxa"/>
            </w:tcMar>
          </w:tcPr>
          <w:p>
            <w:pPr>
              <w:pStyle w:val="TableText"/>
            </w:pPr>
            <w:r>
              <w:rPr>
                <w:sz w:val="19"/>
              </w:rPr>
              <w:t>Exact configuration, thermal/power and management acceptance, test/yield plan, lifecycle availability, repair and replacement.</w:t>
            </w:r>
          </w:p>
        </w:tc>
        <w:tc>
          <w:tcPr>
            <w:tcW w:type="dxa" w:w="3283"/>
            <w:vAlign w:val="top"/>
            <w:shd w:fill="F3F5F7"/>
            <w:tcMar>
              <w:top w:w="73" w:type="dxa"/>
              <w:bottom w:w="73" w:type="dxa"/>
              <w:left w:w="100" w:type="dxa"/>
              <w:right w:w="100" w:type="dxa"/>
            </w:tcMar>
          </w:tcPr>
          <w:p>
            <w:pPr>
              <w:pStyle w:val="TableText"/>
            </w:pPr>
            <w:r>
              <w:rPr>
                <w:sz w:val="19"/>
              </w:rPr>
              <w:t>OEM enablement + quality + supply chain</w:t>
            </w:r>
          </w:p>
        </w:tc>
      </w:tr>
      <w:tr>
        <w:trPr>
          <w:cantSplit/>
        </w:trPr>
        <w:tc>
          <w:tcPr>
            <w:tcW w:type="dxa" w:w="2102"/>
            <w:vAlign w:val="top"/>
            <w:tcMar>
              <w:top w:w="73" w:type="dxa"/>
              <w:bottom w:w="73" w:type="dxa"/>
              <w:left w:w="100" w:type="dxa"/>
              <w:right w:w="100" w:type="dxa"/>
            </w:tcMar>
          </w:tcPr>
          <w:p>
            <w:pPr>
              <w:pStyle w:val="TableText"/>
            </w:pPr>
            <w:r>
              <w:rPr>
                <w:sz w:val="19"/>
              </w:rPr>
              <w:t>Commercial evidence</w:t>
            </w:r>
          </w:p>
        </w:tc>
        <w:tc>
          <w:tcPr>
            <w:tcW w:type="dxa" w:w="4781"/>
            <w:vAlign w:val="top"/>
            <w:tcMar>
              <w:top w:w="73" w:type="dxa"/>
              <w:bottom w:w="73" w:type="dxa"/>
              <w:left w:w="100" w:type="dxa"/>
              <w:right w:w="100" w:type="dxa"/>
            </w:tcMar>
          </w:tcPr>
          <w:p>
            <w:pPr>
              <w:pStyle w:val="TableText"/>
            </w:pPr>
            <w:r>
              <w:rPr>
                <w:sz w:val="19"/>
              </w:rPr>
              <w:t>Conditional deployment plan and business sponsor; repeatability across a second relevant service; mutually agreed evaluation results.</w:t>
            </w:r>
          </w:p>
        </w:tc>
        <w:tc>
          <w:tcPr>
            <w:tcW w:type="dxa" w:w="3283"/>
            <w:vAlign w:val="top"/>
            <w:tcMar>
              <w:top w:w="73" w:type="dxa"/>
              <w:bottom w:w="73" w:type="dxa"/>
              <w:left w:w="100" w:type="dxa"/>
              <w:right w:w="100" w:type="dxa"/>
            </w:tcMar>
          </w:tcPr>
          <w:p>
            <w:pPr>
              <w:pStyle w:val="TableText"/>
            </w:pPr>
            <w:r>
              <w:rPr>
                <w:sz w:val="19"/>
              </w:rPr>
              <w:t>Account/partner lead + product owner</w:t>
            </w:r>
          </w:p>
        </w:tc>
      </w:tr>
    </w:tbl>
    <w:p>
      <w:pPr>
        <w:spacing w:after="20"/>
      </w:pPr>
    </w:p>
    <w:p>
      <w:pPr>
        <w:pStyle w:val="Heading2"/>
      </w:pPr>
      <w:r>
        <w:t>What should be communicated externally</w:t>
      </w:r>
    </w:p>
    <w:p>
      <w:r>
        <w:t>Start with the supported problem, primitive, data path, and evaluation method. Publish performance only for the identified hardware/software revision, representation, query mix, quality, load, and availability boundary. A simulated scenario and an OEM-qualified product are different deliverables.</w:t>
      </w:r>
    </w:p>
    <w:p>
      <w:r>
        <w:t>Publish a partner logo, quotation, or deployment claim only with explicit permission. Keep the internal economics, speculative account list, and unapproved architecture inputs out of the external POC brief. A failed comparison can still produce useful requirements; it is not a reason to invent a favorable use case.</w:t>
      </w:r>
    </w:p>
    <w:p>
      <w:pPr>
        <w:pStyle w:val="Heading2"/>
      </w:pPr>
      <w:r>
        <w:t>Recommended next step</w:t>
      </w:r>
    </w:p>
    <w:p>
      <w:r>
        <w:t>Within ten working days, product, architecture, search, finance, and OEM leads should select one P1 boundary, assign feasibility owners, and prepare the partner brief and baseline plan. Offer a defined exchange of work—not a general request to test “HBF for AI.”</w:t>
      </w:r>
    </w:p>
    <w:tbl>
      <w:tblPr>
        <w:tblW w:type="auto" w:w="0"/>
        <w:jc w:val="center"/>
        <w:tblLayout w:type="fixed"/>
        <w:tblLook w:firstColumn="1" w:firstRow="1" w:lastColumn="0" w:lastRow="0" w:noHBand="0" w:noVBand="1" w:val="04A0"/>
      </w:tblPr>
      <w:tblGrid>
        <w:gridCol w:w="10166"/>
      </w:tblGrid>
      <w:tr>
        <w:trPr>
          <w:cantSplit/>
        </w:trPr>
        <w:tc>
          <w:tcPr>
            <w:tcW w:type="dxa" w:w="10166"/>
            <w:shd w:fill="FBEEF0"/>
            <w:tcMar>
              <w:top w:w="115" w:type="dxa"/>
              <w:bottom w:w="50" w:type="dxa"/>
              <w:left w:w="155" w:type="dxa"/>
              <w:right w:w="155" w:type="dxa"/>
            </w:tcMar>
          </w:tcPr>
          <w:p>
            <w:pPr>
              <w:spacing w:after="100"/>
            </w:pPr>
            <w:r>
              <w:rPr>
                <w:b/>
                <w:color w:val="A31630"/>
                <w:sz w:val="23"/>
              </w:rPr>
              <w:t>Strategic conclusion</w:t>
            </w:r>
          </w:p>
          <w:p>
            <w:pPr>
              <w:spacing w:after="140" w:line="252" w:lineRule="auto"/>
            </w:pPr>
            <w:r>
              <w:t>Prove that HBF and local computation improve a repeatable, data-intensive stage. Scale through the provider that owns it, with a supported device and sustainable economics.</w:t>
            </w:r>
          </w:p>
        </w:tc>
      </w:tr>
    </w:tbl>
    <w:p>
      <w:pPr>
        <w:spacing w:after="20"/>
      </w:pPr>
    </w:p>
    <w:p>
      <w:pPr>
        <w:pStyle w:val="Small"/>
        <w:keepNext/>
        <w:pageBreakBefore/>
      </w:pPr>
      <w:r>
        <w:rPr>
          <w:b/>
          <w:color w:val="24586E"/>
        </w:rPr>
        <w:t>A1 • REPRODUCIBLE EXAMPLES; NO ACHIEVED PERFORMANCE IS ASSERTED</w:t>
      </w:r>
    </w:p>
    <w:p>
      <w:pPr>
        <w:pStyle w:val="Heading1"/>
      </w:pPr>
      <w:r>
        <w:t>Appendix A. Workload arithmetic and physical limits</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3168"/>
        <w:gridCol w:w="6998"/>
      </w:tblGrid>
      <w:tr>
        <w:trPr>
          <w:tblHeader/>
          <w:cantSplit/>
        </w:trPr>
        <w:tc>
          <w:tcPr>
            <w:tcW w:type="dxa" w:w="3168"/>
            <w:shd w:fill="A31630"/>
            <w:tcMar>
              <w:top w:w="73" w:type="dxa"/>
              <w:bottom w:w="73" w:type="dxa"/>
              <w:left w:w="100" w:type="dxa"/>
              <w:right w:w="100" w:type="dxa"/>
            </w:tcMar>
          </w:tcPr>
          <w:p>
            <w:pPr>
              <w:pStyle w:val="TableText"/>
            </w:pPr>
            <w:r>
              <w:rPr>
                <w:b/>
                <w:color w:val="FFFFFF"/>
                <w:sz w:val="20"/>
              </w:rPr>
              <w:t>Single-device example</w:t>
            </w:r>
          </w:p>
        </w:tc>
        <w:tc>
          <w:tcPr>
            <w:tcW w:type="dxa" w:w="6998"/>
            <w:shd w:fill="A31630"/>
            <w:tcMar>
              <w:top w:w="73" w:type="dxa"/>
              <w:bottom w:w="73" w:type="dxa"/>
              <w:left w:w="100" w:type="dxa"/>
              <w:right w:w="100" w:type="dxa"/>
            </w:tcMar>
          </w:tcPr>
          <w:p>
            <w:pPr>
              <w:pStyle w:val="TableText"/>
            </w:pPr>
            <w:r>
              <w:rPr>
                <w:b/>
                <w:color w:val="FFFFFF"/>
                <w:sz w:val="20"/>
              </w:rPr>
              <w:t>Calculation / result</w:t>
            </w:r>
          </w:p>
        </w:tc>
      </w:tr>
      <w:tr>
        <w:trPr>
          <w:cantSplit/>
        </w:trPr>
        <w:tc>
          <w:tcPr>
            <w:tcW w:type="dxa" w:w="3168"/>
            <w:vAlign w:val="top"/>
            <w:shd w:fill="F3F5F7"/>
            <w:tcMar>
              <w:top w:w="73" w:type="dxa"/>
              <w:bottom w:w="73" w:type="dxa"/>
              <w:left w:w="100" w:type="dxa"/>
              <w:right w:w="100" w:type="dxa"/>
            </w:tcMar>
          </w:tcPr>
          <w:p>
            <w:pPr>
              <w:pStyle w:val="TableText"/>
            </w:pPr>
            <w:r>
              <w:rPr>
                <w:sz w:val="20"/>
              </w:rPr>
              <w:t>Representation collection</w:t>
            </w:r>
          </w:p>
        </w:tc>
        <w:tc>
          <w:tcPr>
            <w:tcW w:type="dxa" w:w="6998"/>
            <w:vAlign w:val="top"/>
            <w:shd w:fill="F3F5F7"/>
            <w:tcMar>
              <w:top w:w="73" w:type="dxa"/>
              <w:bottom w:w="73" w:type="dxa"/>
              <w:left w:w="100" w:type="dxa"/>
              <w:right w:w="100" w:type="dxa"/>
            </w:tcMar>
          </w:tcPr>
          <w:p>
            <w:pPr>
              <w:pStyle w:val="TableText"/>
            </w:pPr>
            <w:r>
              <w:rPr>
                <w:sz w:val="20"/>
              </w:rPr>
              <w:t>40M vectors × 1,024 dimensions × 2 bytes = 81.92 GB (decimal).</w:t>
            </w:r>
          </w:p>
        </w:tc>
      </w:tr>
      <w:tr>
        <w:trPr>
          <w:cantSplit/>
        </w:trPr>
        <w:tc>
          <w:tcPr>
            <w:tcW w:type="dxa" w:w="3168"/>
            <w:vAlign w:val="top"/>
            <w:tcMar>
              <w:top w:w="73" w:type="dxa"/>
              <w:bottom w:w="73" w:type="dxa"/>
              <w:left w:w="100" w:type="dxa"/>
              <w:right w:w="100" w:type="dxa"/>
            </w:tcMar>
          </w:tcPr>
          <w:p>
            <w:pPr>
              <w:pStyle w:val="TableText"/>
            </w:pPr>
            <w:r>
              <w:rPr>
                <w:sz w:val="20"/>
              </w:rPr>
              <w:t>Usable-data budget</w:t>
            </w:r>
          </w:p>
        </w:tc>
        <w:tc>
          <w:tcPr>
            <w:tcW w:type="dxa" w:w="6998"/>
            <w:vAlign w:val="top"/>
            <w:tcMar>
              <w:top w:w="73" w:type="dxa"/>
              <w:bottom w:w="73" w:type="dxa"/>
              <w:left w:w="100" w:type="dxa"/>
              <w:right w:w="100" w:type="dxa"/>
            </w:tcMar>
          </w:tcPr>
          <w:p>
            <w:pPr>
              <w:pStyle w:val="TableText"/>
            </w:pPr>
            <w:r>
              <w:rPr>
                <w:sz w:val="20"/>
              </w:rPr>
              <w:t>100 GB assumed within 128 GB nominal target. Remaining space is provisional reserve. Two full 100 GB versions do not fit in 128 GB: use qualified rolling/segment refresh or add capacity, and charge the refresh cost.</w:t>
            </w:r>
          </w:p>
        </w:tc>
      </w:tr>
      <w:tr>
        <w:trPr>
          <w:cantSplit/>
        </w:trPr>
        <w:tc>
          <w:tcPr>
            <w:tcW w:type="dxa" w:w="3168"/>
            <w:vAlign w:val="top"/>
            <w:shd w:fill="F3F5F7"/>
            <w:tcMar>
              <w:top w:w="73" w:type="dxa"/>
              <w:bottom w:w="73" w:type="dxa"/>
              <w:left w:w="100" w:type="dxa"/>
              <w:right w:w="100" w:type="dxa"/>
            </w:tcMar>
          </w:tcPr>
          <w:p>
            <w:pPr>
              <w:pStyle w:val="TableText"/>
            </w:pPr>
            <w:r>
              <w:rPr>
                <w:sz w:val="20"/>
              </w:rPr>
              <w:t>Selected reads per query</w:t>
            </w:r>
          </w:p>
        </w:tc>
        <w:tc>
          <w:tcPr>
            <w:tcW w:type="dxa" w:w="6998"/>
            <w:vAlign w:val="top"/>
            <w:shd w:fill="F3F5F7"/>
            <w:tcMar>
              <w:top w:w="73" w:type="dxa"/>
              <w:bottom w:w="73" w:type="dxa"/>
              <w:left w:w="100" w:type="dxa"/>
              <w:right w:w="100" w:type="dxa"/>
            </w:tcMar>
          </w:tcPr>
          <w:p>
            <w:pPr>
              <w:pStyle w:val="TableText"/>
            </w:pPr>
            <w:r>
              <w:rPr>
                <w:sz w:val="20"/>
              </w:rPr>
              <w:t>5,000 candidates × 1,024 × 2 = 10.24 MB logical bytes.</w:t>
            </w:r>
          </w:p>
        </w:tc>
      </w:tr>
      <w:tr>
        <w:trPr>
          <w:cantSplit/>
        </w:trPr>
        <w:tc>
          <w:tcPr>
            <w:tcW w:type="dxa" w:w="3168"/>
            <w:vAlign w:val="top"/>
            <w:tcMar>
              <w:top w:w="73" w:type="dxa"/>
              <w:bottom w:w="73" w:type="dxa"/>
              <w:left w:w="100" w:type="dxa"/>
              <w:right w:w="100" w:type="dxa"/>
            </w:tcMar>
          </w:tcPr>
          <w:p>
            <w:pPr>
              <w:pStyle w:val="TableText"/>
            </w:pPr>
            <w:r>
              <w:rPr>
                <w:sz w:val="20"/>
              </w:rPr>
              <w:t>Approximate query ingress</w:t>
            </w:r>
          </w:p>
        </w:tc>
        <w:tc>
          <w:tcPr>
            <w:tcW w:type="dxa" w:w="6998"/>
            <w:vAlign w:val="top"/>
            <w:tcMar>
              <w:top w:w="73" w:type="dxa"/>
              <w:bottom w:w="73" w:type="dxa"/>
              <w:left w:w="100" w:type="dxa"/>
              <w:right w:w="100" w:type="dxa"/>
            </w:tcMar>
          </w:tcPr>
          <w:p>
            <w:pPr>
              <w:pStyle w:val="TableText"/>
            </w:pPr>
            <w:r>
              <w:rPr>
                <w:sz w:val="20"/>
              </w:rPr>
              <w:t>2,048 query bytes + 5,000 × 8-byte IDs = 42,048 bytes before masks and protocol.</w:t>
            </w:r>
          </w:p>
        </w:tc>
      </w:tr>
      <w:tr>
        <w:trPr>
          <w:cantSplit/>
        </w:trPr>
        <w:tc>
          <w:tcPr>
            <w:tcW w:type="dxa" w:w="3168"/>
            <w:vAlign w:val="top"/>
            <w:shd w:fill="F3F5F7"/>
            <w:tcMar>
              <w:top w:w="73" w:type="dxa"/>
              <w:bottom w:w="73" w:type="dxa"/>
              <w:left w:w="100" w:type="dxa"/>
              <w:right w:w="100" w:type="dxa"/>
            </w:tcMar>
          </w:tcPr>
          <w:p>
            <w:pPr>
              <w:pStyle w:val="TableText"/>
            </w:pPr>
            <w:r>
              <w:rPr>
                <w:sz w:val="20"/>
              </w:rPr>
              <w:t>Compact result</w:t>
            </w:r>
          </w:p>
        </w:tc>
        <w:tc>
          <w:tcPr>
            <w:tcW w:type="dxa" w:w="6998"/>
            <w:vAlign w:val="top"/>
            <w:shd w:fill="F3F5F7"/>
            <w:tcMar>
              <w:top w:w="73" w:type="dxa"/>
              <w:bottom w:w="73" w:type="dxa"/>
              <w:left w:w="100" w:type="dxa"/>
              <w:right w:w="100" w:type="dxa"/>
            </w:tcMar>
          </w:tcPr>
          <w:p>
            <w:pPr>
              <w:pStyle w:val="TableText"/>
            </w:pPr>
            <w:r>
              <w:rPr>
                <w:sz w:val="20"/>
              </w:rPr>
              <w:t>100 × (8-byte ID + 4-byte score) = 1,200 bytes before metadata/protocol.</w:t>
            </w:r>
          </w:p>
        </w:tc>
      </w:tr>
      <w:tr>
        <w:trPr>
          <w:cantSplit/>
        </w:trPr>
        <w:tc>
          <w:tcPr>
            <w:tcW w:type="dxa" w:w="3168"/>
            <w:vAlign w:val="top"/>
            <w:tcMar>
              <w:top w:w="73" w:type="dxa"/>
              <w:bottom w:w="73" w:type="dxa"/>
              <w:left w:w="100" w:type="dxa"/>
              <w:right w:w="100" w:type="dxa"/>
            </w:tcMar>
          </w:tcPr>
          <w:p>
            <w:pPr>
              <w:pStyle w:val="TableText"/>
            </w:pPr>
            <w:r>
              <w:rPr>
                <w:sz w:val="20"/>
              </w:rPr>
              <w:t>Raw scoring work</w:t>
            </w:r>
          </w:p>
        </w:tc>
        <w:tc>
          <w:tcPr>
            <w:tcW w:type="dxa" w:w="6998"/>
            <w:vAlign w:val="top"/>
            <w:tcMar>
              <w:top w:w="73" w:type="dxa"/>
              <w:bottom w:w="73" w:type="dxa"/>
              <w:left w:w="100" w:type="dxa"/>
              <w:right w:w="100" w:type="dxa"/>
            </w:tcMar>
          </w:tcPr>
          <w:p>
            <w:pPr>
              <w:pStyle w:val="TableText"/>
            </w:pPr>
            <w:r>
              <w:rPr>
                <w:sz w:val="20"/>
              </w:rPr>
              <w:t>2 × 5,000 × 1,024 = 10.24M arithmetic operations/query. Top-k, gather, masking, and conversion are additional.</w:t>
            </w:r>
          </w:p>
        </w:tc>
      </w:tr>
      <w:tr>
        <w:trPr>
          <w:cantSplit/>
        </w:trPr>
        <w:tc>
          <w:tcPr>
            <w:tcW w:type="dxa" w:w="3168"/>
            <w:vAlign w:val="top"/>
            <w:shd w:fill="F3F5F7"/>
            <w:tcMar>
              <w:top w:w="73" w:type="dxa"/>
              <w:bottom w:w="73" w:type="dxa"/>
              <w:left w:w="100" w:type="dxa"/>
              <w:right w:w="100" w:type="dxa"/>
            </w:tcMar>
          </w:tcPr>
          <w:p>
            <w:pPr>
              <w:pStyle w:val="TableText"/>
            </w:pPr>
            <w:r>
              <w:rPr>
                <w:sz w:val="20"/>
              </w:rPr>
              <w:t>Media serialization floor</w:t>
            </w:r>
          </w:p>
        </w:tc>
        <w:tc>
          <w:tcPr>
            <w:tcW w:type="dxa" w:w="6998"/>
            <w:vAlign w:val="top"/>
            <w:shd w:fill="F3F5F7"/>
            <w:tcMar>
              <w:top w:w="73" w:type="dxa"/>
              <w:bottom w:w="73" w:type="dxa"/>
              <w:left w:w="100" w:type="dxa"/>
              <w:right w:w="100" w:type="dxa"/>
            </w:tcMar>
          </w:tcPr>
          <w:p>
            <w:pPr>
              <w:pStyle w:val="TableText"/>
            </w:pPr>
            <w:r>
              <w:rPr>
                <w:sz w:val="20"/>
              </w:rPr>
              <w:t>10.24 MB / 200 GB/s = 0.0512 ms. This excludes access latency, queues, transfers, computation, and software.</w:t>
            </w:r>
          </w:p>
        </w:tc>
      </w:tr>
      <w:tr>
        <w:trPr>
          <w:cantSplit/>
        </w:trPr>
        <w:tc>
          <w:tcPr>
            <w:tcW w:type="dxa" w:w="3168"/>
            <w:vAlign w:val="top"/>
            <w:tcMar>
              <w:top w:w="73" w:type="dxa"/>
              <w:bottom w:w="73" w:type="dxa"/>
              <w:left w:w="100" w:type="dxa"/>
              <w:right w:w="100" w:type="dxa"/>
            </w:tcMar>
          </w:tcPr>
          <w:p>
            <w:pPr>
              <w:pStyle w:val="TableText"/>
            </w:pPr>
            <w:r>
              <w:rPr>
                <w:sz w:val="20"/>
              </w:rPr>
              <w:t>Full-capacity scan floor</w:t>
            </w:r>
          </w:p>
        </w:tc>
        <w:tc>
          <w:tcPr>
            <w:tcW w:type="dxa" w:w="6998"/>
            <w:vAlign w:val="top"/>
            <w:tcMar>
              <w:top w:w="73" w:type="dxa"/>
              <w:bottom w:w="73" w:type="dxa"/>
              <w:left w:w="100" w:type="dxa"/>
              <w:right w:w="100" w:type="dxa"/>
            </w:tcMar>
          </w:tcPr>
          <w:p>
            <w:pPr>
              <w:pStyle w:val="TableText"/>
            </w:pPr>
            <w:r>
              <w:rPr>
                <w:sz w:val="20"/>
              </w:rPr>
              <w:t>128 GB / 200 GB/s = 0.64 seconds. This does not support full-device low-latency scans on every query.</w:t>
            </w:r>
          </w:p>
        </w:tc>
      </w:tr>
    </w:tbl>
    <w:p>
      <w:pPr>
        <w:spacing w:after="20"/>
      </w:pPr>
    </w:p>
    <w:p>
      <w:pPr>
        <w:pStyle w:val="Heading2"/>
      </w:pPr>
      <w:r>
        <w:t>Required read traffic—not predicted QPS</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3168"/>
        <w:gridCol w:w="3499"/>
        <w:gridCol w:w="3499"/>
      </w:tblGrid>
      <w:tr>
        <w:trPr>
          <w:tblHeader/>
          <w:cantSplit/>
        </w:trPr>
        <w:tc>
          <w:tcPr>
            <w:tcW w:type="dxa" w:w="3168"/>
            <w:shd w:fill="A31630"/>
            <w:tcMar>
              <w:top w:w="73" w:type="dxa"/>
              <w:bottom w:w="73" w:type="dxa"/>
              <w:left w:w="100" w:type="dxa"/>
              <w:right w:w="100" w:type="dxa"/>
            </w:tcMar>
          </w:tcPr>
          <w:p>
            <w:pPr>
              <w:pStyle w:val="TableText"/>
            </w:pPr>
            <w:r>
              <w:rPr>
                <w:b/>
                <w:color w:val="FFFFFF"/>
                <w:sz w:val="20"/>
              </w:rPr>
              <w:t>Assumed offered rate</w:t>
            </w:r>
          </w:p>
        </w:tc>
        <w:tc>
          <w:tcPr>
            <w:tcW w:type="dxa" w:w="3499"/>
            <w:shd w:fill="A31630"/>
            <w:tcMar>
              <w:top w:w="73" w:type="dxa"/>
              <w:bottom w:w="73" w:type="dxa"/>
              <w:left w:w="100" w:type="dxa"/>
              <w:right w:w="100" w:type="dxa"/>
            </w:tcMar>
          </w:tcPr>
          <w:p>
            <w:pPr>
              <w:pStyle w:val="TableText"/>
            </w:pPr>
            <w:r>
              <w:rPr>
                <w:b/>
                <w:color w:val="FFFFFF"/>
                <w:sz w:val="20"/>
              </w:rPr>
              <w:t>Logical reads / second</w:t>
            </w:r>
          </w:p>
        </w:tc>
        <w:tc>
          <w:tcPr>
            <w:tcW w:type="dxa" w:w="3499"/>
            <w:shd w:fill="A31630"/>
            <w:tcMar>
              <w:top w:w="73" w:type="dxa"/>
              <w:bottom w:w="73" w:type="dxa"/>
              <w:left w:w="100" w:type="dxa"/>
              <w:right w:w="100" w:type="dxa"/>
            </w:tcMar>
          </w:tcPr>
          <w:p>
            <w:pPr>
              <w:pStyle w:val="TableText"/>
            </w:pPr>
            <w:r>
              <w:rPr>
                <w:b/>
                <w:color w:val="FFFFFF"/>
                <w:sz w:val="20"/>
              </w:rPr>
              <w:t>At 2× physical read amplification</w:t>
            </w:r>
          </w:p>
        </w:tc>
      </w:tr>
      <w:tr>
        <w:trPr>
          <w:cantSplit/>
        </w:trPr>
        <w:tc>
          <w:tcPr>
            <w:tcW w:type="dxa" w:w="3168"/>
            <w:vAlign w:val="top"/>
            <w:shd w:fill="F3F5F7"/>
            <w:tcMar>
              <w:top w:w="73" w:type="dxa"/>
              <w:bottom w:w="73" w:type="dxa"/>
              <w:left w:w="100" w:type="dxa"/>
              <w:right w:w="100" w:type="dxa"/>
            </w:tcMar>
          </w:tcPr>
          <w:p>
            <w:pPr>
              <w:pStyle w:val="TableText"/>
            </w:pPr>
            <w:r>
              <w:rPr>
                <w:sz w:val="20"/>
              </w:rPr>
              <w:t>100 QPS</w:t>
            </w:r>
          </w:p>
        </w:tc>
        <w:tc>
          <w:tcPr>
            <w:tcW w:type="dxa" w:w="3499"/>
            <w:vAlign w:val="top"/>
            <w:shd w:fill="F3F5F7"/>
            <w:tcMar>
              <w:top w:w="73" w:type="dxa"/>
              <w:bottom w:w="73" w:type="dxa"/>
              <w:left w:w="100" w:type="dxa"/>
              <w:right w:w="100" w:type="dxa"/>
            </w:tcMar>
          </w:tcPr>
          <w:p>
            <w:pPr>
              <w:pStyle w:val="TableText"/>
            </w:pPr>
            <w:r>
              <w:rPr>
                <w:sz w:val="20"/>
              </w:rPr>
              <w:t>1.024 GB/s</w:t>
            </w:r>
          </w:p>
        </w:tc>
        <w:tc>
          <w:tcPr>
            <w:tcW w:type="dxa" w:w="3499"/>
            <w:vAlign w:val="top"/>
            <w:shd w:fill="F3F5F7"/>
            <w:tcMar>
              <w:top w:w="73" w:type="dxa"/>
              <w:bottom w:w="73" w:type="dxa"/>
              <w:left w:w="100" w:type="dxa"/>
              <w:right w:w="100" w:type="dxa"/>
            </w:tcMar>
          </w:tcPr>
          <w:p>
            <w:pPr>
              <w:pStyle w:val="TableText"/>
            </w:pPr>
            <w:r>
              <w:rPr>
                <w:sz w:val="20"/>
              </w:rPr>
              <w:t>2.048 GB/s</w:t>
            </w:r>
          </w:p>
        </w:tc>
      </w:tr>
      <w:tr>
        <w:trPr>
          <w:cantSplit/>
        </w:trPr>
        <w:tc>
          <w:tcPr>
            <w:tcW w:type="dxa" w:w="3168"/>
            <w:vAlign w:val="top"/>
            <w:tcMar>
              <w:top w:w="73" w:type="dxa"/>
              <w:bottom w:w="73" w:type="dxa"/>
              <w:left w:w="100" w:type="dxa"/>
              <w:right w:w="100" w:type="dxa"/>
            </w:tcMar>
          </w:tcPr>
          <w:p>
            <w:pPr>
              <w:pStyle w:val="TableText"/>
            </w:pPr>
            <w:r>
              <w:rPr>
                <w:sz w:val="20"/>
              </w:rPr>
              <w:t>1,000 QPS</w:t>
            </w:r>
          </w:p>
        </w:tc>
        <w:tc>
          <w:tcPr>
            <w:tcW w:type="dxa" w:w="3499"/>
            <w:vAlign w:val="top"/>
            <w:tcMar>
              <w:top w:w="73" w:type="dxa"/>
              <w:bottom w:w="73" w:type="dxa"/>
              <w:left w:w="100" w:type="dxa"/>
              <w:right w:w="100" w:type="dxa"/>
            </w:tcMar>
          </w:tcPr>
          <w:p>
            <w:pPr>
              <w:pStyle w:val="TableText"/>
            </w:pPr>
            <w:r>
              <w:rPr>
                <w:sz w:val="20"/>
              </w:rPr>
              <w:t>10.24 GB/s</w:t>
            </w:r>
          </w:p>
        </w:tc>
        <w:tc>
          <w:tcPr>
            <w:tcW w:type="dxa" w:w="3499"/>
            <w:vAlign w:val="top"/>
            <w:tcMar>
              <w:top w:w="73" w:type="dxa"/>
              <w:bottom w:w="73" w:type="dxa"/>
              <w:left w:w="100" w:type="dxa"/>
              <w:right w:w="100" w:type="dxa"/>
            </w:tcMar>
          </w:tcPr>
          <w:p>
            <w:pPr>
              <w:pStyle w:val="TableText"/>
            </w:pPr>
            <w:r>
              <w:rPr>
                <w:sz w:val="20"/>
              </w:rPr>
              <w:t>20.48 GB/s</w:t>
            </w:r>
          </w:p>
        </w:tc>
      </w:tr>
      <w:tr>
        <w:trPr>
          <w:cantSplit/>
        </w:trPr>
        <w:tc>
          <w:tcPr>
            <w:tcW w:type="dxa" w:w="3168"/>
            <w:vAlign w:val="top"/>
            <w:shd w:fill="F3F5F7"/>
            <w:tcMar>
              <w:top w:w="73" w:type="dxa"/>
              <w:bottom w:w="73" w:type="dxa"/>
              <w:left w:w="100" w:type="dxa"/>
              <w:right w:w="100" w:type="dxa"/>
            </w:tcMar>
          </w:tcPr>
          <w:p>
            <w:pPr>
              <w:pStyle w:val="TableText"/>
            </w:pPr>
            <w:r>
              <w:rPr>
                <w:sz w:val="20"/>
              </w:rPr>
              <w:t>5,000 QPS</w:t>
            </w:r>
          </w:p>
        </w:tc>
        <w:tc>
          <w:tcPr>
            <w:tcW w:type="dxa" w:w="3499"/>
            <w:vAlign w:val="top"/>
            <w:shd w:fill="F3F5F7"/>
            <w:tcMar>
              <w:top w:w="73" w:type="dxa"/>
              <w:bottom w:w="73" w:type="dxa"/>
              <w:left w:w="100" w:type="dxa"/>
              <w:right w:w="100" w:type="dxa"/>
            </w:tcMar>
          </w:tcPr>
          <w:p>
            <w:pPr>
              <w:pStyle w:val="TableText"/>
            </w:pPr>
            <w:r>
              <w:rPr>
                <w:sz w:val="20"/>
              </w:rPr>
              <w:t>51.2 GB/s</w:t>
            </w:r>
          </w:p>
        </w:tc>
        <w:tc>
          <w:tcPr>
            <w:tcW w:type="dxa" w:w="3499"/>
            <w:vAlign w:val="top"/>
            <w:shd w:fill="F3F5F7"/>
            <w:tcMar>
              <w:top w:w="73" w:type="dxa"/>
              <w:bottom w:w="73" w:type="dxa"/>
              <w:left w:w="100" w:type="dxa"/>
              <w:right w:w="100" w:type="dxa"/>
            </w:tcMar>
          </w:tcPr>
          <w:p>
            <w:pPr>
              <w:pStyle w:val="TableText"/>
            </w:pPr>
            <w:r>
              <w:rPr>
                <w:sz w:val="20"/>
              </w:rPr>
              <w:t>102.4 GB/s</w:t>
            </w:r>
          </w:p>
        </w:tc>
      </w:tr>
    </w:tbl>
    <w:p>
      <w:pPr>
        <w:spacing w:after="20"/>
      </w:pPr>
    </w:p>
    <w:p>
      <w:r>
        <w:t>General requirement: physical read bandwidth = queries/s × logical bytes/query × (1 − applicable cache-hit fraction) × amplification. Use measured byte-weighted cache behavior; distinguish host-memory hits from reads that still traverse HBF. For aligned 2 KiB vectors fetched from 4 KiB granules without useful co-resident data, amplification can be 2×; this is a layout example, not a confirmed device granularity.</w:t>
      </w:r>
    </w:p>
    <w:p>
      <w:r>
        <w:t>If every useful byte is written once and read once through a combined 50 GB/s working-memory interface, useful throughput cannot exceed 25 GB/s before competing traffic. If the real design has a different path, model it separately. Sum local device bandwidth only for parallel independent consumers.</w:t>
      </w:r>
    </w:p>
    <w:p>
      <w:pPr>
        <w:pStyle w:val="Small"/>
      </w:pPr>
      <w:r>
        <w:t>Data movement savings are boundary-specific. A data-owning CPU/GPU server can also return only IDs/scores; the example is not a claim of a 10.24 MB network transfer in every conventional service. Targets from [I1–I2]; calculations authored for this proposal.</w:t>
      </w:r>
    </w:p>
    <w:p>
      <w:pPr>
        <w:pStyle w:val="Small"/>
        <w:keepNext/>
        <w:pageBreakBefore/>
      </w:pPr>
      <w:r>
        <w:rPr>
          <w:b/>
          <w:color w:val="24586E"/>
        </w:rPr>
        <w:t>A2 • EDITABLE ANALYTICAL ASSUMPTIONS; NO VENDOR PRICES OR PERFORMANCE MEASUREMENTS</w:t>
      </w:r>
    </w:p>
    <w:p>
      <w:pPr>
        <w:pStyle w:val="Heading1"/>
      </w:pPr>
      <w:r>
        <w:t>Appendix B. Economic model: inputs and equations</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707"/>
        <w:gridCol w:w="7459"/>
      </w:tblGrid>
      <w:tr>
        <w:trPr>
          <w:tblHeader/>
          <w:cantSplit/>
        </w:trPr>
        <w:tc>
          <w:tcPr>
            <w:tcW w:type="dxa" w:w="2707"/>
            <w:shd w:fill="A31630"/>
            <w:tcMar>
              <w:top w:w="73" w:type="dxa"/>
              <w:bottom w:w="73" w:type="dxa"/>
              <w:left w:w="100" w:type="dxa"/>
              <w:right w:w="100" w:type="dxa"/>
            </w:tcMar>
          </w:tcPr>
          <w:p>
            <w:pPr>
              <w:pStyle w:val="TableText"/>
            </w:pPr>
            <w:r>
              <w:rPr>
                <w:b/>
                <w:color w:val="FFFFFF"/>
                <w:sz w:val="20"/>
              </w:rPr>
              <w:t>Input</w:t>
            </w:r>
          </w:p>
        </w:tc>
        <w:tc>
          <w:tcPr>
            <w:tcW w:type="dxa" w:w="7459"/>
            <w:shd w:fill="A31630"/>
            <w:tcMar>
              <w:top w:w="73" w:type="dxa"/>
              <w:bottom w:w="73" w:type="dxa"/>
              <w:left w:w="100" w:type="dxa"/>
              <w:right w:w="100" w:type="dxa"/>
            </w:tcMar>
          </w:tcPr>
          <w:p>
            <w:pPr>
              <w:pStyle w:val="TableText"/>
            </w:pPr>
            <w:r>
              <w:rPr>
                <w:b/>
                <w:color w:val="FFFFFF"/>
                <w:sz w:val="20"/>
              </w:rPr>
              <w:t>Value and accounting rule</w:t>
            </w:r>
          </w:p>
        </w:tc>
      </w:tr>
      <w:tr>
        <w:trPr>
          <w:cantSplit/>
        </w:trPr>
        <w:tc>
          <w:tcPr>
            <w:tcW w:type="dxa" w:w="2707"/>
            <w:vAlign w:val="top"/>
            <w:shd w:fill="F3F5F7"/>
            <w:tcMar>
              <w:top w:w="73" w:type="dxa"/>
              <w:bottom w:w="73" w:type="dxa"/>
              <w:left w:w="100" w:type="dxa"/>
              <w:right w:w="100" w:type="dxa"/>
            </w:tcMar>
          </w:tcPr>
          <w:p>
            <w:pPr>
              <w:pStyle w:val="TableText"/>
            </w:pPr>
            <w:r>
              <w:rPr>
                <w:sz w:val="19"/>
              </w:rPr>
              <w:t>Workload / service boundary</w:t>
            </w:r>
          </w:p>
        </w:tc>
        <w:tc>
          <w:tcPr>
            <w:tcW w:type="dxa" w:w="7459"/>
            <w:vAlign w:val="top"/>
            <w:shd w:fill="F3F5F7"/>
            <w:tcMar>
              <w:top w:w="73" w:type="dxa"/>
              <w:bottom w:w="73" w:type="dxa"/>
              <w:left w:w="100" w:type="dxa"/>
              <w:right w:w="100" w:type="dxa"/>
            </w:tcMar>
          </w:tcPr>
          <w:p>
            <w:pPr>
              <w:pStyle w:val="TableText"/>
            </w:pPr>
            <w:r>
              <w:rPr>
                <w:sz w:val="19"/>
              </w:rPr>
              <w:t>800 GB distinct representation data; 5,000 candidates/query; same scoring quality and proposed p99 ≤20 ms at the refinement API. Final search SLO is negotiated separately.</w:t>
            </w:r>
          </w:p>
        </w:tc>
      </w:tr>
      <w:tr>
        <w:trPr>
          <w:cantSplit/>
        </w:trPr>
        <w:tc>
          <w:tcPr>
            <w:tcW w:type="dxa" w:w="2707"/>
            <w:vAlign w:val="top"/>
            <w:tcMar>
              <w:top w:w="73" w:type="dxa"/>
              <w:bottom w:w="73" w:type="dxa"/>
              <w:left w:w="100" w:type="dxa"/>
              <w:right w:w="100" w:type="dxa"/>
            </w:tcMar>
          </w:tcPr>
          <w:p>
            <w:pPr>
              <w:pStyle w:val="TableText"/>
            </w:pPr>
            <w:r>
              <w:rPr>
                <w:sz w:val="19"/>
              </w:rPr>
              <w:t>Demand</w:t>
            </w:r>
          </w:p>
        </w:tc>
        <w:tc>
          <w:tcPr>
            <w:tcW w:type="dxa" w:w="7459"/>
            <w:vAlign w:val="top"/>
            <w:tcMar>
              <w:top w:w="73" w:type="dxa"/>
              <w:bottom w:w="73" w:type="dxa"/>
              <w:left w:w="100" w:type="dxa"/>
              <w:right w:w="100" w:type="dxa"/>
            </w:tcMar>
          </w:tcPr>
          <w:p>
            <w:pPr>
              <w:pStyle w:val="TableText"/>
            </w:pPr>
            <w:r>
              <w:rPr>
                <w:sz w:val="19"/>
              </w:rPr>
              <w:t>Peak 4,000 QPS for sizing; mean 1,000 accepted QPS for cost denominator. 8,760 hours/year; 3 years; constant demand only for this example.</w:t>
            </w:r>
          </w:p>
        </w:tc>
      </w:tr>
      <w:tr>
        <w:trPr>
          <w:cantSplit/>
        </w:trPr>
        <w:tc>
          <w:tcPr>
            <w:tcW w:type="dxa" w:w="2707"/>
            <w:vAlign w:val="top"/>
            <w:shd w:fill="F3F5F7"/>
            <w:tcMar>
              <w:top w:w="73" w:type="dxa"/>
              <w:bottom w:w="73" w:type="dxa"/>
              <w:left w:w="100" w:type="dxa"/>
              <w:right w:w="100" w:type="dxa"/>
            </w:tcMar>
          </w:tcPr>
          <w:p>
            <w:pPr>
              <w:pStyle w:val="TableText"/>
            </w:pPr>
            <w:r>
              <w:rPr>
                <w:sz w:val="19"/>
              </w:rPr>
              <w:t>Availability</w:t>
            </w:r>
          </w:p>
        </w:tc>
        <w:tc>
          <w:tcPr>
            <w:tcW w:type="dxa" w:w="7459"/>
            <w:vAlign w:val="top"/>
            <w:shd w:fill="F3F5F7"/>
            <w:tcMar>
              <w:top w:w="73" w:type="dxa"/>
              <w:bottom w:w="73" w:type="dxa"/>
              <w:left w:w="100" w:type="dxa"/>
              <w:right w:w="100" w:type="dxa"/>
            </w:tcMar>
          </w:tcPr>
          <w:p>
            <w:pPr>
              <w:pStyle w:val="TableText"/>
            </w:pPr>
            <w:r>
              <w:rPr>
                <w:sz w:val="19"/>
              </w:rPr>
              <w:t>At least 3 full corpus copies normally, ≥2 after loss of any one node. Each node has a full copy; after one-node loss, remaining nodes must sustain the peak.</w:t>
            </w:r>
          </w:p>
        </w:tc>
      </w:tr>
      <w:tr>
        <w:trPr>
          <w:cantSplit/>
        </w:trPr>
        <w:tc>
          <w:tcPr>
            <w:tcW w:type="dxa" w:w="2707"/>
            <w:vAlign w:val="top"/>
            <w:tcMar>
              <w:top w:w="73" w:type="dxa"/>
              <w:bottom w:w="73" w:type="dxa"/>
              <w:left w:w="100" w:type="dxa"/>
              <w:right w:w="100" w:type="dxa"/>
            </w:tcMar>
          </w:tcPr>
          <w:p>
            <w:pPr>
              <w:pStyle w:val="TableText"/>
            </w:pPr>
            <w:r>
              <w:rPr>
                <w:sz w:val="19"/>
              </w:rPr>
              <w:t>Admission reserve</w:t>
            </w:r>
          </w:p>
        </w:tc>
        <w:tc>
          <w:tcPr>
            <w:tcW w:type="dxa" w:w="7459"/>
            <w:vAlign w:val="top"/>
            <w:tcMar>
              <w:top w:w="73" w:type="dxa"/>
              <w:bottom w:w="73" w:type="dxa"/>
              <w:left w:w="100" w:type="dxa"/>
              <w:right w:w="100" w:type="dxa"/>
            </w:tcMar>
          </w:tcPr>
          <w:p>
            <w:pPr>
              <w:pStyle w:val="TableText"/>
            </w:pPr>
            <w:r>
              <w:rPr>
                <w:sz w:val="19"/>
              </w:rPr>
              <w:t>Only 70% of the assumed qualified per-node rate is used for sizing. This is extra headroom, not proof of a p99 or a generic utilization law.</w:t>
            </w:r>
          </w:p>
        </w:tc>
      </w:tr>
      <w:tr>
        <w:trPr>
          <w:cantSplit/>
        </w:trPr>
        <w:tc>
          <w:tcPr>
            <w:tcW w:type="dxa" w:w="2707"/>
            <w:vAlign w:val="top"/>
            <w:shd w:fill="F3F5F7"/>
            <w:tcMar>
              <w:top w:w="73" w:type="dxa"/>
              <w:bottom w:w="73" w:type="dxa"/>
              <w:left w:w="100" w:type="dxa"/>
              <w:right w:w="100" w:type="dxa"/>
            </w:tcMar>
          </w:tcPr>
          <w:p>
            <w:pPr>
              <w:pStyle w:val="TableText"/>
            </w:pPr>
            <w:r>
              <w:rPr>
                <w:sz w:val="19"/>
              </w:rPr>
              <w:t>Node count</w:t>
            </w:r>
          </w:p>
        </w:tc>
        <w:tc>
          <w:tcPr>
            <w:tcW w:type="dxa" w:w="7459"/>
            <w:vAlign w:val="top"/>
            <w:shd w:fill="F3F5F7"/>
            <w:tcMar>
              <w:top w:w="73" w:type="dxa"/>
              <w:bottom w:w="73" w:type="dxa"/>
              <w:left w:w="100" w:type="dxa"/>
              <w:right w:w="100" w:type="dxa"/>
            </w:tcMar>
          </w:tcPr>
          <w:p>
            <w:pPr>
              <w:pStyle w:val="TableText"/>
            </w:pPr>
            <w:r>
              <w:rPr>
                <w:sz w:val="19"/>
              </w:rPr>
              <w:t>N = max(3, ceil[peak / (0.70 × node_QPS)] + 1). Valid only for these independent full-replica nodes.</w:t>
            </w:r>
          </w:p>
        </w:tc>
      </w:tr>
      <w:tr>
        <w:trPr>
          <w:cantSplit/>
        </w:trPr>
        <w:tc>
          <w:tcPr>
            <w:tcW w:type="dxa" w:w="2707"/>
            <w:vAlign w:val="top"/>
            <w:tcMar>
              <w:top w:w="73" w:type="dxa"/>
              <w:bottom w:w="73" w:type="dxa"/>
              <w:left w:w="100" w:type="dxa"/>
              <w:right w:w="100" w:type="dxa"/>
            </w:tcMar>
          </w:tcPr>
          <w:p>
            <w:pPr>
              <w:pStyle w:val="TableText"/>
            </w:pPr>
            <w:r>
              <w:rPr>
                <w:sz w:val="19"/>
              </w:rPr>
              <w:t>Candidate population</w:t>
            </w:r>
          </w:p>
        </w:tc>
        <w:tc>
          <w:tcPr>
            <w:tcW w:type="dxa" w:w="7459"/>
            <w:vAlign w:val="top"/>
            <w:tcMar>
              <w:top w:w="73" w:type="dxa"/>
              <w:bottom w:w="73" w:type="dxa"/>
              <w:left w:w="100" w:type="dxa"/>
              <w:right w:w="100" w:type="dxa"/>
            </w:tcMar>
          </w:tcPr>
          <w:p>
            <w:pPr>
              <w:pStyle w:val="TableText"/>
            </w:pPr>
            <w:r>
              <w:rPr>
                <w:sz w:val="19"/>
              </w:rPr>
              <w:t>8 devices/node × 100 GB usable representation budget = 800 GB. At 3 nodes: 24 devices, 2.4 TB duplicated useful payload, 3.072 TB nominal HBF.</w:t>
            </w:r>
          </w:p>
        </w:tc>
      </w:tr>
      <w:tr>
        <w:trPr>
          <w:cantSplit/>
        </w:trPr>
        <w:tc>
          <w:tcPr>
            <w:tcW w:type="dxa" w:w="2707"/>
            <w:vAlign w:val="top"/>
            <w:shd w:fill="F3F5F7"/>
            <w:tcMar>
              <w:top w:w="73" w:type="dxa"/>
              <w:bottom w:w="73" w:type="dxa"/>
              <w:left w:w="100" w:type="dxa"/>
              <w:right w:w="100" w:type="dxa"/>
            </w:tcMar>
          </w:tcPr>
          <w:p>
            <w:pPr>
              <w:pStyle w:val="TableText"/>
            </w:pPr>
            <w:r>
              <w:rPr>
                <w:sz w:val="19"/>
              </w:rPr>
              <w:t>Prices and costs</w:t>
            </w:r>
          </w:p>
        </w:tc>
        <w:tc>
          <w:tcPr>
            <w:tcW w:type="dxa" w:w="7459"/>
            <w:vAlign w:val="top"/>
            <w:shd w:fill="F3F5F7"/>
            <w:tcMar>
              <w:top w:w="73" w:type="dxa"/>
              <w:bottom w:w="73" w:type="dxa"/>
              <w:left w:w="100" w:type="dxa"/>
              <w:right w:w="100" w:type="dxa"/>
            </w:tcMar>
          </w:tcPr>
          <w:p>
            <w:pPr>
              <w:pStyle w:val="TableText"/>
            </w:pPr>
            <w:r>
              <w:rPr>
                <w:sz w:val="19"/>
              </w:rPr>
              <w:t>Reference $60K/node. Candidate $20K host/node plus 8 × device price. These are hypothetical packaged-system costs, not selected-server quotes.</w:t>
            </w:r>
          </w:p>
        </w:tc>
      </w:tr>
      <w:tr>
        <w:trPr>
          <w:cantSplit/>
        </w:trPr>
        <w:tc>
          <w:tcPr>
            <w:tcW w:type="dxa" w:w="2707"/>
            <w:vAlign w:val="top"/>
            <w:tcMar>
              <w:top w:w="73" w:type="dxa"/>
              <w:bottom w:w="73" w:type="dxa"/>
              <w:left w:w="100" w:type="dxa"/>
              <w:right w:w="100" w:type="dxa"/>
            </w:tcMar>
          </w:tcPr>
          <w:p>
            <w:pPr>
              <w:pStyle w:val="TableText"/>
            </w:pPr>
            <w:r>
              <w:rPr>
                <w:sz w:val="19"/>
              </w:rPr>
              <w:t>Operating inputs</w:t>
            </w:r>
          </w:p>
        </w:tc>
        <w:tc>
          <w:tcPr>
            <w:tcW w:type="dxa" w:w="7459"/>
            <w:vAlign w:val="top"/>
            <w:tcMar>
              <w:top w:w="73" w:type="dxa"/>
              <w:bottom w:w="73" w:type="dxa"/>
              <w:left w:w="100" w:type="dxa"/>
              <w:right w:w="100" w:type="dxa"/>
            </w:tcMar>
          </w:tcPr>
          <w:p>
            <w:pPr>
              <w:pStyle w:val="TableText"/>
            </w:pPr>
            <w:r>
              <w:rPr>
                <w:sz w:val="19"/>
              </w:rPr>
              <w:t>Support 12% of hardware/year; operations $40K/year per pool; facilities $2K/node/year excluding energy; common services $60K/year per pool.</w:t>
            </w:r>
          </w:p>
        </w:tc>
      </w:tr>
      <w:tr>
        <w:trPr>
          <w:cantSplit/>
        </w:trPr>
        <w:tc>
          <w:tcPr>
            <w:tcW w:type="dxa" w:w="2707"/>
            <w:vAlign w:val="top"/>
            <w:shd w:fill="F3F5F7"/>
            <w:tcMar>
              <w:top w:w="73" w:type="dxa"/>
              <w:bottom w:w="73" w:type="dxa"/>
              <w:left w:w="100" w:type="dxa"/>
              <w:right w:w="100" w:type="dxa"/>
            </w:tcMar>
          </w:tcPr>
          <w:p>
            <w:pPr>
              <w:pStyle w:val="TableText"/>
            </w:pPr>
            <w:r>
              <w:rPr>
                <w:sz w:val="19"/>
              </w:rPr>
              <w:t>Energy</w:t>
            </w:r>
          </w:p>
        </w:tc>
        <w:tc>
          <w:tcPr>
            <w:tcW w:type="dxa" w:w="7459"/>
            <w:vAlign w:val="top"/>
            <w:shd w:fill="F3F5F7"/>
            <w:tcMar>
              <w:top w:w="73" w:type="dxa"/>
              <w:bottom w:w="73" w:type="dxa"/>
              <w:left w:w="100" w:type="dxa"/>
              <w:right w:w="100" w:type="dxa"/>
            </w:tcMar>
          </w:tcPr>
          <w:p>
            <w:pPr>
              <w:pStyle w:val="TableText"/>
            </w:pPr>
            <w:r>
              <w:rPr>
                <w:sz w:val="19"/>
              </w:rPr>
              <w:t>Mean reference 1.2 kW/node; candidate 0.8 kW/node. Facility energy = IT kW × hours × PUE 1.3. Electricity $0.12/kWh; all assumptions.</w:t>
            </w:r>
          </w:p>
        </w:tc>
      </w:tr>
      <w:tr>
        <w:trPr>
          <w:cantSplit/>
        </w:trPr>
        <w:tc>
          <w:tcPr>
            <w:tcW w:type="dxa" w:w="2707"/>
            <w:vAlign w:val="top"/>
            <w:tcMar>
              <w:top w:w="73" w:type="dxa"/>
              <w:bottom w:w="73" w:type="dxa"/>
              <w:left w:w="100" w:type="dxa"/>
              <w:right w:w="100" w:type="dxa"/>
            </w:tcMar>
          </w:tcPr>
          <w:p>
            <w:pPr>
              <w:pStyle w:val="TableText"/>
            </w:pPr>
            <w:r>
              <w:rPr>
                <w:sz w:val="19"/>
              </w:rPr>
              <w:t>Integration</w:t>
            </w:r>
          </w:p>
        </w:tc>
        <w:tc>
          <w:tcPr>
            <w:tcW w:type="dxa" w:w="7459"/>
            <w:vAlign w:val="top"/>
            <w:tcMar>
              <w:top w:w="73" w:type="dxa"/>
              <w:bottom w:w="73" w:type="dxa"/>
              <w:left w:w="100" w:type="dxa"/>
              <w:right w:w="100" w:type="dxa"/>
            </w:tcMar>
          </w:tcPr>
          <w:p>
            <w:pPr>
              <w:pStyle w:val="TableText"/>
            </w:pPr>
            <w:r>
              <w:rPr>
                <w:sz w:val="19"/>
              </w:rPr>
              <w:t>Candidate incremental $60K once; established reference $0 increment. Quote licensing, migration, data movement, testing, and support differences separately.</w:t>
            </w:r>
          </w:p>
        </w:tc>
      </w:tr>
    </w:tbl>
    <w:p>
      <w:pPr>
        <w:spacing w:after="20"/>
      </w:pPr>
    </w:p>
    <w:p>
      <w:pPr>
        <w:pStyle w:val="Heading2"/>
      </w:pPr>
      <w:r>
        <w:t>Equations</w:t>
      </w:r>
    </w:p>
    <w:p>
      <w:r>
        <w:t>Three-year TCO = hardware + 3 × annual support + 3 × annual operations + 3 × non-energy facilities + 3 × facility electricity + 3 × common services + one-time integration.</w:t>
      </w:r>
    </w:p>
    <w:p>
      <w:r>
        <w:t>Cost per million accepted queries = TCO / (observed accepted queries ÷ 1,000,000). The example produces 94.608 billion accepted queries across three years, so the scenario costs are approximately $7.08/M for the reference and $5.65/M for the candidate.</w:t>
      </w:r>
    </w:p>
    <w:p>
      <w:pPr>
        <w:pStyle w:val="Small"/>
      </w:pPr>
      <w:r>
        <w:t>These are retrieval-subsystem costs, not API prices, full enterprise IT costs, or LLM-serving economics. No discounting, taxes, financing, or residual value is modeled. Do not add energy cooling a second time after applying PUE; non-energy facilities are space/service only.</w:t>
      </w:r>
    </w:p>
    <w:p>
      <w:pPr>
        <w:pStyle w:val="Small"/>
        <w:keepNext/>
        <w:pageBreakBefore/>
      </w:pPr>
      <w:r>
        <w:rPr>
          <w:b/>
          <w:color w:val="24586E"/>
        </w:rPr>
        <w:t>A2 • CONDITIONS FOR AN INVESTABLE PRICE/PERFORMANCE ENVELOPE</w:t>
      </w:r>
    </w:p>
    <w:p>
      <w:pPr>
        <w:pStyle w:val="Heading1"/>
      </w:pPr>
      <w:r>
        <w:t>Appendix B, continued. Reconcile costs and risk</w:t>
      </w:r>
    </w:p>
    <w:p>
      <w:pPr>
        <w:pStyle w:val="Heading2"/>
      </w:pPr>
      <w:r>
        <w:t>Check the capacity and rate after one node fails</w:t>
      </w:r>
    </w:p>
    <w:p>
      <w:r>
        <w:t>Reference: (4 − 1) × 0.70 × 2,500 = 5,250 QPS. Candidate: (3 − 1) × 0.70 × 3,500 = 4,900 QPS. Both exceed the assumed 4,000 QPS peak. This is a sizing check, not an executed recovery test; hot shards, network/merge effects, or update load can invalidate it.</w:t>
      </w:r>
    </w:p>
    <w:p>
      <w:pPr>
        <w:pStyle w:val="Heading2"/>
      </w:pPr>
      <w:r>
        <w:t>Derive the customer price ceiling</w:t>
      </w:r>
    </w:p>
    <w:p>
      <w:r>
        <w:t>At three candidate nodes, write TCO_A = F + 24 × p × 1.36, where p is end-customer device price. The factor 1.36 includes hardware plus three years of support at 12%/year. With the stated assumptions, F = $469,439.232.</w:t>
      </w:r>
    </w:p>
    <w:p>
      <w:r>
        <w:t>For a required fractional saving s against TCO_B = $670,078.464, the ceiling is p_max = [(1 − s) × TCO_B − F] / (24 × 1.36). At s = 20%, p_max = $2,041.16; at parity, p_max = $6,147.04. A negative ceiling would reject the design even before device cost.</w:t>
      </w:r>
    </w:p>
    <w:p>
      <w:pPr>
        <w:pStyle w:val="Heading2"/>
      </w:pPr>
      <w:r>
        <w:t>Demand sensitivity: installed capacity is not free</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4464"/>
        <w:gridCol w:w="2851"/>
        <w:gridCol w:w="2851"/>
      </w:tblGrid>
      <w:tr>
        <w:trPr>
          <w:tblHeader/>
          <w:cantSplit/>
        </w:trPr>
        <w:tc>
          <w:tcPr>
            <w:tcW w:type="dxa" w:w="4464"/>
            <w:shd w:fill="A31630"/>
            <w:tcMar>
              <w:top w:w="73" w:type="dxa"/>
              <w:bottom w:w="73" w:type="dxa"/>
              <w:left w:w="100" w:type="dxa"/>
              <w:right w:w="100" w:type="dxa"/>
            </w:tcMar>
          </w:tcPr>
          <w:p>
            <w:pPr>
              <w:pStyle w:val="TableText"/>
            </w:pPr>
            <w:r>
              <w:rPr>
                <w:b/>
                <w:color w:val="FFFFFF"/>
                <w:sz w:val="20"/>
              </w:rPr>
              <w:t>Average accepted QPS; same peak and fleet</w:t>
            </w:r>
          </w:p>
        </w:tc>
        <w:tc>
          <w:tcPr>
            <w:tcW w:type="dxa" w:w="2851"/>
            <w:shd w:fill="A31630"/>
            <w:tcMar>
              <w:top w:w="73" w:type="dxa"/>
              <w:bottom w:w="73" w:type="dxa"/>
              <w:left w:w="100" w:type="dxa"/>
              <w:right w:w="100" w:type="dxa"/>
            </w:tcMar>
          </w:tcPr>
          <w:p>
            <w:pPr>
              <w:pStyle w:val="TableText"/>
            </w:pPr>
            <w:r>
              <w:rPr>
                <w:b/>
                <w:color w:val="FFFFFF"/>
                <w:sz w:val="20"/>
              </w:rPr>
              <w:t>Reference cost / M queries</w:t>
            </w:r>
          </w:p>
        </w:tc>
        <w:tc>
          <w:tcPr>
            <w:tcW w:type="dxa" w:w="2851"/>
            <w:shd w:fill="A31630"/>
            <w:tcMar>
              <w:top w:w="73" w:type="dxa"/>
              <w:bottom w:w="73" w:type="dxa"/>
              <w:left w:w="100" w:type="dxa"/>
              <w:right w:w="100" w:type="dxa"/>
            </w:tcMar>
          </w:tcPr>
          <w:p>
            <w:pPr>
              <w:pStyle w:val="TableText"/>
            </w:pPr>
            <w:r>
              <w:rPr>
                <w:b/>
                <w:color w:val="FFFFFF"/>
                <w:sz w:val="20"/>
              </w:rPr>
              <w:t>Candidate cost / M queries</w:t>
            </w:r>
          </w:p>
        </w:tc>
      </w:tr>
      <w:tr>
        <w:trPr>
          <w:cantSplit/>
        </w:trPr>
        <w:tc>
          <w:tcPr>
            <w:tcW w:type="dxa" w:w="4464"/>
            <w:vAlign w:val="top"/>
            <w:shd w:fill="F3F5F7"/>
            <w:tcMar>
              <w:top w:w="73" w:type="dxa"/>
              <w:bottom w:w="73" w:type="dxa"/>
              <w:left w:w="100" w:type="dxa"/>
              <w:right w:w="100" w:type="dxa"/>
            </w:tcMar>
          </w:tcPr>
          <w:p>
            <w:pPr>
              <w:pStyle w:val="TableText"/>
            </w:pPr>
            <w:r>
              <w:rPr>
                <w:sz w:val="20"/>
              </w:rPr>
              <w:t>250</w:t>
            </w:r>
          </w:p>
        </w:tc>
        <w:tc>
          <w:tcPr>
            <w:tcW w:type="dxa" w:w="2851"/>
            <w:vAlign w:val="top"/>
            <w:shd w:fill="F3F5F7"/>
            <w:tcMar>
              <w:top w:w="73" w:type="dxa"/>
              <w:bottom w:w="73" w:type="dxa"/>
              <w:left w:w="100" w:type="dxa"/>
              <w:right w:w="100" w:type="dxa"/>
            </w:tcMar>
          </w:tcPr>
          <w:p>
            <w:pPr>
              <w:pStyle w:val="TableText"/>
            </w:pPr>
            <w:r>
              <w:rPr>
                <w:sz w:val="20"/>
              </w:rPr>
              <w:t>$28.33</w:t>
            </w:r>
          </w:p>
        </w:tc>
        <w:tc>
          <w:tcPr>
            <w:tcW w:type="dxa" w:w="2851"/>
            <w:vAlign w:val="top"/>
            <w:shd w:fill="F3F5F7"/>
            <w:tcMar>
              <w:top w:w="73" w:type="dxa"/>
              <w:bottom w:w="73" w:type="dxa"/>
              <w:left w:w="100" w:type="dxa"/>
              <w:right w:w="100" w:type="dxa"/>
            </w:tcMar>
          </w:tcPr>
          <w:p>
            <w:pPr>
              <w:pStyle w:val="TableText"/>
            </w:pPr>
            <w:r>
              <w:rPr>
                <w:sz w:val="20"/>
              </w:rPr>
              <w:t>$22.61</w:t>
            </w:r>
          </w:p>
        </w:tc>
      </w:tr>
      <w:tr>
        <w:trPr>
          <w:cantSplit/>
        </w:trPr>
        <w:tc>
          <w:tcPr>
            <w:tcW w:type="dxa" w:w="4464"/>
            <w:vAlign w:val="top"/>
            <w:tcMar>
              <w:top w:w="73" w:type="dxa"/>
              <w:bottom w:w="73" w:type="dxa"/>
              <w:left w:w="100" w:type="dxa"/>
              <w:right w:w="100" w:type="dxa"/>
            </w:tcMar>
          </w:tcPr>
          <w:p>
            <w:pPr>
              <w:pStyle w:val="TableText"/>
            </w:pPr>
            <w:r>
              <w:rPr>
                <w:sz w:val="20"/>
              </w:rPr>
              <w:t>1,000</w:t>
            </w:r>
          </w:p>
        </w:tc>
        <w:tc>
          <w:tcPr>
            <w:tcW w:type="dxa" w:w="2851"/>
            <w:vAlign w:val="top"/>
            <w:tcMar>
              <w:top w:w="73" w:type="dxa"/>
              <w:bottom w:w="73" w:type="dxa"/>
              <w:left w:w="100" w:type="dxa"/>
              <w:right w:w="100" w:type="dxa"/>
            </w:tcMar>
          </w:tcPr>
          <w:p>
            <w:pPr>
              <w:pStyle w:val="TableText"/>
            </w:pPr>
            <w:r>
              <w:rPr>
                <w:sz w:val="20"/>
              </w:rPr>
              <w:t>$7.08</w:t>
            </w:r>
          </w:p>
        </w:tc>
        <w:tc>
          <w:tcPr>
            <w:tcW w:type="dxa" w:w="2851"/>
            <w:vAlign w:val="top"/>
            <w:tcMar>
              <w:top w:w="73" w:type="dxa"/>
              <w:bottom w:w="73" w:type="dxa"/>
              <w:left w:w="100" w:type="dxa"/>
              <w:right w:w="100" w:type="dxa"/>
            </w:tcMar>
          </w:tcPr>
          <w:p>
            <w:pPr>
              <w:pStyle w:val="TableText"/>
            </w:pPr>
            <w:r>
              <w:rPr>
                <w:sz w:val="20"/>
              </w:rPr>
              <w:t>$5.65</w:t>
            </w:r>
          </w:p>
        </w:tc>
      </w:tr>
      <w:tr>
        <w:trPr>
          <w:cantSplit/>
        </w:trPr>
        <w:tc>
          <w:tcPr>
            <w:tcW w:type="dxa" w:w="4464"/>
            <w:vAlign w:val="top"/>
            <w:shd w:fill="F3F5F7"/>
            <w:tcMar>
              <w:top w:w="73" w:type="dxa"/>
              <w:bottom w:w="73" w:type="dxa"/>
              <w:left w:w="100" w:type="dxa"/>
              <w:right w:w="100" w:type="dxa"/>
            </w:tcMar>
          </w:tcPr>
          <w:p>
            <w:pPr>
              <w:pStyle w:val="TableText"/>
            </w:pPr>
            <w:r>
              <w:rPr>
                <w:sz w:val="20"/>
              </w:rPr>
              <w:t>2,000</w:t>
            </w:r>
          </w:p>
        </w:tc>
        <w:tc>
          <w:tcPr>
            <w:tcW w:type="dxa" w:w="2851"/>
            <w:vAlign w:val="top"/>
            <w:shd w:fill="F3F5F7"/>
            <w:tcMar>
              <w:top w:w="73" w:type="dxa"/>
              <w:bottom w:w="73" w:type="dxa"/>
              <w:left w:w="100" w:type="dxa"/>
              <w:right w:w="100" w:type="dxa"/>
            </w:tcMar>
          </w:tcPr>
          <w:p>
            <w:pPr>
              <w:pStyle w:val="TableText"/>
            </w:pPr>
            <w:r>
              <w:rPr>
                <w:sz w:val="20"/>
              </w:rPr>
              <w:t>$3.54</w:t>
            </w:r>
          </w:p>
        </w:tc>
        <w:tc>
          <w:tcPr>
            <w:tcW w:type="dxa" w:w="2851"/>
            <w:vAlign w:val="top"/>
            <w:shd w:fill="F3F5F7"/>
            <w:tcMar>
              <w:top w:w="73" w:type="dxa"/>
              <w:bottom w:w="73" w:type="dxa"/>
              <w:left w:w="100" w:type="dxa"/>
              <w:right w:w="100" w:type="dxa"/>
            </w:tcMar>
          </w:tcPr>
          <w:p>
            <w:pPr>
              <w:pStyle w:val="TableText"/>
            </w:pPr>
            <w:r>
              <w:rPr>
                <w:sz w:val="20"/>
              </w:rPr>
              <w:t>$2.83</w:t>
            </w:r>
          </w:p>
        </w:tc>
      </w:tr>
    </w:tbl>
    <w:p>
      <w:pPr>
        <w:spacing w:after="20"/>
      </w:pPr>
    </w:p>
    <w:p>
      <w:pPr>
        <w:pStyle w:val="Small"/>
      </w:pPr>
      <w:r>
        <w:t>This table holds power and fleet costs fixed only to isolate the denominator effect. Recompute load-dependent power and the time-series capacity plan for a real service. Dollar savings and percentage savings do not establish utilization or workload suitability.</w:t>
      </w:r>
    </w:p>
    <w:p>
      <w:pPr>
        <w:pStyle w:val="Heading2"/>
      </w:pPr>
      <w:r>
        <w:t>The unit margin and development model</w:t>
      </w:r>
    </w:p>
    <w:p>
      <w:r>
        <w:t>Supplier net price = end-customer price × (1 − channel discount). Hardware gross margin = (net price − fully burdened unit cost) / net price. Development recovery volume = development cost / positive unit contribution. Charge ongoing engineering, royalties, warranty, and support in the appropriate cost lines; do not treat gross profit as net earnings.</w:t>
      </w:r>
    </w:p>
    <w:p>
      <w:r>
        <w:t>At $800 contribution/unit, $5M development recovery requires 6,250 units; that equals about 261 installations of 24 devices before spares. This arithmetic is not an account count, market estimate, order book, or product NRE estimate.</w:t>
      </w:r>
    </w:p>
    <w:p>
      <w:pPr>
        <w:pStyle w:val="Heading2"/>
      </w:pPr>
      <w:r>
        <w:t>Before Finance signs off</w:t>
      </w:r>
    </w:p>
    <w:p>
      <w:r>
        <w:t>Replace scenario costs with dated quotes; freeze cash-versus-economic-cost treatment; add product support, migration, spares, resilience, update/storage growth, competitor refresh, currency/tariff exposure where relevant, and demand variation. Reconcile hardware removed versus merely repurposed. Document which organization captures the benefit.</w:t>
      </w:r>
    </w:p>
    <w:p>
      <w:pPr>
        <w:pStyle w:val="Small"/>
        <w:keepNext/>
        <w:pageBreakBefore/>
      </w:pPr>
      <w:r>
        <w:rPr>
          <w:b/>
          <w:color w:val="24586E"/>
        </w:rPr>
        <w:t>A PRACTICAL KIT FOR THE ACCOUNT AND ENGINEERING TEAMS</w:t>
      </w:r>
    </w:p>
    <w:p>
      <w:pPr>
        <w:pStyle w:val="Heading1"/>
      </w:pPr>
      <w:r>
        <w:t>Appendix C. Partner workshop and initial message</w:t>
      </w:r>
    </w:p>
    <w:p>
      <w:pPr>
        <w:pStyle w:val="Heading2"/>
      </w:pPr>
      <w:r>
        <w:t>A 60-minute workshop</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1354"/>
        <w:gridCol w:w="3586"/>
        <w:gridCol w:w="5227"/>
      </w:tblGrid>
      <w:tr>
        <w:trPr>
          <w:tblHeader/>
          <w:cantSplit/>
        </w:trPr>
        <w:tc>
          <w:tcPr>
            <w:tcW w:type="dxa" w:w="1354"/>
            <w:shd w:fill="A31630"/>
            <w:tcMar>
              <w:top w:w="73" w:type="dxa"/>
              <w:bottom w:w="73" w:type="dxa"/>
              <w:left w:w="100" w:type="dxa"/>
              <w:right w:w="100" w:type="dxa"/>
            </w:tcMar>
          </w:tcPr>
          <w:p>
            <w:pPr>
              <w:pStyle w:val="TableText"/>
            </w:pPr>
            <w:r>
              <w:rPr>
                <w:b/>
                <w:color w:val="FFFFFF"/>
                <w:sz w:val="20"/>
              </w:rPr>
              <w:t>Time</w:t>
            </w:r>
          </w:p>
        </w:tc>
        <w:tc>
          <w:tcPr>
            <w:tcW w:type="dxa" w:w="3586"/>
            <w:shd w:fill="A31630"/>
            <w:tcMar>
              <w:top w:w="73" w:type="dxa"/>
              <w:bottom w:w="73" w:type="dxa"/>
              <w:left w:w="100" w:type="dxa"/>
              <w:right w:w="100" w:type="dxa"/>
            </w:tcMar>
          </w:tcPr>
          <w:p>
            <w:pPr>
              <w:pStyle w:val="TableText"/>
            </w:pPr>
            <w:r>
              <w:rPr>
                <w:b/>
                <w:color w:val="FFFFFF"/>
                <w:sz w:val="20"/>
              </w:rPr>
              <w:t>Discussion</w:t>
            </w:r>
          </w:p>
        </w:tc>
        <w:tc>
          <w:tcPr>
            <w:tcW w:type="dxa" w:w="5227"/>
            <w:shd w:fill="A31630"/>
            <w:tcMar>
              <w:top w:w="73" w:type="dxa"/>
              <w:bottom w:w="73" w:type="dxa"/>
              <w:left w:w="100" w:type="dxa"/>
              <w:right w:w="100" w:type="dxa"/>
            </w:tcMar>
          </w:tcPr>
          <w:p>
            <w:pPr>
              <w:pStyle w:val="TableText"/>
            </w:pPr>
            <w:r>
              <w:rPr>
                <w:b/>
                <w:color w:val="FFFFFF"/>
                <w:sz w:val="20"/>
              </w:rPr>
              <w:t>Required output</w:t>
            </w:r>
          </w:p>
        </w:tc>
      </w:tr>
      <w:tr>
        <w:trPr>
          <w:cantSplit/>
        </w:trPr>
        <w:tc>
          <w:tcPr>
            <w:tcW w:type="dxa" w:w="1354"/>
            <w:vAlign w:val="top"/>
            <w:shd w:fill="F3F5F7"/>
            <w:tcMar>
              <w:top w:w="73" w:type="dxa"/>
              <w:bottom w:w="73" w:type="dxa"/>
              <w:left w:w="100" w:type="dxa"/>
              <w:right w:w="100" w:type="dxa"/>
            </w:tcMar>
          </w:tcPr>
          <w:p>
            <w:pPr>
              <w:pStyle w:val="TableText"/>
            </w:pPr>
            <w:r>
              <w:rPr>
                <w:sz w:val="20"/>
              </w:rPr>
              <w:t>0–10 min</w:t>
            </w:r>
          </w:p>
        </w:tc>
        <w:tc>
          <w:tcPr>
            <w:tcW w:type="dxa" w:w="3586"/>
            <w:vAlign w:val="top"/>
            <w:shd w:fill="F3F5F7"/>
            <w:tcMar>
              <w:top w:w="73" w:type="dxa"/>
              <w:bottom w:w="73" w:type="dxa"/>
              <w:left w:w="100" w:type="dxa"/>
              <w:right w:w="100" w:type="dxa"/>
            </w:tcMar>
          </w:tcPr>
          <w:p>
            <w:pPr>
              <w:pStyle w:val="TableText"/>
            </w:pPr>
            <w:r>
              <w:rPr>
                <w:sz w:val="20"/>
              </w:rPr>
              <w:t>Service objective and current pain</w:t>
            </w:r>
          </w:p>
        </w:tc>
        <w:tc>
          <w:tcPr>
            <w:tcW w:type="dxa" w:w="5227"/>
            <w:vAlign w:val="top"/>
            <w:shd w:fill="F3F5F7"/>
            <w:tcMar>
              <w:top w:w="73" w:type="dxa"/>
              <w:bottom w:w="73" w:type="dxa"/>
              <w:left w:w="100" w:type="dxa"/>
              <w:right w:w="100" w:type="dxa"/>
            </w:tcMar>
          </w:tcPr>
          <w:p>
            <w:pPr>
              <w:pStyle w:val="TableText"/>
            </w:pPr>
            <w:r>
              <w:rPr>
                <w:sz w:val="20"/>
              </w:rPr>
              <w:t>One owner, one service boundary, and one measurable decision.</w:t>
            </w:r>
          </w:p>
        </w:tc>
      </w:tr>
      <w:tr>
        <w:trPr>
          <w:cantSplit/>
        </w:trPr>
        <w:tc>
          <w:tcPr>
            <w:tcW w:type="dxa" w:w="1354"/>
            <w:vAlign w:val="top"/>
            <w:tcMar>
              <w:top w:w="73" w:type="dxa"/>
              <w:bottom w:w="73" w:type="dxa"/>
              <w:left w:w="100" w:type="dxa"/>
              <w:right w:w="100" w:type="dxa"/>
            </w:tcMar>
          </w:tcPr>
          <w:p>
            <w:pPr>
              <w:pStyle w:val="TableText"/>
            </w:pPr>
            <w:r>
              <w:rPr>
                <w:sz w:val="20"/>
              </w:rPr>
              <w:t>10–25 min</w:t>
            </w:r>
          </w:p>
        </w:tc>
        <w:tc>
          <w:tcPr>
            <w:tcW w:type="dxa" w:w="3586"/>
            <w:vAlign w:val="top"/>
            <w:tcMar>
              <w:top w:w="73" w:type="dxa"/>
              <w:bottom w:w="73" w:type="dxa"/>
              <w:left w:w="100" w:type="dxa"/>
              <w:right w:w="100" w:type="dxa"/>
            </w:tcMar>
          </w:tcPr>
          <w:p>
            <w:pPr>
              <w:pStyle w:val="TableText"/>
            </w:pPr>
            <w:r>
              <w:rPr>
                <w:sz w:val="20"/>
              </w:rPr>
              <w:t>Current path and workload trace</w:t>
            </w:r>
          </w:p>
        </w:tc>
        <w:tc>
          <w:tcPr>
            <w:tcW w:type="dxa" w:w="5227"/>
            <w:vAlign w:val="top"/>
            <w:tcMar>
              <w:top w:w="73" w:type="dxa"/>
              <w:bottom w:w="73" w:type="dxa"/>
              <w:left w:w="100" w:type="dxa"/>
              <w:right w:w="100" w:type="dxa"/>
            </w:tcMar>
          </w:tcPr>
          <w:p>
            <w:pPr>
              <w:pStyle w:val="TableText"/>
            </w:pPr>
            <w:r>
              <w:rPr>
                <w:sz w:val="20"/>
              </w:rPr>
              <w:t>Data size, representation, candidates, filters, reuse, update/deletion behavior, rate distribution, and existing topology.</w:t>
            </w:r>
          </w:p>
        </w:tc>
      </w:tr>
      <w:tr>
        <w:trPr>
          <w:cantSplit/>
        </w:trPr>
        <w:tc>
          <w:tcPr>
            <w:tcW w:type="dxa" w:w="1354"/>
            <w:vAlign w:val="top"/>
            <w:shd w:fill="F3F5F7"/>
            <w:tcMar>
              <w:top w:w="73" w:type="dxa"/>
              <w:bottom w:w="73" w:type="dxa"/>
              <w:left w:w="100" w:type="dxa"/>
              <w:right w:w="100" w:type="dxa"/>
            </w:tcMar>
          </w:tcPr>
          <w:p>
            <w:pPr>
              <w:pStyle w:val="TableText"/>
            </w:pPr>
            <w:r>
              <w:rPr>
                <w:sz w:val="20"/>
              </w:rPr>
              <w:t>25–40 min</w:t>
            </w:r>
          </w:p>
        </w:tc>
        <w:tc>
          <w:tcPr>
            <w:tcW w:type="dxa" w:w="3586"/>
            <w:vAlign w:val="top"/>
            <w:shd w:fill="F3F5F7"/>
            <w:tcMar>
              <w:top w:w="73" w:type="dxa"/>
              <w:bottom w:w="73" w:type="dxa"/>
              <w:left w:w="100" w:type="dxa"/>
              <w:right w:w="100" w:type="dxa"/>
            </w:tcMar>
          </w:tcPr>
          <w:p>
            <w:pPr>
              <w:pStyle w:val="TableText"/>
            </w:pPr>
            <w:r>
              <w:rPr>
                <w:sz w:val="20"/>
              </w:rPr>
              <w:t>Baseline and proposed integration</w:t>
            </w:r>
          </w:p>
        </w:tc>
        <w:tc>
          <w:tcPr>
            <w:tcW w:type="dxa" w:w="5227"/>
            <w:vAlign w:val="top"/>
            <w:shd w:fill="F3F5F7"/>
            <w:tcMar>
              <w:top w:w="73" w:type="dxa"/>
              <w:bottom w:w="73" w:type="dxa"/>
              <w:left w:w="100" w:type="dxa"/>
              <w:right w:w="100" w:type="dxa"/>
            </w:tcMar>
          </w:tcPr>
          <w:p>
            <w:pPr>
              <w:pStyle w:val="TableText"/>
            </w:pPr>
            <w:r>
              <w:rPr>
                <w:sz w:val="20"/>
              </w:rPr>
              <w:t>One engine build, current compression/cache configuration, device boundary, and supported fallback.</w:t>
            </w:r>
          </w:p>
        </w:tc>
      </w:tr>
      <w:tr>
        <w:trPr>
          <w:cantSplit/>
        </w:trPr>
        <w:tc>
          <w:tcPr>
            <w:tcW w:type="dxa" w:w="1354"/>
            <w:vAlign w:val="top"/>
            <w:tcMar>
              <w:top w:w="73" w:type="dxa"/>
              <w:bottom w:w="73" w:type="dxa"/>
              <w:left w:w="100" w:type="dxa"/>
              <w:right w:w="100" w:type="dxa"/>
            </w:tcMar>
          </w:tcPr>
          <w:p>
            <w:pPr>
              <w:pStyle w:val="TableText"/>
            </w:pPr>
            <w:r>
              <w:rPr>
                <w:sz w:val="20"/>
              </w:rPr>
              <w:t>40–50 min</w:t>
            </w:r>
          </w:p>
        </w:tc>
        <w:tc>
          <w:tcPr>
            <w:tcW w:type="dxa" w:w="3586"/>
            <w:vAlign w:val="top"/>
            <w:tcMar>
              <w:top w:w="73" w:type="dxa"/>
              <w:bottom w:w="73" w:type="dxa"/>
              <w:left w:w="100" w:type="dxa"/>
              <w:right w:w="100" w:type="dxa"/>
            </w:tcMar>
          </w:tcPr>
          <w:p>
            <w:pPr>
              <w:pStyle w:val="TableText"/>
            </w:pPr>
            <w:r>
              <w:rPr>
                <w:sz w:val="20"/>
              </w:rPr>
              <w:t>Economics and operational constraints</w:t>
            </w:r>
          </w:p>
        </w:tc>
        <w:tc>
          <w:tcPr>
            <w:tcW w:type="dxa" w:w="5227"/>
            <w:vAlign w:val="top"/>
            <w:tcMar>
              <w:top w:w="73" w:type="dxa"/>
              <w:bottom w:w="73" w:type="dxa"/>
              <w:left w:w="100" w:type="dxa"/>
              <w:right w:w="100" w:type="dxa"/>
            </w:tcMar>
          </w:tcPr>
          <w:p>
            <w:pPr>
              <w:pStyle w:val="TableText"/>
            </w:pPr>
            <w:r>
              <w:rPr>
                <w:sz w:val="20"/>
              </w:rPr>
              <w:t>Removable spend, buying window, quality/latency/freshness requirements, and security/data restrictions.</w:t>
            </w:r>
          </w:p>
        </w:tc>
      </w:tr>
      <w:tr>
        <w:trPr>
          <w:cantSplit/>
        </w:trPr>
        <w:tc>
          <w:tcPr>
            <w:tcW w:type="dxa" w:w="1354"/>
            <w:vAlign w:val="top"/>
            <w:shd w:fill="F3F5F7"/>
            <w:tcMar>
              <w:top w:w="73" w:type="dxa"/>
              <w:bottom w:w="73" w:type="dxa"/>
              <w:left w:w="100" w:type="dxa"/>
              <w:right w:w="100" w:type="dxa"/>
            </w:tcMar>
          </w:tcPr>
          <w:p>
            <w:pPr>
              <w:pStyle w:val="TableText"/>
            </w:pPr>
            <w:r>
              <w:rPr>
                <w:sz w:val="20"/>
              </w:rPr>
              <w:t>50–60 min</w:t>
            </w:r>
          </w:p>
        </w:tc>
        <w:tc>
          <w:tcPr>
            <w:tcW w:type="dxa" w:w="3586"/>
            <w:vAlign w:val="top"/>
            <w:shd w:fill="F3F5F7"/>
            <w:tcMar>
              <w:top w:w="73" w:type="dxa"/>
              <w:bottom w:w="73" w:type="dxa"/>
              <w:left w:w="100" w:type="dxa"/>
              <w:right w:w="100" w:type="dxa"/>
            </w:tcMar>
          </w:tcPr>
          <w:p>
            <w:pPr>
              <w:pStyle w:val="TableText"/>
            </w:pPr>
            <w:r>
              <w:rPr>
                <w:sz w:val="20"/>
              </w:rPr>
              <w:t>Commitments and next gate</w:t>
            </w:r>
          </w:p>
        </w:tc>
        <w:tc>
          <w:tcPr>
            <w:tcW w:type="dxa" w:w="5227"/>
            <w:vAlign w:val="top"/>
            <w:shd w:fill="F3F5F7"/>
            <w:tcMar>
              <w:top w:w="73" w:type="dxa"/>
              <w:bottom w:w="73" w:type="dxa"/>
              <w:left w:w="100" w:type="dxa"/>
              <w:right w:w="100" w:type="dxa"/>
            </w:tcMar>
          </w:tcPr>
          <w:p>
            <w:pPr>
              <w:pStyle w:val="TableText"/>
            </w:pPr>
            <w:r>
              <w:rPr>
                <w:sz w:val="20"/>
              </w:rPr>
              <w:t>Named owners, permitted dataset/trace, time-boxed spike, delivery date, and go/hold/stop rule.</w:t>
            </w:r>
          </w:p>
        </w:tc>
      </w:tr>
    </w:tbl>
    <w:p>
      <w:pPr>
        <w:spacing w:after="20"/>
      </w:pPr>
    </w:p>
    <w:p>
      <w:pPr>
        <w:pStyle w:val="Heading2"/>
      </w:pPr>
      <w:r>
        <w:t>Minimum data request—metadata first</w:t>
      </w:r>
    </w:p>
    <w:p>
      <w:r>
        <w:t>Request approved aggregate statistics before raw content: arrival timestamps or distributions; candidate counts and IDs; vector sizes/formats; shard routing; read sizes and cache behavior; filters and eligible-set sizes; update/delete/version events; latency/error distributions; and current infrastructure/cost boundary. Tokenize identifiers where useful, but do not assume that hashing alone anonymizes a trace.</w:t>
      </w:r>
    </w:p>
    <w:p>
      <w:pPr>
        <w:pStyle w:val="Heading2"/>
      </w:pPr>
      <w:r>
        <w:t>Suggested opening message</w:t>
      </w:r>
    </w:p>
    <w:p>
      <w:r/>
      <w:r>
        <w:rPr>
          <w:b/>
        </w:rPr>
        <w:t>Subject: Joint evaluation of a local vector/feature refinement stage</w:t>
      </w:r>
      <w:r/>
    </w:p>
    <w:p>
      <w:r>
        <w:t>We are evaluating an E3.S concept that combines HBF representation capacity with local scoring and reduction. The specific question is whether a selected retrieval or feature stage can meet your quality and latency requirements with less serving infrastructure—not whether a peak bandwidth number is higher.</w:t>
      </w:r>
    </w:p>
    <w:p>
      <w:r>
        <w:t>We propose a short workshop with your search/runtime and infrastructure owners, followed by a bounded trace-based comparison against your best current path. Sandisk would provide the architecture model, primitive/runtime work, and reproducible comparison; your team would define the service requirements, approved access trace, and integration boundary.</w:t>
      </w:r>
    </w:p>
    <w:p>
      <w:r>
        <w:t>The initial work is non-production and pre-silicon. Hardware timing, product specifications, and performance remain conditional. The first output would be a baseline, an economic threshold, and a joint decision about whether a physical pilot is worth pursuing.</w:t>
      </w:r>
    </w:p>
    <w:p>
      <w:pPr>
        <w:pStyle w:val="Small"/>
      </w:pPr>
      <w:r>
        <w:t>This is a draft to be adapted and approved by the account, product, and legal teams. It is not an email that has been sent, and it creates no commitment.</w:t>
      </w:r>
    </w:p>
    <w:p>
      <w:pPr>
        <w:pStyle w:val="Small"/>
        <w:keepNext/>
        <w:pageBreakBefore/>
      </w:pPr>
      <w:r>
        <w:rPr>
          <w:b/>
          <w:color w:val="24586E"/>
        </w:rPr>
        <w:t>HOW TO INTERPRET THIS PROPOSAL</w:t>
      </w:r>
    </w:p>
    <w:p>
      <w:pPr>
        <w:pStyle w:val="Heading1"/>
      </w:pPr>
      <w:r>
        <w:t>Appendix D. Evidence and source reconciliation</w:t>
      </w:r>
    </w:p>
    <w:tbl>
      <w:tblPr>
        <w:tblW w:type="auto" w:w="0"/>
        <w:jc w:val="center"/>
        <w:tblLayout w:type="fixed"/>
        <w:tblLook w:firstColumn="1" w:firstRow="1" w:lastColumn="0" w:lastRow="0" w:noHBand="0" w:noVBand="1" w:val="04A0"/>
        <w:tblBorders>
          <w:top w:val="single" w:sz="4" w:color="D9DEE3"/>
          <w:left w:val="single" w:sz="4" w:color="D9DEE3"/>
          <w:bottom w:val="single" w:sz="4" w:color="D9DEE3"/>
          <w:right w:val="single" w:sz="4" w:color="D9DEE3"/>
          <w:insideH w:val="single" w:sz="4" w:color="D9DEE3"/>
          <w:insideV w:val="single" w:sz="4" w:color="D9DEE3"/>
        </w:tblBorders>
      </w:tblPr>
      <w:tblGrid>
        <w:gridCol w:w="2491"/>
        <w:gridCol w:w="7675"/>
      </w:tblGrid>
      <w:tr>
        <w:trPr>
          <w:tblHeader/>
          <w:cantSplit/>
        </w:trPr>
        <w:tc>
          <w:tcPr>
            <w:tcW w:type="dxa" w:w="2491"/>
            <w:shd w:fill="A31630"/>
            <w:tcMar>
              <w:top w:w="73" w:type="dxa"/>
              <w:bottom w:w="73" w:type="dxa"/>
              <w:left w:w="100" w:type="dxa"/>
              <w:right w:w="100" w:type="dxa"/>
            </w:tcMar>
          </w:tcPr>
          <w:p>
            <w:pPr>
              <w:pStyle w:val="TableText"/>
            </w:pPr>
            <w:r>
              <w:rPr>
                <w:b/>
                <w:color w:val="FFFFFF"/>
                <w:sz w:val="20"/>
              </w:rPr>
              <w:t>Label</w:t>
            </w:r>
          </w:p>
        </w:tc>
        <w:tc>
          <w:tcPr>
            <w:tcW w:type="dxa" w:w="7675"/>
            <w:shd w:fill="A31630"/>
            <w:tcMar>
              <w:top w:w="73" w:type="dxa"/>
              <w:bottom w:w="73" w:type="dxa"/>
              <w:left w:w="100" w:type="dxa"/>
              <w:right w:w="100" w:type="dxa"/>
            </w:tcMar>
          </w:tcPr>
          <w:p>
            <w:pPr>
              <w:pStyle w:val="TableText"/>
            </w:pPr>
            <w:r>
              <w:rPr>
                <w:b/>
                <w:color w:val="FFFFFF"/>
                <w:sz w:val="20"/>
              </w:rPr>
              <w:t>Meaning and permitted conclusion</w:t>
            </w:r>
          </w:p>
        </w:tc>
      </w:tr>
      <w:tr>
        <w:trPr>
          <w:cantSplit/>
        </w:trPr>
        <w:tc>
          <w:tcPr>
            <w:tcW w:type="dxa" w:w="2491"/>
            <w:vAlign w:val="top"/>
            <w:shd w:fill="F3F5F7"/>
            <w:tcMar>
              <w:top w:w="73" w:type="dxa"/>
              <w:bottom w:w="73" w:type="dxa"/>
              <w:left w:w="100" w:type="dxa"/>
              <w:right w:w="100" w:type="dxa"/>
            </w:tcMar>
          </w:tcPr>
          <w:p>
            <w:pPr>
              <w:pStyle w:val="TableText"/>
            </w:pPr>
            <w:r>
              <w:rPr>
                <w:sz w:val="20"/>
              </w:rPr>
              <w:t>Source target</w:t>
            </w:r>
          </w:p>
        </w:tc>
        <w:tc>
          <w:tcPr>
            <w:tcW w:type="dxa" w:w="7675"/>
            <w:vAlign w:val="top"/>
            <w:shd w:fill="F3F5F7"/>
            <w:tcMar>
              <w:top w:w="73" w:type="dxa"/>
              <w:bottom w:w="73" w:type="dxa"/>
              <w:left w:w="100" w:type="dxa"/>
              <w:right w:w="100" w:type="dxa"/>
            </w:tcMar>
          </w:tcPr>
          <w:p>
            <w:pPr>
              <w:pStyle w:val="TableText"/>
            </w:pPr>
            <w:r>
              <w:rPr>
                <w:sz w:val="20"/>
              </w:rPr>
              <w:t>An internal architecture direction from [I1–I2], such as capacity or read bandwidth. It is not a device guarantee.</w:t>
            </w:r>
          </w:p>
        </w:tc>
      </w:tr>
      <w:tr>
        <w:trPr>
          <w:cantSplit/>
        </w:trPr>
        <w:tc>
          <w:tcPr>
            <w:tcW w:type="dxa" w:w="2491"/>
            <w:vAlign w:val="top"/>
            <w:tcMar>
              <w:top w:w="73" w:type="dxa"/>
              <w:bottom w:w="73" w:type="dxa"/>
              <w:left w:w="100" w:type="dxa"/>
              <w:right w:w="100" w:type="dxa"/>
            </w:tcMar>
          </w:tcPr>
          <w:p>
            <w:pPr>
              <w:pStyle w:val="TableText"/>
            </w:pPr>
            <w:r>
              <w:rPr>
                <w:sz w:val="20"/>
              </w:rPr>
              <w:t>Public evidence</w:t>
            </w:r>
          </w:p>
        </w:tc>
        <w:tc>
          <w:tcPr>
            <w:tcW w:type="dxa" w:w="7675"/>
            <w:vAlign w:val="top"/>
            <w:tcMar>
              <w:top w:w="73" w:type="dxa"/>
              <w:bottom w:w="73" w:type="dxa"/>
              <w:left w:w="100" w:type="dxa"/>
              <w:right w:w="100" w:type="dxa"/>
            </w:tcMar>
          </w:tcPr>
          <w:p>
            <w:pPr>
              <w:pStyle w:val="TableText"/>
            </w:pPr>
            <w:r>
              <w:rPr>
                <w:sz w:val="20"/>
              </w:rPr>
              <w:t>A dated vendor, operator, or research account. Its scope stays with the documented system; it is not ATMOS evidence.</w:t>
            </w:r>
          </w:p>
        </w:tc>
      </w:tr>
      <w:tr>
        <w:trPr>
          <w:cantSplit/>
        </w:trPr>
        <w:tc>
          <w:tcPr>
            <w:tcW w:type="dxa" w:w="2491"/>
            <w:vAlign w:val="top"/>
            <w:shd w:fill="F3F5F7"/>
            <w:tcMar>
              <w:top w:w="73" w:type="dxa"/>
              <w:bottom w:w="73" w:type="dxa"/>
              <w:left w:w="100" w:type="dxa"/>
              <w:right w:w="100" w:type="dxa"/>
            </w:tcMar>
          </w:tcPr>
          <w:p>
            <w:pPr>
              <w:pStyle w:val="TableText"/>
            </w:pPr>
            <w:r>
              <w:rPr>
                <w:sz w:val="20"/>
              </w:rPr>
              <w:t>Analytical scenario</w:t>
            </w:r>
          </w:p>
        </w:tc>
        <w:tc>
          <w:tcPr>
            <w:tcW w:type="dxa" w:w="7675"/>
            <w:vAlign w:val="top"/>
            <w:shd w:fill="F3F5F7"/>
            <w:tcMar>
              <w:top w:w="73" w:type="dxa"/>
              <w:bottom w:w="73" w:type="dxa"/>
              <w:left w:w="100" w:type="dxa"/>
              <w:right w:w="100" w:type="dxa"/>
            </w:tcMar>
          </w:tcPr>
          <w:p>
            <w:pPr>
              <w:pStyle w:val="TableText"/>
            </w:pPr>
            <w:r>
              <w:rPr>
                <w:sz w:val="20"/>
              </w:rPr>
              <w:t>A calculation from explicitly chosen inputs. A1/A2 are reproducible arithmetic, not forecasts or confidence intervals.</w:t>
            </w:r>
          </w:p>
        </w:tc>
      </w:tr>
      <w:tr>
        <w:trPr>
          <w:cantSplit/>
        </w:trPr>
        <w:tc>
          <w:tcPr>
            <w:tcW w:type="dxa" w:w="2491"/>
            <w:vAlign w:val="top"/>
            <w:tcMar>
              <w:top w:w="73" w:type="dxa"/>
              <w:bottom w:w="73" w:type="dxa"/>
              <w:left w:w="100" w:type="dxa"/>
              <w:right w:w="100" w:type="dxa"/>
            </w:tcMar>
          </w:tcPr>
          <w:p>
            <w:pPr>
              <w:pStyle w:val="TableText"/>
            </w:pPr>
            <w:r>
              <w:rPr>
                <w:sz w:val="20"/>
              </w:rPr>
              <w:t>Simulated / emulated</w:t>
            </w:r>
          </w:p>
        </w:tc>
        <w:tc>
          <w:tcPr>
            <w:tcW w:type="dxa" w:w="7675"/>
            <w:vAlign w:val="top"/>
            <w:tcMar>
              <w:top w:w="73" w:type="dxa"/>
              <w:bottom w:w="73" w:type="dxa"/>
              <w:left w:w="100" w:type="dxa"/>
              <w:right w:w="100" w:type="dxa"/>
            </w:tcMar>
          </w:tcPr>
          <w:p>
            <w:pPr>
              <w:pStyle w:val="TableText"/>
            </w:pPr>
            <w:r>
              <w:rPr>
                <w:sz w:val="20"/>
              </w:rPr>
              <w:t>Results from a defined virtual-time or functional environment, with path/model limitations. None were run for this proposal.</w:t>
            </w:r>
          </w:p>
        </w:tc>
      </w:tr>
      <w:tr>
        <w:trPr>
          <w:cantSplit/>
        </w:trPr>
        <w:tc>
          <w:tcPr>
            <w:tcW w:type="dxa" w:w="2491"/>
            <w:vAlign w:val="top"/>
            <w:shd w:fill="F3F5F7"/>
            <w:tcMar>
              <w:top w:w="73" w:type="dxa"/>
              <w:bottom w:w="73" w:type="dxa"/>
              <w:left w:w="100" w:type="dxa"/>
              <w:right w:w="100" w:type="dxa"/>
            </w:tcMar>
          </w:tcPr>
          <w:p>
            <w:pPr>
              <w:pStyle w:val="TableText"/>
            </w:pPr>
            <w:r>
              <w:rPr>
                <w:sz w:val="20"/>
              </w:rPr>
              <w:t>Measured</w:t>
            </w:r>
          </w:p>
        </w:tc>
        <w:tc>
          <w:tcPr>
            <w:tcW w:type="dxa" w:w="7675"/>
            <w:vAlign w:val="top"/>
            <w:shd w:fill="F3F5F7"/>
            <w:tcMar>
              <w:top w:w="73" w:type="dxa"/>
              <w:bottom w:w="73" w:type="dxa"/>
              <w:left w:w="100" w:type="dxa"/>
              <w:right w:w="100" w:type="dxa"/>
            </w:tcMar>
          </w:tcPr>
          <w:p>
            <w:pPr>
              <w:pStyle w:val="TableText"/>
            </w:pPr>
            <w:r>
              <w:rPr>
                <w:sz w:val="20"/>
              </w:rPr>
              <w:t>A result on named hardware/software with a trace, repetitions, and configuration record. No ATMOS measurement is supplied here.</w:t>
            </w:r>
          </w:p>
        </w:tc>
      </w:tr>
      <w:tr>
        <w:trPr>
          <w:cantSplit/>
        </w:trPr>
        <w:tc>
          <w:tcPr>
            <w:tcW w:type="dxa" w:w="2491"/>
            <w:vAlign w:val="top"/>
            <w:tcMar>
              <w:top w:w="73" w:type="dxa"/>
              <w:bottom w:w="73" w:type="dxa"/>
              <w:left w:w="100" w:type="dxa"/>
              <w:right w:w="100" w:type="dxa"/>
            </w:tcMar>
          </w:tcPr>
          <w:p>
            <w:pPr>
              <w:pStyle w:val="TableText"/>
            </w:pPr>
            <w:r>
              <w:rPr>
                <w:sz w:val="20"/>
              </w:rPr>
              <w:t>Recommendation</w:t>
            </w:r>
          </w:p>
        </w:tc>
        <w:tc>
          <w:tcPr>
            <w:tcW w:type="dxa" w:w="7675"/>
            <w:vAlign w:val="top"/>
            <w:tcMar>
              <w:top w:w="73" w:type="dxa"/>
              <w:bottom w:w="73" w:type="dxa"/>
              <w:left w:w="100" w:type="dxa"/>
              <w:right w:w="100" w:type="dxa"/>
            </w:tcMar>
          </w:tcPr>
          <w:p>
            <w:pPr>
              <w:pStyle w:val="TableText"/>
            </w:pPr>
            <w:r>
              <w:rPr>
                <w:sz w:val="20"/>
              </w:rPr>
              <w:t>The proposed scope, priorities, thresholds, staffing, and partner sequence in this document. These require owner agreement.</w:t>
            </w:r>
          </w:p>
        </w:tc>
      </w:tr>
    </w:tbl>
    <w:p>
      <w:pPr>
        <w:spacing w:after="20"/>
      </w:pPr>
    </w:p>
    <w:p>
      <w:pPr>
        <w:pStyle w:val="Heading2"/>
      </w:pPr>
      <w:r>
        <w:t>Deliberate changes, not silent corrections</w:t>
      </w:r>
    </w:p>
    <w:p>
      <w:r>
        <w:t>This proposal adopts [I1]’s retrieval-first concept while moving its financial-services-first market ranking to an operator-first approach. It retains [I2]’s platform work but does not carry forward its broad launch ModelPack list. It replaces calendar productization implications with hardware-dependent gates.</w:t>
      </w:r>
    </w:p>
    <w:p>
      <w:r>
        <w:t>The source’s working-set threshold (for example, more than 32 GB) is a screening heuristic, not a universal product boundary. This proposal requires a measured working set that exceeds the economically justified hot tier. Source references to sustained or aggregate bandwidth remain targets until the corresponding access pattern and topology are proven.</w:t>
      </w:r>
    </w:p>
    <w:p>
      <w:r>
        <w:t>The architecture choice between an existing IMA-derived device and a commercial NPU integration is unresolved. Both source documents must be reconciled by architecture and procurement before a prototype commitment. The full-length eight-module card is not assumed to be an E3.S device.</w:t>
      </w:r>
    </w:p>
    <w:p>
      <w:pPr>
        <w:pStyle w:val="Heading2"/>
      </w:pPr>
      <w:r>
        <w:t>Source-charter guardrails retained</w:t>
      </w:r>
    </w:p>
    <w:p>
      <w:r>
        <w:t>[I3] database caching preserves durable NVMe and separate write/endurance testing. [I4] separates graph analytics from online traversal. [I5] keeps compressed-column caching separate from decompressed capacity. [I6] separates batched embedding reads from tiny, rapidly changing feature KV. Their results cannot be added together as evidence for one universal ATMOS product.</w:t>
      </w:r>
    </w:p>
    <w:p>
      <w:pPr>
        <w:pStyle w:val="Small"/>
      </w:pPr>
      <w:r>
        <w:t>Public source review: 17 September 2026. Dynamic vendor documentation and product configurations must be rechecked at partner kickoff. All partner names are prospect or reference-system hypotheses; none denotes ATMOS engagement. References below are clickable and identify the actual publication or documentation used.</w:t>
      </w:r>
    </w:p>
    <w:p>
      <w:pPr>
        <w:pStyle w:val="Small"/>
        <w:keepNext/>
        <w:pageBreakBefore/>
      </w:pPr>
      <w:r>
        <w:rPr>
          <w:b/>
          <w:color w:val="24586E"/>
        </w:rPr>
        <w:t>PUBLIC PRIMARY SOURCES</w:t>
      </w:r>
    </w:p>
    <w:p>
      <w:pPr>
        <w:pStyle w:val="Heading1"/>
      </w:pPr>
      <w:r>
        <w:t>References • 1 of 3</w:t>
      </w:r>
    </w:p>
    <w:p>
      <w:r/>
      <w:r>
        <w:rPr>
          <w:b/>
        </w:rPr>
        <w:t>[R1] OpenSearch.</w:t>
      </w:r>
      <w:r>
        <w:t xml:space="preserve"> Reduce costs with disk-based vector search.</w:t>
      </w:r>
    </w:p>
    <w:p>
      <w:pPr>
        <w:pStyle w:val="Source"/>
      </w:pPr>
      <w:r/>
      <w:hyperlink r:id="rId11">
        <w:r>
          <w:rPr>
            <w:color w:val="24586E"/>
            <w:u w:val="single"/>
          </w:rPr>
          <w:t>Open source</w:t>
        </w:r>
      </w:hyperlink>
    </w:p>
    <w:p>
      <w:pPr>
        <w:pStyle w:val="Source"/>
      </w:pPr>
      <w:r>
        <w:t>February 2025; two-phase retrieval and dataset-dependent rescoring evidence.</w:t>
      </w:r>
    </w:p>
    <w:p>
      <w:r/>
      <w:r>
        <w:rPr>
          <w:b/>
        </w:rPr>
        <w:t>[R2] AWS.</w:t>
      </w:r>
      <w:r>
        <w:t xml:space="preserve"> OpenSearch Vector Engine is now disk-optimized.</w:t>
      </w:r>
    </w:p>
    <w:p>
      <w:pPr>
        <w:pStyle w:val="Source"/>
      </w:pPr>
      <w:r/>
      <w:hyperlink r:id="rId12">
        <w:r>
          <w:rPr>
            <w:color w:val="24586E"/>
            <w:u w:val="single"/>
          </w:rPr>
          <w:t>Open source</w:t>
        </w:r>
      </w:hyperlink>
    </w:p>
    <w:p>
      <w:pPr>
        <w:pStyle w:val="Source"/>
      </w:pPr>
      <w:r>
        <w:t>January 2025; managed-service trade-off. Published savings are not reused as ATMOS claims.</w:t>
      </w:r>
    </w:p>
    <w:p>
      <w:r/>
      <w:r>
        <w:rPr>
          <w:b/>
        </w:rPr>
        <w:t>[R3] AWS.</w:t>
      </w:r>
      <w:r>
        <w:t xml:space="preserve"> Amazon S3 Vectors.</w:t>
      </w:r>
    </w:p>
    <w:p>
      <w:pPr>
        <w:pStyle w:val="Source"/>
      </w:pPr>
      <w:r/>
      <w:hyperlink r:id="rId13">
        <w:r>
          <w:rPr>
            <w:color w:val="24586E"/>
            <w:u w:val="single"/>
          </w:rPr>
          <w:t>Open source</w:t>
        </w:r>
      </w:hyperlink>
    </w:p>
    <w:p>
      <w:pPr>
        <w:pStyle w:val="Source"/>
      </w:pPr>
      <w:r>
        <w:t>Service positioning and vendor-published accounts from Qlik, March Networks, and xCures; not proof of ATMOS fit.</w:t>
      </w:r>
    </w:p>
    <w:p>
      <w:r/>
      <w:r>
        <w:rPr>
          <w:b/>
        </w:rPr>
        <w:t>[R4] LinkedIn Engineering.</w:t>
      </w:r>
      <w:r>
        <w:t xml:space="preserve"> Building the next generation of job search at LinkedIn.</w:t>
      </w:r>
    </w:p>
    <w:p>
      <w:pPr>
        <w:pStyle w:val="Source"/>
      </w:pPr>
      <w:r/>
      <w:hyperlink r:id="rId14">
        <w:r>
          <w:rPr>
            <w:color w:val="24586E"/>
            <w:u w:val="single"/>
          </w:rPr>
          <w:t>Open source</w:t>
        </w:r>
      </w:hyperlink>
    </w:p>
    <w:p>
      <w:pPr>
        <w:pStyle w:val="Source"/>
      </w:pPr>
      <w:r>
        <w:t>May 29, 2025; optimized GPU retrieval, filtering, and index-change requirements.</w:t>
      </w:r>
    </w:p>
    <w:p>
      <w:r/>
      <w:r>
        <w:rPr>
          <w:b/>
        </w:rPr>
        <w:t>[R5] LinkedIn Engineering.</w:t>
      </w:r>
      <w:r>
        <w:t xml:space="preserve"> JUDE: LLM-based representation learning for job recommendations.</w:t>
      </w:r>
    </w:p>
    <w:p>
      <w:pPr>
        <w:pStyle w:val="Source"/>
      </w:pPr>
      <w:r/>
      <w:hyperlink r:id="rId15">
        <w:r>
          <w:rPr>
            <w:color w:val="24586E"/>
            <w:u w:val="single"/>
          </w:rPr>
          <w:t>Open source</w:t>
        </w:r>
      </w:hyperlink>
    </w:p>
    <w:p>
      <w:pPr>
        <w:pStyle w:val="Source"/>
      </w:pPr>
      <w:r>
        <w:t>Online Venice embedding storage and separate generation/consumption roles.</w:t>
      </w:r>
    </w:p>
    <w:p>
      <w:r/>
      <w:r>
        <w:rPr>
          <w:b/>
        </w:rPr>
        <w:t>[R6] Engineering at Meta.</w:t>
      </w:r>
      <w:r>
        <w:t xml:space="preserve"> Meta Andromeda: personalized ads retrieval.</w:t>
      </w:r>
    </w:p>
    <w:p>
      <w:pPr>
        <w:pStyle w:val="Source"/>
      </w:pPr>
      <w:r/>
      <w:hyperlink r:id="rId16">
        <w:r>
          <w:rPr>
            <w:color w:val="24586E"/>
            <w:u w:val="single"/>
          </w:rPr>
          <w:t>Open source</w:t>
        </w:r>
      </w:hyperlink>
    </w:p>
    <w:p>
      <w:pPr>
        <w:pStyle w:val="Source"/>
      </w:pPr>
      <w:r>
        <w:t>December 2024; local feature data and hardware/model co-design.</w:t>
      </w:r>
    </w:p>
    <w:p>
      <w:r/>
      <w:r>
        <w:rPr>
          <w:b/>
        </w:rPr>
        <w:t>[R7] Vespa.</w:t>
      </w:r>
      <w:r>
        <w:t xml:space="preserve"> Announcing the Vespa ColBERT embedder.</w:t>
      </w:r>
    </w:p>
    <w:p>
      <w:pPr>
        <w:pStyle w:val="Source"/>
      </w:pPr>
      <w:r/>
      <w:hyperlink r:id="rId17">
        <w:r>
          <w:rPr>
            <w:color w:val="24586E"/>
            <w:u w:val="single"/>
          </w:rPr>
          <w:t>Open source</w:t>
        </w:r>
      </w:hyperlink>
    </w:p>
    <w:p>
      <w:pPr>
        <w:pStyle w:val="Source"/>
      </w:pPr>
      <w:r>
        <w:t>February 2024; compressed multi-vector representations and local scoring options.</w:t>
      </w:r>
    </w:p>
    <w:p>
      <w:pPr>
        <w:pStyle w:val="Small"/>
        <w:keepNext/>
        <w:pageBreakBefore/>
      </w:pPr>
      <w:r>
        <w:rPr>
          <w:b/>
          <w:color w:val="24586E"/>
        </w:rPr>
        <w:t>PUBLIC PRIMARY SOURCES</w:t>
      </w:r>
    </w:p>
    <w:p>
      <w:pPr>
        <w:pStyle w:val="Heading1"/>
      </w:pPr>
      <w:r>
        <w:t>References • 2 of 3</w:t>
      </w:r>
    </w:p>
    <w:p>
      <w:r/>
      <w:r>
        <w:rPr>
          <w:b/>
        </w:rPr>
        <w:t>[R8] Milvus documentation.</w:t>
      </w:r>
      <w:r>
        <w:t xml:space="preserve"> Knowhere.</w:t>
      </w:r>
    </w:p>
    <w:p>
      <w:pPr>
        <w:pStyle w:val="Source"/>
      </w:pPr>
      <w:r/>
      <w:hyperlink r:id="rId18">
        <w:r>
          <w:rPr>
            <w:color w:val="24586E"/>
            <w:u w:val="single"/>
          </w:rPr>
          <w:t>Open source</w:t>
        </w:r>
      </w:hyperlink>
    </w:p>
    <w:p>
      <w:pPr>
        <w:pStyle w:val="Source"/>
      </w:pPr>
      <w:r>
        <w:t>Vector-execution layer and heterogeneous computing; prospective integration, not ATMOS support.</w:t>
      </w:r>
    </w:p>
    <w:p>
      <w:r/>
      <w:r>
        <w:rPr>
          <w:b/>
        </w:rPr>
        <w:t>[R9] Milvus documentation.</w:t>
      </w:r>
      <w:r>
        <w:t xml:space="preserve"> GPU Index Overview.</w:t>
      </w:r>
    </w:p>
    <w:p>
      <w:pPr>
        <w:pStyle w:val="Source"/>
      </w:pPr>
      <w:r/>
      <w:hyperlink r:id="rId19">
        <w:r>
          <w:rPr>
            <w:color w:val="24586E"/>
            <w:u w:val="single"/>
          </w:rPr>
          <w:t>Open source</w:t>
        </w:r>
      </w:hyperlink>
    </w:p>
    <w:p>
      <w:pPr>
        <w:pStyle w:val="Source"/>
      </w:pPr>
      <w:r>
        <w:t>GPU alternatives and memory/feature constraints. Pin a specific release and supported index for tests.</w:t>
      </w:r>
    </w:p>
    <w:p>
      <w:r/>
      <w:r>
        <w:rPr>
          <w:b/>
        </w:rPr>
        <w:t>[R10] Qdrant documentation.</w:t>
      </w:r>
      <w:r>
        <w:t xml:space="preserve"> Quantization.</w:t>
      </w:r>
    </w:p>
    <w:p>
      <w:pPr>
        <w:pStyle w:val="Source"/>
      </w:pPr>
      <w:r/>
      <w:hyperlink r:id="rId20">
        <w:r>
          <w:rPr>
            <w:color w:val="24586E"/>
            <w:u w:val="single"/>
          </w:rPr>
          <w:t>Open source</w:t>
        </w:r>
      </w:hyperlink>
    </w:p>
    <w:p>
      <w:pPr>
        <w:pStyle w:val="Source"/>
      </w:pPr>
      <w:r>
        <w:t>Quantized representations and rescoring control; validate the chosen release and engine configuration.</w:t>
      </w:r>
    </w:p>
    <w:p>
      <w:r/>
      <w:r>
        <w:rPr>
          <w:b/>
        </w:rPr>
        <w:t>[R11] Microsoft Research.</w:t>
      </w:r>
      <w:r>
        <w:t xml:space="preserve"> DiskANN: Fast Accurate Billion-point Nearest Neighbor Search.</w:t>
      </w:r>
    </w:p>
    <w:p>
      <w:pPr>
        <w:pStyle w:val="Source"/>
      </w:pPr>
      <w:r/>
      <w:hyperlink r:id="rId21">
        <w:r>
          <w:rPr>
            <w:color w:val="24586E"/>
            <w:u w:val="single"/>
          </w:rPr>
          <w:t>Open source</w:t>
        </w:r>
      </w:hyperlink>
    </w:p>
    <w:p>
      <w:pPr>
        <w:pStyle w:val="Source"/>
      </w:pPr>
      <w:r>
        <w:t>2019 research; SSD-aware algorithm baseline, not current commercial performance.</w:t>
      </w:r>
    </w:p>
    <w:p>
      <w:r/>
      <w:r>
        <w:rPr>
          <w:b/>
        </w:rPr>
        <w:t>[R12] SNIA.</w:t>
      </w:r>
      <w:r>
        <w:t xml:space="preserve"> SSD Form Factors / EDSFF.</w:t>
      </w:r>
    </w:p>
    <w:p>
      <w:pPr>
        <w:pStyle w:val="Source"/>
      </w:pPr>
      <w:r/>
      <w:hyperlink r:id="rId22">
        <w:r>
          <w:rPr>
            <w:color w:val="24586E"/>
            <w:u w:val="single"/>
          </w:rPr>
          <w:t>Open source</w:t>
        </w:r>
      </w:hyperlink>
    </w:p>
    <w:p>
      <w:pPr>
        <w:pStyle w:val="Source"/>
      </w:pPr>
      <w:r>
        <w:t>Form-factor family and standards context; not module qualification.</w:t>
      </w:r>
    </w:p>
    <w:p>
      <w:r/>
      <w:r>
        <w:rPr>
          <w:b/>
        </w:rPr>
        <w:t>[R13] Kioxia.</w:t>
      </w:r>
      <w:r>
        <w:t xml:space="preserve"> EDSFF E3 Form Factor.</w:t>
      </w:r>
    </w:p>
    <w:p>
      <w:pPr>
        <w:pStyle w:val="Source"/>
      </w:pPr>
      <w:r/>
      <w:hyperlink r:id="rId23">
        <w:r>
          <w:rPr>
            <w:color w:val="24586E"/>
            <w:u w:val="single"/>
          </w:rPr>
          <w:t>Open source</w:t>
        </w:r>
      </w:hyperlink>
    </w:p>
    <w:p>
      <w:pPr>
        <w:pStyle w:val="Source"/>
      </w:pPr>
      <w:r>
        <w:t>E3.S/2T dimensions, power table and specification references.</w:t>
      </w:r>
    </w:p>
    <w:p>
      <w:r/>
      <w:r>
        <w:rPr>
          <w:b/>
        </w:rPr>
        <w:t>[R14] Dell.</w:t>
      </w:r>
      <w:r>
        <w:t xml:space="preserve"> PowerEdge R770 configuration reference.</w:t>
      </w:r>
    </w:p>
    <w:p>
      <w:pPr>
        <w:pStyle w:val="Source"/>
      </w:pPr>
      <w:r/>
      <w:hyperlink r:id="rId24">
        <w:r>
          <w:rPr>
            <w:color w:val="24586E"/>
            <w:u w:val="single"/>
          </w:rPr>
          <w:t>Open source</w:t>
        </w:r>
      </w:hyperlink>
    </w:p>
    <w:p>
      <w:pPr>
        <w:pStyle w:val="Source"/>
      </w:pPr>
      <w:r>
        <w:t>E3.S-capable OEM platform candidate only; exact configuration, prices, and ATMOS support are unverified.</w:t>
      </w:r>
    </w:p>
    <w:p>
      <w:pPr>
        <w:pStyle w:val="Small"/>
        <w:keepNext/>
        <w:pageBreakBefore/>
      </w:pPr>
      <w:r>
        <w:rPr>
          <w:b/>
          <w:color w:val="24586E"/>
        </w:rPr>
        <w:t>PUBLIC PRIMARY SOURCES</w:t>
      </w:r>
    </w:p>
    <w:p>
      <w:pPr>
        <w:pStyle w:val="Heading1"/>
      </w:pPr>
      <w:r>
        <w:t>References • 3 of 3</w:t>
      </w:r>
    </w:p>
    <w:p>
      <w:r/>
      <w:r>
        <w:rPr>
          <w:b/>
        </w:rPr>
        <w:t>[R15] Unigen.</w:t>
      </w:r>
      <w:r>
        <w:t xml:space="preserve"> AI Solutions.</w:t>
      </w:r>
    </w:p>
    <w:p>
      <w:pPr>
        <w:pStyle w:val="Source"/>
      </w:pPr>
      <w:r/>
      <w:hyperlink r:id="rId25">
        <w:r>
          <w:rPr>
            <w:color w:val="24586E"/>
            <w:u w:val="single"/>
          </w:rPr>
          <w:t>Open source</w:t>
        </w:r>
      </w:hyperlink>
    </w:p>
    <w:p>
      <w:pPr>
        <w:pStyle w:val="Source"/>
      </w:pPr>
      <w:r>
        <w:t>Adjacent modular AI products. No TOPS-per-watt comparison is inferred.</w:t>
      </w:r>
    </w:p>
    <w:p>
      <w:r/>
      <w:r>
        <w:rPr>
          <w:b/>
        </w:rPr>
        <w:t>[R16] Sandisk.</w:t>
      </w:r>
      <w:r>
        <w:t xml:space="preserve"> HBF OCP specification announcement.</w:t>
      </w:r>
    </w:p>
    <w:p>
      <w:pPr>
        <w:pStyle w:val="Source"/>
      </w:pPr>
      <w:r/>
      <w:hyperlink r:id="rId26">
        <w:r>
          <w:rPr>
            <w:color w:val="24586E"/>
            <w:u w:val="single"/>
          </w:rPr>
          <w:t>Open source</w:t>
        </w:r>
      </w:hyperlink>
    </w:p>
    <w:p>
      <w:pPr>
        <w:pStyle w:val="Source"/>
      </w:pPr>
      <w:r>
        <w:t>August 3, 2026; standardization activity and interface guidance—not an E3.S availability statement.</w:t>
      </w:r>
    </w:p>
    <w:p>
      <w:r/>
      <w:r>
        <w:rPr>
          <w:b/>
        </w:rPr>
        <w:t>[R17] Research paper.</w:t>
      </w:r>
      <w:r>
        <w:t xml:space="preserve"> HAVEN: HBF Augmented Vector Engine.</w:t>
      </w:r>
    </w:p>
    <w:p>
      <w:pPr>
        <w:pStyle w:val="Source"/>
      </w:pPr>
      <w:r/>
      <w:hyperlink r:id="rId27">
        <w:r>
          <w:rPr>
            <w:color w:val="24586E"/>
            <w:u w:val="single"/>
          </w:rPr>
          <w:t>Open source</w:t>
        </w:r>
      </w:hyperlink>
    </w:p>
    <w:p>
      <w:pPr>
        <w:pStyle w:val="Source"/>
      </w:pPr>
      <w:r>
        <w:t>Modeled architecture research, not ATMOS silicon or a Google production implementation.</w:t>
      </w:r>
    </w:p>
    <w:p>
      <w:r/>
      <w:r>
        <w:rPr>
          <w:b/>
        </w:rPr>
        <w:t>[R18] AWS documentation.</w:t>
      </w:r>
      <w:r>
        <w:t xml:space="preserve"> Plugins by engine version in Amazon OpenSearch Service.</w:t>
      </w:r>
    </w:p>
    <w:p>
      <w:pPr>
        <w:pStyle w:val="Source"/>
      </w:pPr>
      <w:r/>
      <w:hyperlink r:id="rId28">
        <w:r>
          <w:rPr>
            <w:color w:val="24586E"/>
            <w:u w:val="single"/>
          </w:rPr>
          <w:t>Open source</w:t>
        </w:r>
      </w:hyperlink>
    </w:p>
    <w:p>
      <w:pPr>
        <w:pStyle w:val="Source"/>
      </w:pPr>
      <w:r>
        <w:t>Managed plugin support; not access to arbitrary kernel drivers or device procurement.</w:t>
      </w:r>
    </w:p>
    <w:p>
      <w:r/>
      <w:r>
        <w:rPr>
          <w:b/>
        </w:rPr>
        <w:t>[R19] Linux kernel documentation.</w:t>
      </w:r>
      <w:r>
        <w:t xml:space="preserve"> PCI Peer-to-Peer DMA Support.</w:t>
      </w:r>
    </w:p>
    <w:p>
      <w:pPr>
        <w:pStyle w:val="Source"/>
      </w:pPr>
      <w:r/>
      <w:hyperlink r:id="rId29">
        <w:r>
          <w:rPr>
            <w:color w:val="24586E"/>
            <w:u w:val="single"/>
          </w:rPr>
          <w:t>Open source</w:t>
        </w:r>
      </w:hyperlink>
    </w:p>
    <w:p>
      <w:pPr>
        <w:pStyle w:val="Source"/>
      </w:pPr>
      <w:r>
        <w:t>Topology and driver restrictions for actual peer paths.</w:t>
      </w:r>
    </w:p>
    <w:p>
      <w:pPr>
        <w:pStyle w:val="Heading2"/>
      </w:pPr>
      <w:r>
        <w:t>Internal source documents supplied by the user</w:t>
      </w:r>
    </w:p>
    <w:p>
      <w:pPr>
        <w:pStyle w:val="Small"/>
      </w:pPr>
      <w:r/>
      <w:r>
        <w:rPr>
          <w:b/>
        </w:rPr>
        <w:t>[I1] ATMOS_E3S_HBF_Use_Case_Strategy_and_POC_Roadmap.docx</w:t>
      </w:r>
      <w:r/>
    </w:p>
    <w:p>
      <w:pPr>
        <w:pStyle w:val="Source"/>
      </w:pPr>
      <w:r>
        <w:t>September 2026; retrieval-led strategy, architecture targets, POCs and boundaries.</w:t>
      </w:r>
    </w:p>
    <w:p>
      <w:pPr>
        <w:pStyle w:val="Small"/>
      </w:pPr>
      <w:r/>
      <w:r>
        <w:rPr>
          <w:b/>
        </w:rPr>
        <w:t>[I2] ATMOS_E3S_Product_and_Workstream_Proposal.docx</w:t>
      </w:r>
      <w:r/>
    </w:p>
    <w:p>
      <w:pPr>
        <w:pStyle w:val="Source"/>
      </w:pPr>
      <w:r>
        <w:t>September 2026; distinct persistent-model strategy and detailed product/OEM/software workstreams.</w:t>
      </w:r>
    </w:p>
    <w:p>
      <w:pPr>
        <w:pStyle w:val="Small"/>
      </w:pPr>
      <w:r/>
      <w:r>
        <w:rPr>
          <w:b/>
        </w:rPr>
        <w:t>[I3] 10-database-cache-tier.md</w:t>
      </w:r>
      <w:r/>
    </w:p>
    <w:p>
      <w:pPr>
        <w:pStyle w:val="Source"/>
      </w:pPr>
      <w:r>
        <w:t>RocksDB secondary read-cache charter; no automatic ATMOS/NPU claim.</w:t>
      </w:r>
    </w:p>
    <w:p>
      <w:pPr>
        <w:pStyle w:val="Small"/>
      </w:pPr>
      <w:r/>
      <w:r>
        <w:rPr>
          <w:b/>
        </w:rPr>
        <w:t>[I4] 11-graph-analytics-tier.md</w:t>
      </w:r>
      <w:r/>
    </w:p>
    <w:p>
      <w:pPr>
        <w:pStyle w:val="Source"/>
      </w:pPr>
      <w:r>
        <w:t>Separate graph-analytics and online-traversal charters.</w:t>
      </w:r>
    </w:p>
    <w:p>
      <w:pPr>
        <w:pStyle w:val="Small"/>
      </w:pPr>
      <w:r/>
      <w:r>
        <w:rPr>
          <w:b/>
        </w:rPr>
        <w:t>[I5] 12-olap-read-cache.md</w:t>
      </w:r>
      <w:r/>
    </w:p>
    <w:p>
      <w:pPr>
        <w:pStyle w:val="Source"/>
      </w:pPr>
      <w:r>
        <w:t>Compressed read-cache comparison and economics boundary.</w:t>
      </w:r>
    </w:p>
    <w:p>
      <w:pPr>
        <w:pStyle w:val="Small"/>
      </w:pPr>
      <w:r/>
      <w:r>
        <w:rPr>
          <w:b/>
        </w:rPr>
        <w:t>[I6] 13-feature-serving.md</w:t>
      </w:r>
      <w:r/>
    </w:p>
    <w:p>
      <w:pPr>
        <w:pStyle w:val="Source"/>
      </w:pPr>
      <w:r>
        <w:t>Batched embedding versus online feature-KV tracks.</w:t>
      </w:r>
    </w:p>
    <w:p>
      <w:pPr>
        <w:pStyle w:val="Source"/>
      </w:pPr>
      <w:r>
        <w:t>A1: workload arithmetic in Appendix A. A2: authored cost, sizing, staffing, and price-envelope calculations in Sections 11–13 and Appendix B. These labels identify calculations in this document, not outside research.</w:t>
      </w:r>
    </w:p>
    <w:sectPr w:rsidR="00FC693F" w:rsidRPr="0006063C" w:rsidSect="00034616">
      <w:headerReference w:type="default" r:id="rId9"/>
      <w:footerReference w:type="default" r:id="rId10"/>
      <w:pgSz w:w="12240" w:h="15840"/>
      <w:pgMar w:top="979" w:right="1037" w:bottom="936" w:left="1037"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10166" w:val="right"/>
      </w:tabs>
      <w:spacing w:after="0"/>
    </w:pPr>
    <w:r>
      <w:t>September 2026  |  Targets and scenarios are not product claims</w:t>
    </w:r>
    <w:r>
      <w:tab/>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10166" w:val="right"/>
      </w:tabs>
      <w:spacing w:after="0"/>
      <w:pBdr>
        <w:bottom w:val="single" w:sz="8" w:color="A31630" w:space="5"/>
      </w:pBdr>
    </w:pPr>
    <w:r>
      <w:rPr>
        <w:b/>
      </w:rPr>
      <w:t>SANDISK  |  ATMOS E3.S</w:t>
    </w:r>
    <w:r>
      <w:tab/>
      <w:t>INTERNAL • PRE-PRODUCT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7" w:lineRule="auto"/>
    </w:pPr>
    <w:rPr>
      <w:rFonts w:ascii="Calibri" w:hAnsi="Calibri"/>
      <w:color w:val="28292D"/>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A31630"/>
      <w:sz w:val="40"/>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28292D"/>
      <w:sz w:val="27"/>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Calibri" w:hAnsi="Calibri"/>
      <w:b/>
      <w:bCs/>
      <w:color w:val="2458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80"/>
      <w:contextualSpacing/>
    </w:pPr>
    <w:rPr>
      <w:rFonts w:asciiTheme="majorHAnsi" w:eastAsiaTheme="majorEastAsia" w:hAnsiTheme="majorHAnsi" w:cstheme="majorBidi" w:ascii="Calibri" w:hAnsi="Calibri"/>
      <w:b/>
      <w:color w:val="A316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40"/>
    </w:pPr>
    <w:rPr>
      <w:rFonts w:asciiTheme="majorHAnsi" w:eastAsiaTheme="majorEastAsia" w:hAnsiTheme="majorHAnsi" w:cstheme="majorBidi" w:ascii="Calibri" w:hAnsi="Calibri"/>
      <w:b w:val="0"/>
      <w:i/>
      <w:iCs/>
      <w:color w:val="60666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7" w:lineRule="auto"/>
    </w:pPr>
    <w:rPr>
      <w:rFonts w:ascii="Calibri" w:hAnsi="Calibri"/>
      <w:color w:val="28292D"/>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ind w:left="230" w:hanging="187"/>
      <w:contextualSpacing/>
    </w:pPr>
    <w:rPr>
      <w:rFonts w:ascii="Calibri" w:hAnsi="Calibri"/>
      <w:color w:val="28292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7" w:lineRule="auto"/>
      <w:contextualSpacing/>
    </w:pPr>
    <w:rPr>
      <w:rFonts w:ascii="Calibri" w:hAnsi="Calibri"/>
      <w:color w:val="28292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7" w:lineRule="auto" w:after="100"/>
    </w:pPr>
    <w:rPr>
      <w:rFonts w:ascii="Calibri" w:hAnsi="Calibri"/>
      <w:b/>
      <w:bCs/>
      <w:color w:val="6066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100" w:line="247" w:lineRule="auto"/>
    </w:pPr>
    <w:rPr>
      <w:rFonts w:ascii="Calibri" w:hAnsi="Calibri"/>
      <w:color w:val="60666F"/>
      <w:sz w:val="18"/>
    </w:rPr>
  </w:style>
  <w:style w:type="paragraph" w:customStyle="1" w:styleId="TableText">
    <w:name w:val="Table Text"/>
    <w:pPr>
      <w:spacing w:after="60" w:line="247" w:lineRule="auto"/>
    </w:pPr>
    <w:rPr>
      <w:rFonts w:ascii="Calibri" w:hAnsi="Calibri"/>
      <w:color w:val="28292D"/>
      <w:sz w:val="20"/>
    </w:rPr>
  </w:style>
  <w:style w:type="paragraph" w:customStyle="1" w:styleId="Source">
    <w:name w:val="Source"/>
    <w:pPr>
      <w:spacing w:after="100" w:line="247" w:lineRule="auto"/>
    </w:pPr>
    <w:rPr>
      <w:rFonts w:ascii="Calibri" w:hAnsi="Calibri"/>
      <w:color w:val="6066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search.org/blog/reduce-cost-with-disk-based-vector-search/" TargetMode="External"/><Relationship Id="rId12" Type="http://schemas.openxmlformats.org/officeDocument/2006/relationships/hyperlink" Target="https://aws.amazon.com/blogs/big-data/opensearch-vector-engine-is-now-disk-optimized-for-low-cost-accurate-vector-search/" TargetMode="External"/><Relationship Id="rId13" Type="http://schemas.openxmlformats.org/officeDocument/2006/relationships/hyperlink" Target="https://aws.amazon.com/s3/features/vectors/" TargetMode="External"/><Relationship Id="rId14" Type="http://schemas.openxmlformats.org/officeDocument/2006/relationships/hyperlink" Target="https://www.linkedin.com/blog/engineering/ai/building-the-next-generation-of-job-search-at-linkedin" TargetMode="External"/><Relationship Id="rId15" Type="http://schemas.openxmlformats.org/officeDocument/2006/relationships/hyperlink" Target="https://www.linkedin.com/blog/engineering/ai/jude-llm-based-representation-learning-for-linkedin-job-recommendations" TargetMode="External"/><Relationship Id="rId16" Type="http://schemas.openxmlformats.org/officeDocument/2006/relationships/hyperlink" Target="https://engineering.fb.com/2024/12/02/production-engineering/meta-andromeda-advantage-automation-next-gen-personalized-ads-retrieval-engine/" TargetMode="External"/><Relationship Id="rId17" Type="http://schemas.openxmlformats.org/officeDocument/2006/relationships/hyperlink" Target="https://blog.vespa.ai/announcing-colbert-embedder-in-vespa/" TargetMode="External"/><Relationship Id="rId18" Type="http://schemas.openxmlformats.org/officeDocument/2006/relationships/hyperlink" Target="https://milvus.io/docs/knowhere.md" TargetMode="External"/><Relationship Id="rId19" Type="http://schemas.openxmlformats.org/officeDocument/2006/relationships/hyperlink" Target="https://milvus.io/docs/gpu-index-overview.md" TargetMode="External"/><Relationship Id="rId20" Type="http://schemas.openxmlformats.org/officeDocument/2006/relationships/hyperlink" Target="https://qdrant.tech/documentation/manage-data/quantization/" TargetMode="External"/><Relationship Id="rId21" Type="http://schemas.openxmlformats.org/officeDocument/2006/relationships/hyperlink" Target="https://www.microsoft.com/en-us/research/publication/diskann-fast-accurate-billion-point-nearest-neighbor-search-on-a-single-node/" TargetMode="External"/><Relationship Id="rId22" Type="http://schemas.openxmlformats.org/officeDocument/2006/relationships/hyperlink" Target="https://www.snia.org/forums/cmsi/knowledge/formfactors" TargetMode="External"/><Relationship Id="rId23" Type="http://schemas.openxmlformats.org/officeDocument/2006/relationships/hyperlink" Target="https://apac.kioxia.com/en-apac/business/ssd/solution/edsff/e3.html" TargetMode="External"/><Relationship Id="rId24" Type="http://schemas.openxmlformats.org/officeDocument/2006/relationships/hyperlink" Target="https://www.dell.com/en-us/shop/ipovw/poweredge-r770" TargetMode="External"/><Relationship Id="rId25" Type="http://schemas.openxmlformats.org/officeDocument/2006/relationships/hyperlink" Target="https://unigen.com/products/ai-solutions/" TargetMode="External"/><Relationship Id="rId26" Type="http://schemas.openxmlformats.org/officeDocument/2006/relationships/hyperlink" Target="https://www.sandisk.com/company/newsroom/press-releases/2026/2026-08-03-Sandisk-and-sk-hynix-advance-global-standardization-of-hbf" TargetMode="External"/><Relationship Id="rId27" Type="http://schemas.openxmlformats.org/officeDocument/2006/relationships/hyperlink" Target="https://arxiv.org/abs/2603.01175" TargetMode="External"/><Relationship Id="rId28" Type="http://schemas.openxmlformats.org/officeDocument/2006/relationships/hyperlink" Target="https://docs.aws.amazon.com/opensearch-service/latest/developerguide/supported-plugins.html" TargetMode="External"/><Relationship Id="rId29" Type="http://schemas.openxmlformats.org/officeDocument/2006/relationships/hyperlink" Target="https://docs.kernel.org/driver-api/pci/p2pdm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 E3.S | Near-Data Retrieval and Feature Processing</dc:title>
  <dc:subject>Executive product strategy, economic viability, partner engagement and evidence program</dc:subject>
  <dc:creator/>
  <cp:keywords>ATMOS, HBF, E3.S, retrieval, economics, design partners</cp:keywords>
  <dc:description>Internal proposal. All ATMOS targets and economic scenarios require validation.</dc:description>
  <cp:lastModifiedBy/>
  <cp:revision>1</cp:revision>
  <dcterms:created xsi:type="dcterms:W3CDTF">2013-12-23T23:15:00Z</dcterms:created>
  <dcterms:modified xsi:type="dcterms:W3CDTF">2013-12-23T23:15:00Z</dcterms:modified>
  <cp:category/>
</cp:coreProperties>
</file>