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DEMANDA MAKLO — Playbook de operación de demanda</w:t>
      </w:r>
    </w:p>
    <w:p>
      <w:pPr>
        <w:spacing w:after="60"/>
      </w:pPr>
      <w:r>
        <w:rPr>
          <w:color w:val="595959"/>
          <w:sz w:val="22"/>
          <w:szCs w:val="22"/>
        </w:rPr>
        <w:t xml:space="preserve">Contexto AI · 2026-07-13 · Síntesis de 4 fuentes: Corredor-Brain (foso) · Senales-Brain · Nate-Herk-Brain · canon Contexto</w:t>
      </w:r>
    </w:p>
    <w:p>
      <w:pPr>
        <w:spacing w:after="120"/>
      </w:pPr>
      <w:r>
        <w:rPr>
          <w:i/>
          <w:iCs/>
          <w:color w:val="595959"/>
          <w:sz w:val="20"/>
          <w:szCs w:val="20"/>
        </w:rPr>
        <w:t xml:space="preserve">Cite-don't-assert en todo; los candados de las tácticas ámbar son parte de la táctica, no opcionales.</w:t>
      </w:r>
    </w:p>
    <w:p>
      <w:pPr>
        <w:pBdr>
          <w:bottom w:val="single" w:color="0F766E" w:sz="6" w:space="1"/>
        </w:pBdr>
        <w:spacing w:after="200"/>
      </w:pPr>
    </w:p>
    <w:p>
      <w:pPr>
        <w:pStyle w:val="Heading2"/>
      </w:pPr>
      <w:r>
        <w:t xml:space="preserve">1. El cliente ideal — definido limpio</w:t>
      </w:r>
    </w:p>
    <w:p>
      <w:pPr>
        <w:spacing w:after="120"/>
      </w:pPr>
      <w:r>
        <w:rPr>
          <w:b/>
          <w:bCs/>
        </w:rPr>
        <w:t xml:space="preserve">Regla madre (canon COMPLIANCE + compuerta G2): </w:t>
      </w:r>
      <w:r>
        <w:t xml:space="preserve">el nicho se define por </w:t>
      </w:r>
      <w:r>
        <w:rPr>
          <w:b/>
          <w:bCs/>
        </w:rPr>
        <w:t xml:space="preserve">tipo de necesidad/intención, jamás por persona. </w:t>
      </w:r>
      <w:r>
        <w:rPr>
          <w:i/>
          <w:iCs/>
          <w:color w:val="595959"/>
        </w:rPr>
        <w:t xml:space="preserve">per Hormozi (filtrado)</w:t>
      </w:r>
      <w:r>
        <w:t xml:space="preserve">: “vende a un nicho que resuelves del todo” — el nicho de MAKLO es una necesidad, no un demográfico: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7ECEA" w:val="clear"/>
            <w:tcMar>
              <w:top w:type="dxa" w:w="80"/>
              <w:left w:type="dxa" w:w="120"/>
              <w:bottom w:type="dxa" w:w="80"/>
              <w:right w:type="dxa" w:w="120"/>
            </w:tcMar>
          </w:tcPr>
          <w:p>
            <w:pPr>
              <w:spacing w:after="0"/>
            </w:pPr>
            <w:r>
              <w:rPr>
                <w:b/>
                <w:bCs/>
              </w:rPr>
              <w:t xml:space="preserve">Eje permitido</w:t>
            </w:r>
          </w:p>
        </w:tc>
        <w:tc>
          <w:tcPr>
            <w:tcW w:type="dxa" w:w="7160"/>
            <w:tcBorders>
              <w:top w:val="single" w:color="CCCCCC" w:sz="1"/>
              <w:left w:val="single" w:color="CCCCCC" w:sz="1"/>
              <w:bottom w:val="single" w:color="CCCCCC" w:sz="1"/>
              <w:right w:val="single" w:color="CCCCCC" w:sz="1"/>
            </w:tcBorders>
            <w:shd w:fill="D7ECEA" w:val="clear"/>
            <w:tcMar>
              <w:top w:type="dxa" w:w="80"/>
              <w:left w:type="dxa" w:w="120"/>
              <w:bottom w:type="dxa" w:w="80"/>
              <w:right w:type="dxa" w:w="120"/>
            </w:tcMar>
          </w:tcPr>
          <w:p>
            <w:pPr>
              <w:spacing w:after="0"/>
            </w:pPr>
            <w:r>
              <w:rPr>
                <w:b/>
                <w:bCs/>
              </w:rPr>
              <w:t xml:space="preserve">El cliente ideal de MAKLO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Intención declarada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Busca vivir o invertir </w:t>
            </w:r>
            <w:r>
              <w:rPr>
                <w:b/>
                <w:bCs/>
              </w:rPr>
              <w:t xml:space="preserve">cerca de una estación de Metro consolidada</w:t>
            </w:r>
            <w:r>
              <w:t xml:space="preserve"> (movilidad sin auto) · valora </w:t>
            </w:r>
            <w:r>
              <w:rPr>
                <w:b/>
                <w:bCs/>
              </w:rPr>
              <w:t xml:space="preserve">unidades adaptables</w:t>
            </w:r>
            <w:r>
              <w:t xml:space="preserve"> (declara que necesita “un dormitorio más” o “un espacio de trabajo”) · prioriza </w:t>
            </w:r>
            <w:r>
              <w:rPr>
                <w:b/>
                <w:bCs/>
              </w:rPr>
              <w:t xml:space="preserve">comprar directo del constructor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Geo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Trabaja/estudia/se mueve en el eje Labrador–Bicentenario–La Concepción; búsquedas “departamento cerca del Metro El Labrador”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Ejes económicos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Presupuesto declarado en el rango de las tipologías (53–177 m²) · </w:t>
            </w:r>
            <w:r>
              <w:rPr>
                <w:b/>
                <w:bCs/>
              </w:rPr>
              <w:t xml:space="preserve">elegible BIESS</w:t>
            </w:r>
            <w:r>
              <w:t xml:space="preserve"> (</w:t>
            </w:r>
            <w:r>
              <w:rPr>
                <w:i/>
                <w:iCs/>
                <w:color w:val="595959"/>
              </w:rPr>
              <w:t xml:space="preserve">per Senales-Brain</w:t>
            </w:r>
            <w:r>
              <w:t xml:space="preserve">: hipotecas ~2.99%/100% financiado — regla estatal PUBLICADA; navegar elegibilidad pública es Fair-Housing-seguro por diseño; </w:t>
            </w:r>
            <w:r>
              <w:rPr>
                <w:b/>
                <w:bCs/>
                <w:color w:val="B58100"/>
              </w:rPr>
              <w:t xml:space="preserve">verificar en fuente oficial BIESS antes de citar</w:t>
            </w:r>
            <w: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color w:val="C62828"/>
              </w:rPr>
              <w:t xml:space="preserve">PROHIBIDO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Edad, ingreso, profesión, composición familiar, “etapa de vida”, zip premium, lookalikes de compradores previos (arrastran proxies). </w:t>
            </w:r>
            <w:r>
              <w:rPr>
                <w:i/>
                <w:iCs/>
                <w:color w:val="595959"/>
              </w:rPr>
              <w:t xml:space="preserve">per Hormozi [Targeting demográfico]</w:t>
            </w:r>
            <w:r>
              <w:t xml:space="preserve"> = anti-patrón </w:t>
            </w:r>
            <w:r>
              <w:rPr>
                <w:b/>
                <w:bCs/>
                <w:color w:val="C62828"/>
              </w:rPr>
              <w:t xml:space="preserve">ROJO</w:t>
            </w:r>
            <w:r>
              <w:t xml:space="preserve">; precedente legal: HUD v. Facebook (2019), NFHA v. Redfin (2020)</w:t>
            </w:r>
          </w:p>
        </w:tc>
      </w:tr>
    </w:tbl>
    <w:p>
      <w:pPr>
        <w:spacing w:before="120"/>
      </w:pPr>
      <w:r>
        <w:rPr>
          <w:b/>
          <w:bCs/>
        </w:rPr>
        <w:t xml:space="preserve">Insight clave </w:t>
      </w:r>
      <w:r>
        <w:t xml:space="preserve">(</w:t>
      </w:r>
      <w:r>
        <w:rPr>
          <w:i/>
          <w:iCs/>
          <w:color w:val="595959"/>
        </w:rPr>
        <w:t xml:space="preserve">per Damián Schiano, vía Senales-Brain, cualitativo/vendor</w:t>
      </w:r>
      <w:r>
        <w:t xml:space="preserve">): el comprador ya no compara por barrio sino por </w:t>
      </w:r>
      <w:r>
        <w:rPr>
          <w:b/>
          <w:bCs/>
        </w:rPr>
        <w:t xml:space="preserve">presupuesto + atributos</w:t>
      </w:r>
      <w:r>
        <w:t xml:space="preserve"> — el set competitivo de MAKLO es toda la oferta de Quito en su rango. El mensaje compite ahí, no solo en “La Concepción”.</w:t>
      </w:r>
    </w:p>
    <w:p>
      <w:pPr>
        <w:pStyle w:val="Heading2"/>
      </w:pPr>
      <w:r>
        <w:t xml:space="preserve">2. La jerarquía de demanda (no arrancar por la pauta)</w:t>
      </w:r>
    </w:p>
    <w:p>
      <w:pPr>
        <w:spacing w:after="120"/>
      </w:pPr>
      <w:r>
        <w:rPr>
          <w:i/>
          <w:iCs/>
          <w:color w:val="595959"/>
        </w:rPr>
        <w:t xml:space="preserve">per Gary Keller (MREA, Bullseye)</w:t>
      </w:r>
      <w:r>
        <w:t xml:space="preserve"> </w:t>
      </w:r>
      <w:r>
        <w:rPr>
          <w:b/>
          <w:bCs/>
          <w:color w:val="2E7D32"/>
        </w:rPr>
        <w:t xml:space="preserve">● </w:t>
      </w:r>
      <w:r>
        <w:t xml:space="preserve">: el retorno cae del centro hacia afuera — aliados ~5-7 cierres/año · base conocida ~12:2 · público frío ~100:1. </w:t>
      </w:r>
      <w:r>
        <w:rPr>
          <w:b/>
          <w:bCs/>
        </w:rPr>
        <w:t xml:space="preserve">El error caro es vivir en el círculo externo (pagado) sin trabajar los internos.</w:t>
      </w:r>
      <w:r>
        <w:t xml:space="preserve"> Orden de activación:</w:t>
      </w:r>
    </w:p>
    <w:p>
      <w:pPr>
        <w:pStyle w:val="ListParagraph"/>
        <w:numPr>
          <w:ilvl w:val="0"/>
          <w:numId w:val="2"/>
        </w:numPr>
        <w:spacing w:after="100"/>
      </w:pPr>
      <w:r>
        <w:rPr>
          <w:b/>
          <w:bCs/>
        </w:rPr>
        <w:t xml:space="preserve">Reactivación (costo ~$0): </w:t>
      </w:r>
      <w:r>
        <w:t xml:space="preserve">¿el promotor tiene lista de interesados previos (proyecto 1, ferias, letreros)? </w:t>
      </w:r>
      <w:r>
        <w:rPr>
          <w:i/>
          <w:iCs/>
          <w:color w:val="595959"/>
        </w:rPr>
        <w:t xml:space="preserve">per Nate Herk</w:t>
      </w:r>
      <w:r>
        <w:t xml:space="preserve">: reactivar base dormida es el ROI más alto que existe (sus cifras: anécdota de tercero, no medición nuestra). </w:t>
      </w:r>
      <w:r>
        <w:rPr>
          <w:b/>
          <w:bCs/>
        </w:rPr>
        <w:t xml:space="preserve">Preguntarlo en la primera sesión.</w:t>
      </w:r>
    </w:p>
    <w:p>
      <w:pPr>
        <w:pStyle w:val="ListParagraph"/>
        <w:numPr>
          <w:ilvl w:val="0"/>
          <w:numId w:val="2"/>
        </w:numPr>
        <w:spacing w:after="100"/>
      </w:pPr>
      <w:r>
        <w:rPr>
          <w:b/>
          <w:bCs/>
        </w:rPr>
        <w:t xml:space="preserve">Esferas y aliados locales: </w:t>
      </w:r>
      <w:r>
        <w:t xml:space="preserve">contactos del promotor y de Contexto + comercios/gremios del eje Labrador–Bicentenario. Nurture 8x8 / 33-Touch (</w:t>
      </w:r>
      <w:r>
        <w:rPr>
          <w:i/>
          <w:iCs/>
          <w:color w:val="595959"/>
        </w:rPr>
        <w:t xml:space="preserve">per Keller</w:t>
      </w:r>
      <w:r>
        <w:t xml:space="preserve">) vía CRM.</w:t>
      </w:r>
    </w:p>
    <w:p>
      <w:pPr>
        <w:pStyle w:val="ListParagraph"/>
        <w:numPr>
          <w:ilvl w:val="0"/>
          <w:numId w:val="2"/>
        </w:numPr>
        <w:spacing w:after="100"/>
      </w:pPr>
      <w:r>
        <w:rPr>
          <w:b/>
          <w:bCs/>
        </w:rPr>
        <w:t xml:space="preserve">Orgánico/citable: </w:t>
      </w:r>
      <w:r>
        <w:t xml:space="preserve">la página del proyecto + reporte del sector (§4).</w:t>
      </w:r>
    </w:p>
    <w:p>
      <w:pPr>
        <w:pStyle w:val="ListParagraph"/>
        <w:numPr>
          <w:ilvl w:val="0"/>
          <w:numId w:val="2"/>
        </w:numPr>
        <w:spacing w:after="100"/>
      </w:pPr>
      <w:r>
        <w:rPr>
          <w:b/>
          <w:bCs/>
        </w:rPr>
        <w:t xml:space="preserve">Pauta pagada (el amplificador, no la base): </w:t>
      </w:r>
      <w:r>
        <w:rPr>
          <w:i/>
          <w:iCs/>
          <w:color w:val="595959"/>
        </w:rPr>
        <w:t xml:space="preserve">per Keller [Two Ms]</w:t>
      </w:r>
      <w:r>
        <w:t xml:space="preserve"> </w:t>
      </w:r>
      <w:r>
        <w:rPr>
          <w:b/>
          <w:bCs/>
          <w:color w:val="B58100"/>
        </w:rPr>
        <w:t xml:space="preserve">● </w:t>
      </w:r>
      <w:r>
        <w:t xml:space="preserve">“prospecting-based, marketing-enhanced”. La pauta escala lo que ya convierte; candado: propuesta de valor clara, jamás urgencia fabricada.</w:t>
      </w:r>
    </w:p>
    <w:p>
      <w:pPr>
        <w:spacing w:after="120"/>
      </w:pPr>
      <w:r>
        <w:rPr>
          <w:b/>
          <w:bCs/>
        </w:rPr>
        <w:t xml:space="preserve">Consecuencia para la mesa: </w:t>
      </w:r>
      <w:r>
        <w:t xml:space="preserve">el presupuesto de pauta se dimensiona DESPUÉS de auditar los círculos internos — más honesto y más barato para ellos. Eso también es congruencia.</w:t>
      </w:r>
    </w:p>
    <w:p>
      <w:pPr>
        <w:pStyle w:val="Heading2"/>
      </w:pPr>
      <w:r>
        <w:t xml:space="preserve">3. La oferta (el beneficio al comprador bien empaquetado)</w:t>
      </w:r>
    </w:p>
    <w:p>
      <w:pPr>
        <w:pStyle w:val="ListParagraph"/>
        <w:numPr>
          <w:ilvl w:val="0"/>
          <w:numId w:val="3"/>
        </w:numPr>
        <w:spacing w:after="100"/>
      </w:pPr>
      <w:r>
        <w:rPr>
          <w:i/>
          <w:iCs/>
          <w:color w:val="595959"/>
        </w:rPr>
        <w:t xml:space="preserve">per Hormozi [Value Equation]</w:t>
      </w:r>
      <w:r>
        <w:t xml:space="preserve"> </w:t>
      </w:r>
      <w:r>
        <w:rPr>
          <w:b/>
          <w:bCs/>
          <w:color w:val="B58100"/>
        </w:rPr>
        <w:t xml:space="preserve">● </w:t>
      </w:r>
      <w:r>
        <w:t xml:space="preserve">: el valor sube bajando el </w:t>
      </w:r>
      <w:r>
        <w:rPr>
          <w:b/>
          <w:bCs/>
        </w:rPr>
        <w:t xml:space="preserve">denominador</w:t>
      </w:r>
      <w:r>
        <w:t xml:space="preserve"> (tiempo × esfuerzo) con hechos: comprar directo = menos pasos; el 3-4% devuelto = fricción financiera real removida, no descuento fabricado. El numerador sube SOLO con dato verificado (isócrona real al Metro, POIs del Bicentenario) — nunca con adjetivos.</w:t>
      </w:r>
    </w:p>
    <w:p>
      <w:pPr>
        <w:pStyle w:val="ListParagraph"/>
        <w:numPr>
          <w:ilvl w:val="0"/>
          <w:numId w:val="3"/>
        </w:numPr>
        <w:spacing w:after="100"/>
      </w:pPr>
      <w:r>
        <w:rPr>
          <w:i/>
          <w:iCs/>
          <w:color w:val="595959"/>
        </w:rPr>
        <w:t xml:space="preserve">per Hormozi [anti commission-breath]</w:t>
      </w:r>
      <w:r>
        <w:t xml:space="preserve"> </w:t>
      </w:r>
      <w:r>
        <w:rPr>
          <w:b/>
          <w:bCs/>
          <w:color w:val="2E7D32"/>
        </w:rPr>
        <w:t xml:space="preserve">● </w:t>
      </w:r>
      <w:r>
        <w:t xml:space="preserve">: el modelo MAKLO ES estructuralmente “ponerse del lado del comprador” — el mensaje no es truco de cierre, es </w:t>
      </w:r>
      <w:r>
        <w:rPr>
          <w:b/>
          <w:bCs/>
        </w:rPr>
        <w:t xml:space="preserve">prueba estructural</w:t>
      </w:r>
      <w:r>
        <w:t xml:space="preserve">: “sin intermediación, el ahorro va a ti.”</w:t>
      </w:r>
    </w:p>
    <w:p>
      <w:pPr>
        <w:pStyle w:val="ListParagraph"/>
        <w:numPr>
          <w:ilvl w:val="0"/>
          <w:numId w:val="3"/>
        </w:numPr>
        <w:spacing w:after="100"/>
      </w:pPr>
      <w:r>
        <w:rPr>
          <w:i/>
          <w:iCs/>
          <w:color w:val="595959"/>
        </w:rPr>
        <w:t xml:space="preserve">per Hormozi [Imán de leads]</w:t>
      </w:r>
      <w:r>
        <w:t xml:space="preserve"> </w:t>
      </w:r>
      <w:r>
        <w:rPr>
          <w:b/>
          <w:bCs/>
          <w:color w:val="B58100"/>
        </w:rPr>
        <w:t xml:space="preserve">● </w:t>
      </w:r>
      <w:r>
        <w:t xml:space="preserve">: lead magnet honesto — “chequeo gratis de tu trayecto diario desde MAKLO” (isócronas reales) o guía “qué mirar antes de comprar en La Concepción”. Captura con consentimiento; cero miedo fabricado.</w:t>
      </w:r>
    </w:p>
    <w:p>
      <w:pPr>
        <w:pStyle w:val="ListParagraph"/>
        <w:numPr>
          <w:ilvl w:val="0"/>
          <w:numId w:val="3"/>
        </w:numPr>
        <w:spacing w:after="100"/>
      </w:pPr>
      <w:r>
        <w:rPr>
          <w:i/>
          <w:iCs/>
          <w:color w:val="595959"/>
        </w:rPr>
        <w:t xml:space="preserve">per Serhant/Corcoran [vender el outcome]</w:t>
      </w:r>
      <w:r>
        <w:t xml:space="preserve"> </w:t>
      </w:r>
      <w:r>
        <w:rPr>
          <w:b/>
          <w:bCs/>
          <w:color w:val="B58100"/>
        </w:rPr>
        <w:t xml:space="preserve">● </w:t>
      </w:r>
      <w:r>
        <w:t xml:space="preserve">: no se vende “78 m², 2D” — se vende “llegas caminando al Metro en X min </w:t>
      </w:r>
      <w:r>
        <w:rPr>
          <w:b/>
          <w:bCs/>
        </w:rPr>
        <w:t xml:space="preserve">medidos</w:t>
      </w:r>
      <w:r>
        <w:t xml:space="preserve">”; cada frase de outcome cuelga de un dato con proveniencia. La adaptabilidad se explica </w:t>
      </w:r>
      <w:r>
        <w:rPr>
          <w:b/>
          <w:bCs/>
        </w:rPr>
        <w:t xml:space="preserve">según lo que el comprador declara</w:t>
      </w:r>
      <w:r>
        <w:t xml:space="preserve"> que necesita.</w:t>
      </w:r>
    </w:p>
    <w:p>
      <w:pPr>
        <w:pStyle w:val="Heading2"/>
      </w:pPr>
      <w:r>
        <w:t xml:space="preserve">4. La capa citable (AEO) — el plan ya existe en el canon</w:t>
      </w:r>
    </w:p>
    <w:p>
      <w:pPr>
        <w:pStyle w:val="ListParagraph"/>
        <w:numPr>
          <w:ilvl w:val="0"/>
          <w:numId w:val="3"/>
        </w:numPr>
        <w:spacing w:after="100"/>
      </w:pPr>
      <w:r>
        <w:rPr>
          <w:b/>
          <w:bCs/>
        </w:rPr>
        <w:t xml:space="preserve">PLAN_Capa_Citable (Increment A): </w:t>
      </w:r>
      <w:r>
        <w:t xml:space="preserve">UNA página fuerte a nivel inmueble (/quito/metro-el-labrador/maklo/), pública, URL semántica, datos + proveniencia + fecha. En lo específico la IA es ciega — </w:t>
      </w:r>
      <w:r>
        <w:rPr>
          <w:b/>
          <w:bCs/>
        </w:rPr>
        <w:t xml:space="preserve">MAKLO es exactamente ese vacío.</w:t>
      </w:r>
      <w:r>
        <w:t xml:space="preserve"> Medir citación a 4-8 semanas; escalar solo si funciona. Disciplina P5: sin mapa interactivo ni portal todavía.</w:t>
      </w:r>
    </w:p>
    <w:p>
      <w:pPr>
        <w:pStyle w:val="ListParagraph"/>
        <w:numPr>
          <w:ilvl w:val="0"/>
          <w:numId w:val="3"/>
        </w:numPr>
        <w:spacing w:after="100"/>
      </w:pPr>
      <w:r>
        <w:rPr>
          <w:b/>
          <w:bCs/>
        </w:rPr>
        <w:t xml:space="preserve">Sin trucos GEO </w:t>
      </w:r>
      <w:r>
        <w:t xml:space="preserve">(</w:t>
      </w:r>
      <w:r>
        <w:rPr>
          <w:i/>
          <w:iCs/>
          <w:color w:val="595959"/>
        </w:rPr>
        <w:t xml:space="preserve">per Álvaro Peña citando a Mueller/Splitt de Google</w:t>
      </w:r>
      <w:r>
        <w:t xml:space="preserve">): nada de llms.txt/chunking/schema mágico — contenido sustantivo, HTML limpio, datos machine-readable (</w:t>
      </w:r>
      <w:r>
        <w:rPr>
          <w:i/>
          <w:iCs/>
          <w:color w:val="595959"/>
        </w:rPr>
        <w:t xml:space="preserve">per Anastasova; Nate Herk [LLM Ready Data]</w:t>
      </w:r>
      <w:r>
        <w:t xml:space="preserve">).</w:t>
      </w:r>
    </w:p>
    <w:p>
      <w:pPr>
        <w:pStyle w:val="ListParagraph"/>
        <w:numPr>
          <w:ilvl w:val="0"/>
          <w:numId w:val="3"/>
        </w:numPr>
        <w:spacing w:after="100"/>
      </w:pPr>
      <w:r>
        <w:rPr>
          <w:i/>
          <w:iCs/>
          <w:color w:val="595959"/>
        </w:rPr>
        <w:t xml:space="preserve">per Corcoran [Corcoran Report]</w:t>
      </w:r>
      <w:r>
        <w:t xml:space="preserve"> </w:t>
      </w:r>
      <w:r>
        <w:rPr>
          <w:b/>
          <w:bCs/>
          <w:color w:val="2E7D32"/>
        </w:rPr>
        <w:t xml:space="preserve">● </w:t>
      </w:r>
      <w:r>
        <w:rPr>
          <w:b/>
          <w:bCs/>
        </w:rPr>
        <w:t xml:space="preserve">la jugada de autoridad: </w:t>
      </w:r>
      <w:r>
        <w:t xml:space="preserve">publicar el “Reporte del eje Metro El Labrador” con datos propios (tiempos peatonales medidos, POIs, avance de ventas con fecha) → Contexto se vuelve LA fuente citable del sector. Candado: toda cifra con fuente + período; el LLM narra, no calcula.</w:t>
      </w:r>
    </w:p>
    <w:p>
      <w:pPr>
        <w:pStyle w:val="ListParagraph"/>
        <w:numPr>
          <w:ilvl w:val="0"/>
          <w:numId w:val="3"/>
        </w:numPr>
        <w:spacing w:after="100"/>
      </w:pPr>
      <w:r>
        <w:rPr>
          <w:b/>
          <w:bCs/>
          <w:color w:val="B58100"/>
        </w:rPr>
        <w:t xml:space="preserve">Expectativa templada (ESTUDIO §3.1): </w:t>
      </w:r>
      <w:r>
        <w:t xml:space="preserve">real estate es la industria MENOS visible en AI Overviews (0,14%); solo ~20% usó IA realmente para buscar (BofA). La capa citable es apuesta de moat, </w:t>
      </w:r>
      <w:r>
        <w:rPr>
          <w:b/>
          <w:bCs/>
        </w:rPr>
        <w:t xml:space="preserve">no</w:t>
      </w:r>
      <w:r>
        <w:t xml:space="preserve"> canal de volumen inmediato — se reporta como métrica de proceso; el volumen lo trae la pauta. </w:t>
      </w:r>
      <w:r>
        <w:rPr>
          <w:b/>
          <w:bCs/>
        </w:rPr>
        <w:t xml:space="preserve">Nunca vender el “61% empieza en IA” sin este contraste.</w:t>
      </w:r>
    </w:p>
    <w:p>
      <w:pPr>
        <w:pStyle w:val="ListParagraph"/>
        <w:numPr>
          <w:ilvl w:val="0"/>
          <w:numId w:val="3"/>
        </w:numPr>
        <w:spacing w:after="100"/>
      </w:pPr>
      <w:r>
        <w:rPr>
          <w:b/>
          <w:bCs/>
        </w:rPr>
        <w:t xml:space="preserve">El gancho anti-commodity (ESTUDIO §3.3, Cotality): </w:t>
      </w:r>
      <w:r>
        <w:t xml:space="preserve">la confianza en IA para encontrar casa CAYÓ 30%→16%; 44% pagaría extra por verificación humana. Copy de pauta: </w:t>
      </w:r>
      <w:r>
        <w:rPr>
          <w:i/>
          <w:iCs/>
        </w:rPr>
        <w:t xml:space="preserve">“verificado en terreno por un corredor real, no solo descrito por un anuncio.”</w:t>
      </w:r>
      <w:r>
        <w:t xml:space="preserve"> El chatbot es commodity; el foso es la verificación.</w:t>
      </w:r>
    </w:p>
    <w:p>
      <w:pPr>
        <w:pStyle w:val="Heading2"/>
      </w:pPr>
      <w:r>
        <w:t xml:space="preserve">5. La máquina de conversión (diseño del agente para ESTE proyecto)</w:t>
      </w:r>
    </w:p>
    <w:p>
      <w:pPr>
        <w:pStyle w:val="ListParagraph"/>
        <w:numPr>
          <w:ilvl w:val="0"/>
          <w:numId w:val="3"/>
        </w:numPr>
        <w:spacing w:after="100"/>
      </w:pPr>
      <w:r>
        <w:rPr>
          <w:b/>
          <w:bCs/>
        </w:rPr>
        <w:t xml:space="preserve">Speed-to-lead </w:t>
      </w:r>
      <w:r>
        <w:t xml:space="preserve">(</w:t>
      </w:r>
      <w:r>
        <w:rPr>
          <w:i/>
          <w:iCs/>
          <w:color w:val="595959"/>
        </w:rPr>
        <w:t xml:space="preserve">per Nate Herk + tesis Senales-Brain</w:t>
      </w:r>
      <w:r>
        <w:t xml:space="preserve">): la latencia de respuesta es LA métrica de venta. El agente contesta en segundos, 24/7. (Cifras de terceros se citan rotuladas, jamás como medición nuestra.)</w:t>
      </w:r>
    </w:p>
    <w:p>
      <w:pPr>
        <w:pStyle w:val="ListParagraph"/>
        <w:numPr>
          <w:ilvl w:val="0"/>
          <w:numId w:val="3"/>
        </w:numPr>
        <w:spacing w:after="100"/>
      </w:pPr>
      <w:r>
        <w:rPr>
          <w:b/>
          <w:bCs/>
        </w:rPr>
        <w:t xml:space="preserve">Arquitectura sin alucinación </w:t>
      </w:r>
      <w:r>
        <w:t xml:space="preserve">(</w:t>
      </w:r>
      <w:r>
        <w:rPr>
          <w:i/>
          <w:iCs/>
          <w:color w:val="595959"/>
        </w:rPr>
        <w:t xml:space="preserve">per Nate Herk [Semantic Search]</w:t>
      </w:r>
      <w:r>
        <w:t xml:space="preserve">): con ~20 unidades NO se usa RAG vectorial — specs por unidad en tabla estructurada + contexto completo para el entorno verificado. Un precio alucinado mata la marca de asteriscos.</w:t>
      </w:r>
    </w:p>
    <w:p>
      <w:pPr>
        <w:pStyle w:val="ListParagraph"/>
        <w:numPr>
          <w:ilvl w:val="0"/>
          <w:numId w:val="3"/>
        </w:numPr>
        <w:spacing w:after="100"/>
      </w:pPr>
      <w:r>
        <w:rPr>
          <w:b/>
          <w:bCs/>
        </w:rPr>
        <w:t xml:space="preserve">Calificación por fricción </w:t>
      </w:r>
      <w:r>
        <w:t xml:space="preserve">(</w:t>
      </w:r>
      <w:r>
        <w:rPr>
          <w:i/>
          <w:iCs/>
          <w:color w:val="595959"/>
        </w:rPr>
        <w:t xml:space="preserve">per Hormozi + Serhant [3P]</w:t>
      </w:r>
      <w:r>
        <w:t xml:space="preserve">): preguntas que el interesado RESPONDE (¿para qué? ¿presupuesto? ¿no-negociables? ¿quién decide?) — la fricción filtra por seriedad, jamás por perfil.</w:t>
      </w:r>
    </w:p>
    <w:p>
      <w:pPr>
        <w:pStyle w:val="ListParagraph"/>
        <w:numPr>
          <w:ilvl w:val="0"/>
          <w:numId w:val="3"/>
        </w:numPr>
        <w:spacing w:after="100"/>
      </w:pPr>
      <w:r>
        <w:rPr>
          <w:b/>
          <w:bCs/>
        </w:rPr>
        <w:t xml:space="preserve">Encaje relativo, nunca score absoluto </w:t>
      </w:r>
      <w:r>
        <w:t xml:space="preserve">(Increment B): “encaja con lo que dijiste que buscas”, jamás “la mejor zona / 87/100”.</w:t>
      </w:r>
    </w:p>
    <w:p>
      <w:pPr>
        <w:pStyle w:val="ListParagraph"/>
        <w:numPr>
          <w:ilvl w:val="0"/>
          <w:numId w:val="3"/>
        </w:numPr>
        <w:spacing w:after="100"/>
      </w:pPr>
      <w:r>
        <w:rPr>
          <w:b/>
          <w:bCs/>
        </w:rPr>
        <w:t xml:space="preserve">Telemetría desde el día 1 </w:t>
      </w:r>
      <w:r>
        <w:t xml:space="preserve">(Increment C): loguear cada intención consultada = activo propio que ajusta la pauta y alimenta el reporte semanal.</w:t>
      </w:r>
    </w:p>
    <w:p>
      <w:pPr>
        <w:pStyle w:val="ListParagraph"/>
        <w:numPr>
          <w:ilvl w:val="0"/>
          <w:numId w:val="3"/>
        </w:numPr>
        <w:spacing w:after="100"/>
      </w:pPr>
      <w:r>
        <w:rPr>
          <w:b/>
          <w:bCs/>
        </w:rPr>
        <w:t xml:space="preserve">Objeciones por servicio </w:t>
      </w:r>
      <w:r>
        <w:t xml:space="preserve">(</w:t>
      </w:r>
      <w:r>
        <w:rPr>
          <w:i/>
          <w:iCs/>
          <w:color w:val="595959"/>
        </w:rPr>
        <w:t xml:space="preserve">per Serhant</w:t>
      </w:r>
      <w:r>
        <w:t xml:space="preserve">): “está lejos / no conozco al constructor” se responde con dato + decisión abierta, nunca con presión.</w:t>
      </w:r>
    </w:p>
    <w:p>
      <w:pPr>
        <w:pStyle w:val="ListParagraph"/>
        <w:numPr>
          <w:ilvl w:val="0"/>
          <w:numId w:val="3"/>
        </w:numPr>
        <w:spacing w:after="100"/>
      </w:pPr>
      <w:r>
        <w:rPr>
          <w:b/>
          <w:bCs/>
        </w:rPr>
        <w:t xml:space="preserve">Ética declarada </w:t>
      </w:r>
      <w:r>
        <w:t xml:space="preserve">(</w:t>
      </w:r>
      <w:r>
        <w:rPr>
          <w:i/>
          <w:iCs/>
          <w:color w:val="595959"/>
        </w:rPr>
        <w:t xml:space="preserve">per Nate Herk</w:t>
      </w:r>
      <w:r>
        <w:t xml:space="preserve">): el agente se presenta como IA con transferencia a humano disponible.</w:t>
      </w:r>
    </w:p>
    <w:p>
      <w:pPr>
        <w:pStyle w:val="ListParagraph"/>
        <w:numPr>
          <w:ilvl w:val="0"/>
          <w:numId w:val="3"/>
        </w:numPr>
        <w:spacing w:after="100"/>
      </w:pPr>
      <w:r>
        <w:rPr>
          <w:b/>
          <w:bCs/>
        </w:rPr>
        <w:t xml:space="preserve">Costo WhatsApp </w:t>
      </w:r>
      <w:r>
        <w:t xml:space="preserve">(tesis Senales-Brain, alta): Meta cobra conversaciones desde oct-2026 — el COGS por conversación entra al modelo desde ahora.</w:t>
      </w:r>
    </w:p>
    <w:p>
      <w:pPr>
        <w:pStyle w:val="Heading2"/>
      </w:pPr>
      <w:r>
        <w:t xml:space="preserve">6. La operación de pauta (congruente o no se hace)</w:t>
      </w:r>
    </w:p>
    <w:p>
      <w:pPr>
        <w:pStyle w:val="ListParagraph"/>
        <w:numPr>
          <w:ilvl w:val="0"/>
          <w:numId w:val="3"/>
        </w:numPr>
        <w:spacing w:after="100"/>
      </w:pPr>
      <w:r>
        <w:rPr>
          <w:b/>
          <w:bCs/>
        </w:rPr>
        <w:t xml:space="preserve">Targeting permitido: </w:t>
      </w:r>
      <w:r>
        <w:t xml:space="preserve">geo (eje Labrador–Bicentenario) + intención (keywords, interés declarado) + ejes económicos públicos (contenido BIESS). </w:t>
      </w:r>
      <w:r>
        <w:rPr>
          <w:b/>
          <w:bCs/>
          <w:color w:val="C62828"/>
        </w:rPr>
        <w:t xml:space="preserve">Nada más.</w:t>
      </w:r>
      <w:r>
        <w:t xml:space="preserve"> Ni edad, ni ingreso, ni familia, ni lookalikes — aunque la plataforma lo permita.</w:t>
      </w:r>
    </w:p>
    <w:p>
      <w:pPr>
        <w:pStyle w:val="ListParagraph"/>
        <w:numPr>
          <w:ilvl w:val="0"/>
          <w:numId w:val="3"/>
        </w:numPr>
        <w:spacing w:after="100"/>
      </w:pPr>
      <w:r>
        <w:rPr>
          <w:b/>
          <w:bCs/>
        </w:rPr>
        <w:t xml:space="preserve">Matriz de test de creativos </w:t>
      </w:r>
      <w:r>
        <w:t xml:space="preserve">(</w:t>
      </w:r>
      <w:r>
        <w:rPr>
          <w:i/>
          <w:iCs/>
          <w:color w:val="595959"/>
        </w:rPr>
        <w:t xml:space="preserve">per Nate Herk</w:t>
      </w:r>
      <w:r>
        <w:t xml:space="preserve">): variables permitidas = ángulo del inmueble/ubicación (“a X min medidos del Metro” vs “el Bicentenario como patio” vs “compra directa: el 3% es tuyo”). </w:t>
      </w:r>
      <w:r>
        <w:rPr>
          <w:b/>
          <w:bCs/>
          <w:color w:val="C62828"/>
        </w:rPr>
        <w:t xml:space="preserve">La variable “avatar/persona” se EXCLUYE del patrón.</w:t>
      </w:r>
    </w:p>
    <w:p>
      <w:pPr>
        <w:pStyle w:val="ListParagraph"/>
        <w:numPr>
          <w:ilvl w:val="0"/>
          <w:numId w:val="3"/>
        </w:numPr>
        <w:spacing w:after="100"/>
      </w:pPr>
      <w:r>
        <w:rPr>
          <w:b/>
          <w:bCs/>
        </w:rPr>
        <w:t xml:space="preserve">Gate humano antes de publicar </w:t>
      </w:r>
      <w:r>
        <w:t xml:space="preserve">(</w:t>
      </w:r>
      <w:r>
        <w:rPr>
          <w:i/>
          <w:iCs/>
          <w:color w:val="595959"/>
        </w:rPr>
        <w:t xml:space="preserve">per Nate Herk [WAT]</w:t>
      </w:r>
      <w:r>
        <w:t xml:space="preserve">): ningún creativo sale sin revisión. Renders rotulados como renders (análogo California AB 723 / “housefishing” NY).</w:t>
      </w:r>
    </w:p>
    <w:p>
      <w:pPr>
        <w:pStyle w:val="ListParagraph"/>
        <w:numPr>
          <w:ilvl w:val="0"/>
          <w:numId w:val="3"/>
        </w:numPr>
        <w:spacing w:after="100"/>
      </w:pPr>
      <w:r>
        <w:rPr>
          <w:b/>
          <w:bCs/>
        </w:rPr>
        <w:t xml:space="preserve">Checklist de compliance pre-lanzamiento </w:t>
      </w:r>
      <w:r>
        <w:t xml:space="preserve">(COMPLIANCE): copies y guiones contra la lista cerrada de prohibiciones ANTES de publicar — clasificador/checklist, no confianza en el prompt.</w:t>
      </w:r>
    </w:p>
    <w:p>
      <w:pPr>
        <w:pStyle w:val="ListParagraph"/>
        <w:numPr>
          <w:ilvl w:val="0"/>
          <w:numId w:val="3"/>
        </w:numPr>
        <w:spacing w:after="100"/>
      </w:pPr>
      <w:r>
        <w:rPr>
          <w:b/>
          <w:bCs/>
        </w:rPr>
        <w:t xml:space="preserve">Reporte dólar a dólar: </w:t>
      </w:r>
      <w:r>
        <w:t xml:space="preserve">cada dólar de pauta → canal → leads calificados → visitas. La transparencia del reporte ES la congruencia.</w:t>
      </w:r>
    </w:p>
    <w:p>
      <w:pPr>
        <w:pStyle w:val="Heading2"/>
      </w:pPr>
      <w:r>
        <w:t xml:space="preserve">7. Los NUNCA consolidados (las 4 fuentes coinciden)</w:t>
      </w:r>
    </w:p>
    <w:p>
      <w:pPr>
        <w:pStyle w:val="ListParagraph"/>
        <w:numPr>
          <w:ilvl w:val="0"/>
          <w:numId w:val="4"/>
        </w:numPr>
        <w:spacing w:after="100"/>
      </w:pPr>
      <w:r>
        <w:rPr>
          <w:b/>
          <w:bCs/>
          <w:color w:val="C62828"/>
        </w:rPr>
        <w:t xml:space="preserve">NUNCA </w:t>
      </w:r>
      <w:r>
        <w:t xml:space="preserve">Targeting/scoring por demografía o proxy (edad, familia, ingreso, zip, profesión, lookalike).</w:t>
      </w:r>
    </w:p>
    <w:p>
      <w:pPr>
        <w:pStyle w:val="ListParagraph"/>
        <w:numPr>
          <w:ilvl w:val="0"/>
          <w:numId w:val="4"/>
        </w:numPr>
        <w:spacing w:after="100"/>
      </w:pPr>
      <w:r>
        <w:rPr>
          <w:b/>
          <w:bCs/>
          <w:color w:val="C62828"/>
        </w:rPr>
        <w:t xml:space="preserve">NUNCA </w:t>
      </w:r>
      <w:r>
        <w:t xml:space="preserve">“Ideal para familias” / “zona segura para ti” / juicio de idoneidad grupal — el sistema mide y cita; el usuario juzga.</w:t>
      </w:r>
    </w:p>
    <w:p>
      <w:pPr>
        <w:pStyle w:val="ListParagraph"/>
        <w:numPr>
          <w:ilvl w:val="0"/>
          <w:numId w:val="4"/>
        </w:numPr>
        <w:spacing w:after="100"/>
      </w:pPr>
      <w:r>
        <w:rPr>
          <w:b/>
          <w:bCs/>
          <w:color w:val="C62828"/>
        </w:rPr>
        <w:t xml:space="preserve">NUNCA </w:t>
      </w:r>
      <w:r>
        <w:t xml:space="preserve">Escasez/urgencia fabricada (“última unidad”, frenesí de precio) — disponibilidad siempre literal y verificable.</w:t>
      </w:r>
    </w:p>
    <w:p>
      <w:pPr>
        <w:pStyle w:val="ListParagraph"/>
        <w:numPr>
          <w:ilvl w:val="0"/>
          <w:numId w:val="4"/>
        </w:numPr>
        <w:spacing w:after="100"/>
      </w:pPr>
      <w:r>
        <w:rPr>
          <w:b/>
          <w:bCs/>
          <w:color w:val="C62828"/>
        </w:rPr>
        <w:t xml:space="preserve">NUNCA </w:t>
      </w:r>
      <w:r>
        <w:t xml:space="preserve">Promesas de revalorización sin dato + rótulo (el patrón que excluyó a Cardone del vault).</w:t>
      </w:r>
    </w:p>
    <w:p>
      <w:pPr>
        <w:pStyle w:val="ListParagraph"/>
        <w:numPr>
          <w:ilvl w:val="0"/>
          <w:numId w:val="4"/>
        </w:numPr>
        <w:spacing w:after="100"/>
      </w:pPr>
      <w:r>
        <w:rPr>
          <w:b/>
          <w:bCs/>
          <w:color w:val="C62828"/>
        </w:rPr>
        <w:t xml:space="preserve">NUNCA </w:t>
      </w:r>
      <w:r>
        <w:t xml:space="preserve">Score público de “deseabilidad” del barrio (= redlining algorítmico).</w:t>
      </w:r>
    </w:p>
    <w:p>
      <w:pPr>
        <w:pStyle w:val="ListParagraph"/>
        <w:numPr>
          <w:ilvl w:val="0"/>
          <w:numId w:val="4"/>
        </w:numPr>
        <w:spacing w:after="100"/>
      </w:pPr>
      <w:r>
        <w:rPr>
          <w:b/>
          <w:bCs/>
          <w:color w:val="C62828"/>
        </w:rPr>
        <w:t xml:space="preserve">NUNCA </w:t>
      </w:r>
      <w:r>
        <w:t xml:space="preserve">Cifras de terceros como propias (el “3x” de Sierra tiene sesgo de autoselección; claims de vendor se citan rotulados o no se usan).</w:t>
      </w:r>
    </w:p>
    <w:p>
      <w:pPr>
        <w:pStyle w:val="ListParagraph"/>
        <w:numPr>
          <w:ilvl w:val="0"/>
          <w:numId w:val="4"/>
        </w:numPr>
        <w:spacing w:after="100"/>
      </w:pPr>
      <w:r>
        <w:rPr>
          <w:b/>
          <w:bCs/>
          <w:color w:val="C62828"/>
        </w:rPr>
        <w:t xml:space="preserve">NUNCA </w:t>
      </w:r>
      <w:r>
        <w:t xml:space="preserve">Screening de personas (antecedentes/scoring crediticio propio — anti-patrón MOB). Elegibilidad financiera SOLO vía reglas públicas (BIESS).</w:t>
      </w:r>
    </w:p>
    <w:p>
      <w:pPr>
        <w:pStyle w:val="ListParagraph"/>
        <w:numPr>
          <w:ilvl w:val="0"/>
          <w:numId w:val="4"/>
        </w:numPr>
        <w:spacing w:after="100"/>
      </w:pPr>
      <w:r>
        <w:rPr>
          <w:b/>
          <w:bCs/>
          <w:color w:val="C62828"/>
        </w:rPr>
        <w:t xml:space="preserve">NUNCA </w:t>
      </w:r>
      <w:r>
        <w:t xml:space="preserve">Mezclar proveniencia: medido ≠ estimación ≠ verificado por corredor — siempre rotulado.</w:t>
      </w:r>
    </w:p>
    <w:p>
      <w:pPr>
        <w:pStyle w:val="Heading2"/>
      </w:pPr>
      <w:r>
        <w:t xml:space="preserve">8. Backlog accionable (orden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00"/>
        <w:gridCol w:w="3460"/>
      </w:tblGrid>
      <w:tr>
        <w:trPr>
          <w:tblHeader/>
        </w:trPr>
        <w:tc>
          <w:tcPr>
            <w:tcW w:type="dxa" w:w="600"/>
            <w:tcBorders>
              <w:top w:val="single" w:color="CCCCCC" w:sz="1"/>
              <w:left w:val="single" w:color="CCCCCC" w:sz="1"/>
              <w:bottom w:val="single" w:color="CCCCCC" w:sz="1"/>
              <w:right w:val="single" w:color="CCCCCC" w:sz="1"/>
            </w:tcBorders>
            <w:shd w:fill="D7ECEA" w:val="clear"/>
            <w:tcMar>
              <w:top w:type="dxa" w:w="80"/>
              <w:left w:type="dxa" w:w="120"/>
              <w:bottom w:type="dxa" w:w="80"/>
              <w:right w:type="dxa" w:w="120"/>
            </w:tcMar>
          </w:tcPr>
          <w:p>
            <w:pPr>
              <w:spacing w:after="0"/>
            </w:pPr>
            <w:r>
              <w:rPr>
                <w:b/>
                <w:bCs/>
              </w:rPr>
              <w:t xml:space="preserve">#</w:t>
            </w:r>
          </w:p>
        </w:tc>
        <w:tc>
          <w:tcPr>
            <w:tcW w:type="dxa" w:w="5300"/>
            <w:tcBorders>
              <w:top w:val="single" w:color="CCCCCC" w:sz="1"/>
              <w:left w:val="single" w:color="CCCCCC" w:sz="1"/>
              <w:bottom w:val="single" w:color="CCCCCC" w:sz="1"/>
              <w:right w:val="single" w:color="CCCCCC" w:sz="1"/>
            </w:tcBorders>
            <w:shd w:fill="D7ECEA" w:val="clear"/>
            <w:tcMar>
              <w:top w:type="dxa" w:w="80"/>
              <w:left w:type="dxa" w:w="120"/>
              <w:bottom w:type="dxa" w:w="80"/>
              <w:right w:type="dxa" w:w="120"/>
            </w:tcMar>
          </w:tcPr>
          <w:p>
            <w:pPr>
              <w:spacing w:after="0"/>
            </w:pPr>
            <w:r>
              <w:rPr>
                <w:b/>
                <w:bCs/>
              </w:rPr>
              <w:t xml:space="preserve">Acción</w:t>
            </w:r>
          </w:p>
        </w:tc>
        <w:tc>
          <w:tcPr>
            <w:tcW w:type="dxa" w:w="3460"/>
            <w:tcBorders>
              <w:top w:val="single" w:color="CCCCCC" w:sz="1"/>
              <w:left w:val="single" w:color="CCCCCC" w:sz="1"/>
              <w:bottom w:val="single" w:color="CCCCCC" w:sz="1"/>
              <w:right w:val="single" w:color="CCCCCC" w:sz="1"/>
            </w:tcBorders>
            <w:shd w:fill="D7ECEA" w:val="clear"/>
            <w:tcMar>
              <w:top w:type="dxa" w:w="80"/>
              <w:left w:type="dxa" w:w="120"/>
              <w:bottom w:type="dxa" w:w="80"/>
              <w:right w:type="dxa" w:w="120"/>
            </w:tcMar>
          </w:tcPr>
          <w:p>
            <w:pPr>
              <w:spacing w:after="0"/>
            </w:pPr>
            <w:r>
              <w:rPr>
                <w:b/>
                <w:bCs/>
              </w:rPr>
              <w:t xml:space="preserve">Fuente que la respalda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Preguntar al promotor por su lista de interesados previos (reactivación ~$0)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color w:val="595959"/>
              </w:rPr>
              <w:t xml:space="preserve">Nate Herk + Keller Bullseye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Página citable del proyecto (Increment A) + specs machine-readable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color w:val="595959"/>
              </w:rPr>
              <w:t xml:space="preserve">Canon + Google vía Peña + Anastasova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Diseñar el flujo de calificación del agente (fricción + 3P + encaje relativo)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color w:val="595959"/>
              </w:rPr>
              <w:t xml:space="preserve">Hormozi/Serhant + Increment 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Verificación en terreno del eje (isócronas peatonales reales, con mandato firmado)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color w:val="595959"/>
              </w:rPr>
              <w:t xml:space="preserve">Senales geo-datos + canon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 magnet “tu trayecto desde MAKLO” + guía del sector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color w:val="595959"/>
              </w:rPr>
              <w:t xml:space="preserve">Hormozi imán (ámbar)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6</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Matriz de creativos (sin avatar) + checklist compliance + gate humano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color w:val="595959"/>
              </w:rPr>
              <w:t xml:space="preserve">Nate Herk + COMPLIANCE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7</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Reporte del eje El Labrador (jugada Corcoran de autoridad citable)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color w:val="595959"/>
              </w:rPr>
              <w:t xml:space="preserve">Corcoran (verde)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8</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Verificar condiciones BIESS en fuente oficial → contenido “¿tu cuota te alcanza?”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color w:val="595959"/>
              </w:rPr>
              <w:t xml:space="preserve">Senales (verificación primaria pendiente)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Modelar COGS WhatsApp en el presupuesto de operación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i/>
                <w:iCs/>
                <w:color w:val="595959"/>
              </w:rPr>
              <w:t xml:space="preserve">Senales tesis canales alquilados</w:t>
            </w:r>
          </w:p>
        </w:tc>
      </w:tr>
    </w:tbl>
    <w:p>
      <w:pPr>
        <w:spacing w:after="60"/>
      </w:pPr>
    </w:p>
    <w:p>
      <w:pPr>
        <w:pBdr>
          <w:bottom w:val="single" w:color="0F766E" w:sz="6" w:space="1"/>
        </w:pBdr>
        <w:spacing w:after="200"/>
      </w:pPr>
    </w:p>
    <w:p>
      <w:pPr>
        <w:pBdr>
          <w:left w:val="single" w:color="0F766E" w:sz="12" w:space="8"/>
        </w:pBdr>
        <w:spacing w:after="140"/>
        <w:ind w:left="360"/>
      </w:pPr>
      <w:r>
        <w:rPr>
          <w:i/>
          <w:iCs/>
        </w:rPr>
        <w:t xml:space="preserve">La demanda de MAKLO se construye con la misma alma que el producto: círculos de confianza antes que pauta fría, oferta que baja fricción real en vez de inflar promesas, una página que la IA cite porque es la única fuente verdadera del edificio, y un agente que responde en segundos con datos que se pueden auditar. Congruencia total: </w:t>
      </w:r>
      <w:r>
        <w:rPr>
          <w:b/>
          <w:bCs/>
        </w:rPr>
        <w:t xml:space="preserve">encontramos al cliente ideal por lo que busca, jamás por quién 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DEMANDA MAKLO · Playbook interno · Contexto AI</w:t>
    </w:r>
    <w:r>
      <w:rPr>
        <w:sz w:val="18"/>
        <w:szCs w:val="18"/>
      </w:rPr>
      <w:t xml:space="preserve">	</w:t>
    </w:r>
    <w:r>
      <w:rPr>
        <w:color w:val="808080"/>
        <w:sz w:val="18"/>
        <w:szCs w:val="18"/>
      </w:rPr>
      <w:t xml:space="preserve">Pág.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2026-07-14T01:37:19.151Z</dcterms:created>
  <dcterms:modified xsi:type="dcterms:W3CDTF">2026-07-14T01:37:19.151Z</dcterms:modified>
</cp:coreProperties>
</file>

<file path=docProps/custom.xml><?xml version="1.0" encoding="utf-8"?>
<Properties xmlns="http://schemas.openxmlformats.org/officeDocument/2006/custom-properties" xmlns:vt="http://schemas.openxmlformats.org/officeDocument/2006/docPropsVTypes"/>
</file>