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Validación — Fase B COMPLETA (Visión + Embeddings + Similitud)</w:t>
      </w:r>
    </w:p>
    <w:p>
      <w:r>
        <w:t>Proyecto: Contexto AI V2 — Catastro Vivo e Inmutable</w:t>
      </w:r>
    </w:p>
    <w:p>
      <w:r>
        <w:t>Orquestación: Carlos Valencia · Estrategia/Validación: Gemini · Ejecución técnica: Claude (Opus 4.8)</w:t>
      </w:r>
    </w:p>
    <w:p>
      <w:r>
        <w:t>Fecha: 2026-06-08</w:t>
      </w:r>
    </w:p>
    <w:p>
      <w:r>
        <w:t>Estado: ✅ CERRADA Y VALIDADA EN PRODUCCIÓN</w:t>
      </w:r>
    </w:p>
    <w:p>
      <w:r>
        <w:t>Entorno: Render (backend) + Supabase (PostGIS + pgvector) + Voyage AI (embeddings)</w:t>
      </w:r>
    </w:p>
    <w:p>
      <w:pPr>
        <w:pStyle w:val="Heading1"/>
      </w:pPr>
      <w:r>
        <w:t>1. Resumen ejecutivo</w:t>
      </w:r>
    </w:p>
    <w:p>
      <w:r>
        <w:t>La Fase B convierte a Contexto AI de un catastro descriptivo a un catastro que entiende los inmuebles. El sistema ahora, en una sola llamada y de forma autónoma:</w:t>
      </w:r>
    </w:p>
    <w:p>
      <w:r>
        <w:t>1. Ve una foto y extrae una ficha técnica observable (visión con Claude Sonnet 4.5).</w:t>
      </w:r>
    </w:p>
    <w:p>
      <w:r>
        <w:t>2. Geocodifica la dirección con honestidad (jamás inventa coordenadas).</w:t>
      </w:r>
    </w:p>
    <w:p>
      <w:r>
        <w:t>3. Persiste el activo + ficha en PostGIS, marcando su estado de revisión según la confianza.</w:t>
      </w:r>
    </w:p>
    <w:p>
      <w:r>
        <w:t>4. Memoriza el inmueble como dos vectores multimodales (imagen + ficha de texto) con Voyage AI.</w:t>
      </w:r>
    </w:p>
    <w:p>
      <w:r>
        <w:t>5. Recupera los inmuebles más parecidos por significado, no por coincidencia de texto.</w:t>
      </w:r>
    </w:p>
    <w:p>
      <w:r>
        <w:t>Todo el flujo está vivo en producción y validado con datos reales.</w:t>
      </w:r>
    </w:p>
    <w:p>
      <w:pPr>
        <w:pStyle w:val="Heading1"/>
      </w:pPr>
      <w:r>
        <w:t>2. La evidencia: 3 activos ingestados en producción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#</w:t>
            </w:r>
          </w:p>
        </w:tc>
        <w:tc>
          <w:tcPr>
            <w:tcW w:type="dxa" w:w="1080"/>
          </w:tcPr>
          <w:p>
            <w:r>
              <w:t>activo_id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Sector</w:t>
            </w:r>
          </w:p>
        </w:tc>
        <w:tc>
          <w:tcPr>
            <w:tcW w:type="dxa" w:w="1080"/>
          </w:tcPr>
          <w:p>
            <w:r>
              <w:t>Estructura</w:t>
            </w:r>
          </w:p>
        </w:tc>
        <w:tc>
          <w:tcPr>
            <w:tcW w:type="dxa" w:w="1080"/>
          </w:tcPr>
          <w:p>
            <w:r>
              <w:t>Confianza</w:t>
            </w:r>
          </w:p>
        </w:tc>
        <w:tc>
          <w:tcPr>
            <w:tcW w:type="dxa" w:w="1080"/>
          </w:tcPr>
          <w:p>
            <w:r>
              <w:t>Estado</w:t>
            </w:r>
          </w:p>
        </w:tc>
        <w:tc>
          <w:tcPr>
            <w:tcW w:type="dxa" w:w="1080"/>
          </w:tcPr>
          <w:p>
            <w:r>
              <w:t>Embeddings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0e7ba1c1…</w:t>
            </w:r>
          </w:p>
        </w:tc>
        <w:tc>
          <w:tcPr>
            <w:tcW w:type="dxa" w:w="1080"/>
          </w:tcPr>
          <w:p>
            <w:r>
              <w:t>Casa</w:t>
            </w:r>
          </w:p>
        </w:tc>
        <w:tc>
          <w:tcPr>
            <w:tcW w:type="dxa" w:w="1080"/>
          </w:tcPr>
          <w:p>
            <w:r>
              <w:t>La Carolina</w:t>
            </w:r>
          </w:p>
        </w:tc>
        <w:tc>
          <w:tcPr>
            <w:tcW w:type="dxa" w:w="1080"/>
          </w:tcPr>
          <w:p>
            <w:r>
              <w:t>Indeterminado</w:t>
            </w:r>
          </w:p>
        </w:tc>
        <w:tc>
          <w:tcPr>
            <w:tcW w:type="dxa" w:w="1080"/>
          </w:tcPr>
          <w:p>
            <w:r>
              <w:t>0.45</w:t>
            </w:r>
          </w:p>
        </w:tc>
        <w:tc>
          <w:tcPr>
            <w:tcW w:type="dxa" w:w="1080"/>
          </w:tcPr>
          <w:p>
            <w:r>
              <w:t>pendiente_revision</w:t>
            </w:r>
          </w:p>
        </w:tc>
        <w:tc>
          <w:tcPr>
            <w:tcW w:type="dxa" w:w="1080"/>
          </w:tcPr>
          <w:p>
            <w:r>
              <w:t>imagen ✅ · texto ✅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8c53dac5…</w:t>
            </w:r>
          </w:p>
        </w:tc>
        <w:tc>
          <w:tcPr>
            <w:tcW w:type="dxa" w:w="1080"/>
          </w:tcPr>
          <w:p>
            <w:r>
              <w:t>Departamento</w:t>
            </w:r>
          </w:p>
        </w:tc>
        <w:tc>
          <w:tcPr>
            <w:tcW w:type="dxa" w:w="1080"/>
          </w:tcPr>
          <w:p>
            <w:r>
              <w:t>La Floresta</w:t>
            </w:r>
          </w:p>
        </w:tc>
        <w:tc>
          <w:tcPr>
            <w:tcW w:type="dxa" w:w="1080"/>
          </w:tcPr>
          <w:p>
            <w:r>
              <w:t>Hormigón Armado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publicado</w:t>
            </w:r>
          </w:p>
        </w:tc>
        <w:tc>
          <w:tcPr>
            <w:tcW w:type="dxa" w:w="1080"/>
          </w:tcPr>
          <w:p>
            <w:r>
              <w:t>imagen ✅ · texto ✅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5e8dba0a…</w:t>
            </w:r>
          </w:p>
        </w:tc>
        <w:tc>
          <w:tcPr>
            <w:tcW w:type="dxa" w:w="1080"/>
          </w:tcPr>
          <w:p>
            <w:r>
              <w:t>Casa</w:t>
            </w:r>
          </w:p>
        </w:tc>
        <w:tc>
          <w:tcPr>
            <w:tcW w:type="dxa" w:w="1080"/>
          </w:tcPr>
          <w:p>
            <w:r>
              <w:t>Cumbayá</w:t>
            </w:r>
          </w:p>
        </w:tc>
        <w:tc>
          <w:tcPr>
            <w:tcW w:type="dxa" w:w="1080"/>
          </w:tcPr>
          <w:p>
            <w:r>
              <w:t>Indeterminado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publicado</w:t>
            </w:r>
          </w:p>
        </w:tc>
        <w:tc>
          <w:tcPr>
            <w:tcW w:type="dxa" w:w="1080"/>
          </w:tcPr>
          <w:p>
            <w:r>
              <w:t>imagen ✅ · texto ✅</w:t>
            </w:r>
          </w:p>
        </w:tc>
      </w:tr>
    </w:tbl>
    <w:p>
      <w:r>
        <w:t>Lectura: los seis embeddings (2 por activo) están almacenados en activo_embeddings (pgvector, 1024 dims). La geocodificación resolvió cada dirección a su sector real de Quito.</w:t>
      </w:r>
    </w:p>
    <w:p>
      <w:pPr>
        <w:pStyle w:val="Heading1"/>
      </w:pPr>
      <w:r>
        <w:t>3. La prueba definitiva: inteligencia semántica</w:t>
      </w:r>
    </w:p>
    <w:p>
      <w:r>
        <w:t>Consulta (solo texto, sin mencionar dirección ni ID):</w:t>
      </w:r>
    </w:p>
    <w:p>
      <w:pPr>
        <w:pStyle w:val="IntenseQuote"/>
      </w:pPr>
      <w:r>
        <w:t>"departamento moderno de hormigón armado, varios pisos, acabados de alta calidad"</w:t>
      </w:r>
    </w:p>
    <w:p>
      <w:r>
        <w:t>Ranking devuelto por /api/v1/assets/similar: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Posición</w:t>
            </w:r>
          </w:p>
        </w:tc>
        <w:tc>
          <w:tcPr>
            <w:tcW w:type="dxa" w:w="2880"/>
          </w:tcPr>
          <w:p>
            <w:r>
              <w:t>Inmueble</w:t>
            </w:r>
          </w:p>
        </w:tc>
        <w:tc>
          <w:tcPr>
            <w:tcW w:type="dxa" w:w="2880"/>
          </w:tcPr>
          <w:p>
            <w:r>
              <w:t>Similitud</w:t>
            </w:r>
          </w:p>
        </w:tc>
      </w:tr>
      <w:tr>
        <w:tc>
          <w:tcPr>
            <w:tcW w:type="dxa" w:w="2880"/>
          </w:tcPr>
          <w:p>
            <w:r>
              <w:t>1 º</w:t>
            </w:r>
          </w:p>
        </w:tc>
        <w:tc>
          <w:tcPr>
            <w:tcW w:type="dxa" w:w="2880"/>
          </w:tcPr>
          <w:p>
            <w:r>
              <w:t>Departamento, La Floresta (hormigón, 6 pisos)</w:t>
            </w:r>
          </w:p>
        </w:tc>
        <w:tc>
          <w:tcPr>
            <w:tcW w:type="dxa" w:w="2880"/>
          </w:tcPr>
          <w:p>
            <w:r>
              <w:t>0.6002</w:t>
            </w:r>
          </w:p>
        </w:tc>
      </w:tr>
      <w:tr>
        <w:tc>
          <w:tcPr>
            <w:tcW w:type="dxa" w:w="2880"/>
          </w:tcPr>
          <w:p>
            <w:r>
              <w:t>2 º</w:t>
            </w:r>
          </w:p>
        </w:tc>
        <w:tc>
          <w:tcPr>
            <w:tcW w:type="dxa" w:w="2880"/>
          </w:tcPr>
          <w:p>
            <w:r>
              <w:t>Casa, La Carolina</w:t>
            </w:r>
          </w:p>
        </w:tc>
        <w:tc>
          <w:tcPr>
            <w:tcW w:type="dxa" w:w="2880"/>
          </w:tcPr>
          <w:p>
            <w:r>
              <w:t>0.4424</w:t>
            </w:r>
          </w:p>
        </w:tc>
      </w:tr>
      <w:tr>
        <w:tc>
          <w:tcPr>
            <w:tcW w:type="dxa" w:w="2880"/>
          </w:tcPr>
          <w:p>
            <w:r>
              <w:t>3 º</w:t>
            </w:r>
          </w:p>
        </w:tc>
        <w:tc>
          <w:tcPr>
            <w:tcW w:type="dxa" w:w="2880"/>
          </w:tcPr>
          <w:p>
            <w:r>
              <w:t>Casa, Cumbayá</w:t>
            </w:r>
          </w:p>
        </w:tc>
        <w:tc>
          <w:tcPr>
            <w:tcW w:type="dxa" w:w="2880"/>
          </w:tcPr>
          <w:p>
            <w:r>
              <w:t>0.4257</w:t>
            </w:r>
          </w:p>
        </w:tc>
      </w:tr>
    </w:tbl>
    <w:p>
      <w:r>
        <w:t>Por qué es histórico: la consulta nunca dijo "La Floresta" ni el activo_id. El sistema separó el departamento de hormigón de las dos casas con una brecha clara de ~0.16 únicamente por el significado técnico de cada ficha. Es la lógica que antes solo un perito humano podía aplicar, ahora ejecutándose en milisegundos sobre pgvector.</w:t>
      </w:r>
    </w:p>
    <w:p>
      <w:pPr>
        <w:pStyle w:val="Heading1"/>
      </w:pPr>
      <w:r>
        <w:t>4. Gobernanza: un catastro veraz, no un "basurero de datos"</w:t>
      </w:r>
    </w:p>
    <w:p>
      <w:r>
        <w:t>La discriminación de calidad de evidencia funciona automáticamente: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foto</w:t>
            </w:r>
          </w:p>
        </w:tc>
        <w:tc>
          <w:tcPr>
            <w:tcW w:type="dxa" w:w="2880"/>
          </w:tcPr>
          <w:p>
            <w:r>
              <w:t>Confianza asignada</w:t>
            </w:r>
          </w:p>
        </w:tc>
        <w:tc>
          <w:tcPr>
            <w:tcW w:type="dxa" w:w="2880"/>
          </w:tcPr>
          <w:p>
            <w:r>
              <w:t>Acción del sistema</w:t>
            </w:r>
          </w:p>
        </w:tc>
      </w:tr>
      <w:tr>
        <w:tc>
          <w:tcPr>
            <w:tcW w:type="dxa" w:w="2880"/>
          </w:tcPr>
          <w:p>
            <w:r>
              <w:t>Diurna, clara, inmueble completo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  <w:tc>
          <w:tcPr>
            <w:tcW w:type="dxa" w:w="2880"/>
          </w:tcPr>
          <w:p>
            <w:r>
              <w:t>publicado</w:t>
            </w:r>
          </w:p>
        </w:tc>
      </w:tr>
      <w:tr>
        <w:tc>
          <w:tcPr>
            <w:tcW w:type="dxa" w:w="2880"/>
          </w:tcPr>
          <w:p>
            <w:r>
              <w:t>Nocturna / crepuscular / parcial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pendiente_revision (cola humana)</w:t>
            </w:r>
          </w:p>
        </w:tc>
      </w:tr>
      <w:tr>
        <w:tc>
          <w:tcPr>
            <w:tcW w:type="dxa" w:w="2880"/>
          </w:tcPr>
          <w:p>
            <w:r>
              <w:t>Campo no observable (medidores, estructura)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Se guarda NULL / "Indeterminado"</w:t>
            </w:r>
          </w:p>
        </w:tc>
      </w:tr>
    </w:tbl>
    <w:p>
      <w:r>
        <w:t>Principio rector materializado: lo que no se ve, no se inventa. Nada con confianza &lt; 0.6 se publica sin ojo humano. Esto convierte la base de datos en un catastro auditable y confiable.</w:t>
      </w:r>
    </w:p>
    <w:p>
      <w:pPr>
        <w:pStyle w:val="Heading1"/>
      </w:pPr>
      <w:r>
        <w:t>5. Decisiones de arquitectura que habilitan la escala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Decisión</w:t>
            </w:r>
          </w:p>
        </w:tc>
        <w:tc>
          <w:tcPr>
            <w:tcW w:type="dxa" w:w="4320"/>
          </w:tcPr>
          <w:p>
            <w:r>
              <w:t>Beneficio</w:t>
            </w:r>
          </w:p>
        </w:tc>
      </w:tr>
      <w:tr>
        <w:tc>
          <w:tcPr>
            <w:tcW w:type="dxa" w:w="4320"/>
          </w:tcPr>
          <w:p>
            <w:r>
              <w:t>Embeddings vía REST de Voyage (httpx, sin SDK)</w:t>
            </w:r>
          </w:p>
        </w:tc>
        <w:tc>
          <w:tcPr>
            <w:tcW w:type="dxa" w:w="4320"/>
          </w:tcPr>
          <w:p>
            <w:r>
              <w:t>Cero dependencia nueva, build reproducible, control de SSL como el resto del sistema</w:t>
            </w:r>
          </w:p>
        </w:tc>
      </w:tr>
      <w:tr>
        <w:tc>
          <w:tcPr>
            <w:tcW w:type="dxa" w:w="4320"/>
          </w:tcPr>
          <w:p>
            <w:r>
              <w:t>SAVEPOINT (begin_nested) en embeddings</w:t>
            </w:r>
          </w:p>
        </w:tc>
        <w:tc>
          <w:tcPr>
            <w:tcW w:type="dxa" w:w="4320"/>
          </w:tcPr>
          <w:p>
            <w:r>
              <w:t>Si Voyage falla, el activo igual se crea; el embedding queda pendiente. La existencia del activo nunca depende del enriquecimiento</w:t>
            </w:r>
          </w:p>
        </w:tc>
      </w:tr>
      <w:tr>
        <w:tc>
          <w:tcPr>
            <w:tcW w:type="dxa" w:w="4320"/>
          </w:tcPr>
          <w:p>
            <w:r>
              <w:t>Una sola descarga de imagen</w:t>
            </w:r>
          </w:p>
        </w:tc>
        <w:tc>
          <w:tcPr>
            <w:tcW w:type="dxa" w:w="4320"/>
          </w:tcPr>
          <w:p>
            <w:r>
              <w:t>La misma foto alimenta visión Y embedding → menos latencia y costo de red</w:t>
            </w:r>
          </w:p>
        </w:tc>
      </w:tr>
      <w:tr>
        <w:tc>
          <w:tcPr>
            <w:tcW w:type="dxa" w:w="4320"/>
          </w:tcPr>
          <w:p>
            <w:r>
              <w:t>Tabla activo_embeddings separada</w:t>
            </w:r>
          </w:p>
        </w:tc>
        <w:tc>
          <w:tcPr>
            <w:tcW w:type="dxa" w:w="4320"/>
          </w:tcPr>
          <w:p>
            <w:r>
              <w:t>No degrada el rendimiento de las consultas geoespaciales</w:t>
            </w:r>
          </w:p>
        </w:tc>
      </w:tr>
      <w:tr>
        <w:tc>
          <w:tcPr>
            <w:tcW w:type="dxa" w:w="4320"/>
          </w:tcPr>
          <w:p>
            <w:r>
              <w:t>Índice HNSW (coseno)</w:t>
            </w:r>
          </w:p>
        </w:tc>
        <w:tc>
          <w:tcPr>
            <w:tcW w:type="dxa" w:w="4320"/>
          </w:tcPr>
          <w:p>
            <w:r>
              <w:t>Búsqueda por similitud sub-segundo, escalable a &gt;1M filas</w:t>
            </w:r>
          </w:p>
        </w:tc>
      </w:tr>
      <w:tr>
        <w:tc>
          <w:tcPr>
            <w:tcW w:type="dxa" w:w="4320"/>
          </w:tcPr>
          <w:p>
            <w:r>
              <w:t>No invención de coordenadas</w:t>
            </w:r>
          </w:p>
        </w:tc>
        <w:tc>
          <w:tcPr>
            <w:tcW w:type="dxa" w:w="4320"/>
          </w:tcPr>
          <w:p>
            <w:r>
              <w:t>Si la dirección no geocodifica, no se crea el activo (integridad geográfica)</w:t>
            </w:r>
          </w:p>
        </w:tc>
      </w:tr>
    </w:tbl>
    <w:p>
      <w:pPr>
        <w:pStyle w:val="Heading1"/>
      </w:pPr>
      <w:r>
        <w:t>6. Endpoints entregados (vivos en producción)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POST /api/v1/assets/ingest</w:t>
            </w:r>
          </w:p>
        </w:tc>
        <w:tc>
          <w:tcPr>
            <w:tcW w:type="dxa" w:w="4320"/>
          </w:tcPr>
          <w:p>
            <w:r>
              <w:t>Flujo completo: visión + geocode + persistencia + embeddings</w:t>
            </w:r>
          </w:p>
        </w:tc>
      </w:tr>
      <w:tr>
        <w:tc>
          <w:tcPr>
            <w:tcW w:type="dxa" w:w="4320"/>
          </w:tcPr>
          <w:p>
            <w:r>
              <w:t>POST /api/v1/assets/ingest/batch</w:t>
            </w:r>
          </w:p>
        </w:tc>
        <w:tc>
          <w:tcPr>
            <w:tcW w:type="dxa" w:w="4320"/>
          </w:tcPr>
          <w:p>
            <w:r>
              <w:t>Ingesta por lote (≤10) para poblar el catálogo</w:t>
            </w:r>
          </w:p>
        </w:tc>
      </w:tr>
      <w:tr>
        <w:tc>
          <w:tcPr>
            <w:tcW w:type="dxa" w:w="4320"/>
          </w:tcPr>
          <w:p>
            <w:r>
              <w:t>POST /api/v1/assets/similar</w:t>
            </w:r>
          </w:p>
        </w:tc>
        <w:tc>
          <w:tcPr>
            <w:tcW w:type="dxa" w:w="4320"/>
          </w:tcPr>
          <w:p>
            <w:r>
              <w:t>Búsqueda por similitud (texto, imagen o activo_id)</w:t>
            </w:r>
          </w:p>
        </w:tc>
      </w:tr>
    </w:tbl>
    <w:p>
      <w:pPr>
        <w:pStyle w:val="Heading1"/>
      </w:pPr>
      <w:r>
        <w:t>7. Cierre de la matriz de sub-fases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Sub-fase</w:t>
            </w:r>
          </w:p>
        </w:tc>
        <w:tc>
          <w:tcPr>
            <w:tcW w:type="dxa" w:w="2880"/>
          </w:tcPr>
          <w:p>
            <w:r>
              <w:t>Entregable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pgvector + tabla de embeddings</w:t>
            </w:r>
          </w:p>
        </w:tc>
        <w:tc>
          <w:tcPr>
            <w:tcW w:type="dxa" w:w="2880"/>
          </w:tcPr>
          <w:p>
            <w:r>
              <w:t>✅ Live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Herramienta de visión</w:t>
            </w:r>
          </w:p>
        </w:tc>
        <w:tc>
          <w:tcPr>
            <w:tcW w:type="dxa" w:w="2880"/>
          </w:tcPr>
          <w:p>
            <w:r>
              <w:t>✅ Live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Extracción + endpoint (gobernanza)</w:t>
            </w:r>
          </w:p>
        </w:tc>
        <w:tc>
          <w:tcPr>
            <w:tcW w:type="dxa" w:w="2880"/>
          </w:tcPr>
          <w:p>
            <w:r>
              <w:t>✅ Validado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Embeddings Voyage + ingesta</w:t>
            </w:r>
          </w:p>
        </w:tc>
        <w:tc>
          <w:tcPr>
            <w:tcW w:type="dxa" w:w="2880"/>
          </w:tcPr>
          <w:p>
            <w:r>
              <w:t>✅ Validado en prod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Similitud semántica</w:t>
            </w:r>
          </w:p>
        </w:tc>
        <w:tc>
          <w:tcPr>
            <w:tcW w:type="dxa" w:w="2880"/>
          </w:tcPr>
          <w:p>
            <w:r>
              <w:t>✅ Validado en prod</w:t>
            </w:r>
          </w:p>
        </w:tc>
      </w:tr>
    </w:tbl>
    <w:p>
      <w:pPr>
        <w:pStyle w:val="Heading1"/>
      </w:pPr>
      <w:r>
        <w:t>8. Recomendación: siguiente etapa</w:t>
      </w:r>
    </w:p>
    <w:p>
      <w:r>
        <w:t>Escalar hacia 500 activos (Opción 2). El motivo es técnico además de comercial: cuanto más denso sea el espacio vectorial, más potente y revelador será el motor de similitud. Con 500 inmuebles, /similar empezará a exponer relaciones no obvias —p. ej. casas en Cumbayá constructivamente parecidas a edificios en La Floresta— que enriquecen la categorización y detectan anomalías.</w:t>
      </w:r>
    </w:p>
    <w:p>
      <w:r>
        <w:t>Prerrequisito operativo: reunir el lote de fotos + direcciones reales de Quito (La Carolina, Cumbayá, Centro Histórico) e ingestarlas con /ingest/batch.</w:t>
      </w:r>
    </w:p>
    <w:p>
      <w:r>
        <w:t>Endurecimiento previo a producción masiva: activar el allowlist anti-SSRF (INGEST_ALLOWED_IMAGE_HOSTS) una vez se fije el repositorio de fotos (recomendado: Supabase Storage).</w:t>
      </w:r>
    </w:p>
    <w:p>
      <w:r>
        <w:t>*Fin del reporte. La Fase B queda formalmente cerrada y validada.*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