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— Operación de demanda MAKLO (capa Meta)</w:t>
      </w:r>
    </w:p>
    <w:p>
      <w:r>
        <w:rPr>
          <w:b/>
        </w:rPr>
        <w:t>2026-07-26 · Contexto AI · Detalle operativo del Módulo C</w:t>
      </w:r>
      <w:r>
        <w:t xml:space="preserve"> de [</w:t>
      </w:r>
      <w:r>
        <w:rPr>
          <w:rFonts w:ascii="Consolas" w:hAnsi="Consolas"/>
          <w:color w:val="1F6FEB"/>
          <w:sz w:val="19"/>
        </w:rPr>
        <w:t>PROPUESTA_Alcance_Contexto_MAKLO.md</w:t>
      </w:r>
      <w:r>
        <w:t>](PROPUESTA_Alcance_Contexto_MAKLO.md)</w:t>
      </w:r>
    </w:p>
    <w:p>
      <w:r>
        <w:rPr>
          <w:b/>
        </w:rPr>
        <w:t>Hereda íntegro</w:t>
      </w:r>
      <w:r>
        <w:t xml:space="preserve"> el playbook [</w:t>
      </w:r>
      <w:r>
        <w:rPr>
          <w:rFonts w:ascii="Consolas" w:hAnsi="Consolas"/>
          <w:color w:val="1F6FEB"/>
          <w:sz w:val="19"/>
        </w:rPr>
        <w:t>DEMANDA_MAKLO_Playbook.md</w:t>
      </w:r>
      <w:r>
        <w:t>](DEMANDA_MAKLO_Playbook.md) (jerarquía de demanda, NUNCA §7) y los candados de [</w:t>
      </w:r>
      <w:r>
        <w:rPr>
          <w:rFonts w:ascii="Consolas" w:hAnsi="Consolas"/>
          <w:color w:val="1F6FEB"/>
          <w:sz w:val="19"/>
        </w:rPr>
        <w:t>COMPLIANCE_FairHousing_AgentSpec_2026-06-23.md</w:t>
      </w:r>
      <w:r>
        <w:t>](COMPLIANCE_FairHousing_AgentSpec_2026-06-23.md).</w:t>
      </w:r>
    </w:p>
    <w:p>
      <w:pPr>
        <w:pStyle w:val="IntenseQuote"/>
      </w:pPr>
      <w:r>
        <w:rPr>
          <w:b/>
        </w:rPr>
        <w:t>Estado: diseño, no ejecución.</w:t>
      </w:r>
      <w:r>
        <w:t xml:space="preserve"> Nada de esto se lanza hasta </w:t>
      </w:r>
      <w:r>
        <w:rPr>
          <w:b/>
        </w:rPr>
        <w:t>mandato firmado + presupuesto de medios de MAKLO en su cuenta</w:t>
      </w:r>
      <w:r>
        <w:t>. Ver §0.</w:t>
      </w:r>
    </w:p>
    <w:p>
      <w:pPr>
        <w:pStyle w:val="Heading1"/>
      </w:pPr>
      <w:r>
        <w:t>0. Las tres condiciones previas (ninguna es negociable)</w:t>
      </w:r>
    </w:p>
    <w:p>
      <w:pPr>
        <w:pStyle w:val="ListNumber"/>
      </w:pPr>
      <w:r>
        <w:rPr>
          <w:b/>
        </w:rPr>
        <w:t>Mandato firmado.</w:t>
      </w:r>
      <w:r>
        <w:t xml:space="preserve"> MAKLO no existe públicamente en ningún canal antes de eso.</w:t>
      </w:r>
    </w:p>
    <w:p>
      <w:pPr>
        <w:pStyle w:val="ListNumber"/>
      </w:pPr>
      <w:r>
        <w:rPr>
          <w:b/>
        </w:rPr>
        <w:t>Presupuesto de pauta del promotor confirmado</w:t>
      </w:r>
      <w:r>
        <w:t xml:space="preserve"> (regla de mesa #3: sin presupuesto de demanda no hay mandato).</w:t>
      </w:r>
    </w:p>
    <w:p>
      <w:pPr>
        <w:pStyle w:val="ListNumber"/>
      </w:pPr>
      <w:r>
        <w:rPr>
          <w:b/>
        </w:rPr>
        <w:t>Círculos internos auditados primero.</w:t>
      </w:r>
      <w:r>
        <w:t xml:space="preserve"> La pauta es el círculo 4 — se dimensiona *después* de saber qué hay en los internos. Eso también es más barato para ellos, y es congruencia, no cortesía.</w:t>
      </w:r>
    </w:p>
    <w:p>
      <w:r>
        <w:rPr>
          <w:b/>
        </w:rPr>
        <w:t>Orden de activación (Bullseye, per Keller — el retorno cae del centro hacia afuera):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Círculo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Costo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Acción concreta MAKLO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Reactivación</w:t>
            </w:r>
          </w:p>
        </w:tc>
        <w:tc>
          <w:tcPr>
            <w:tcW w:type="dxa" w:w="2160"/>
          </w:tcPr>
          <w:p>
            <w:r/>
            <w:r>
              <w:t>~$0</w:t>
            </w:r>
          </w:p>
        </w:tc>
        <w:tc>
          <w:tcPr>
            <w:tcW w:type="dxa" w:w="2160"/>
          </w:tcPr>
          <w:p>
            <w:r/>
            <w:r>
              <w:t xml:space="preserve">Lista de interesados del proyecto 1 que no compraron. </w:t>
            </w:r>
            <w:r>
              <w:rPr>
                <w:b/>
              </w:rPr>
              <w:t>Primera pregunta de la mesa.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Esferas y aliados</w:t>
            </w:r>
          </w:p>
        </w:tc>
        <w:tc>
          <w:tcPr>
            <w:tcW w:type="dxa" w:w="2160"/>
          </w:tcPr>
          <w:p>
            <w:r/>
            <w:r>
              <w:t>~$0</w:t>
            </w:r>
          </w:p>
        </w:tc>
        <w:tc>
          <w:tcPr>
            <w:tcW w:type="dxa" w:w="2160"/>
          </w:tcPr>
          <w:p>
            <w:r/>
            <w:r>
              <w:t>Contactos del promotor + comercios/gremios del eje Labrador–Bicentenario.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Orgánico / citable</w:t>
            </w:r>
          </w:p>
        </w:tc>
        <w:tc>
          <w:tcPr>
            <w:tcW w:type="dxa" w:w="2160"/>
          </w:tcPr>
          <w:p>
            <w:r/>
            <w:r>
              <w:t>bajo</w:t>
            </w:r>
          </w:p>
        </w:tc>
        <w:tc>
          <w:tcPr>
            <w:tcW w:type="dxa" w:w="2160"/>
          </w:tcPr>
          <w:p>
            <w:r/>
            <w:r>
              <w:t>Página citable del proyecto (</w:t>
            </w:r>
            <w:r>
              <w:rPr>
                <w:rFonts w:ascii="Consolas" w:hAnsi="Consolas"/>
                <w:color w:val="1F6FEB"/>
                <w:sz w:val="19"/>
              </w:rPr>
              <w:t>/quito/metro-el-labrador/maklo/</w:t>
            </w:r>
            <w:r>
              <w:t>) + reporte del sector.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Pauta pagada</w:t>
            </w:r>
          </w:p>
        </w:tc>
        <w:tc>
          <w:tcPr>
            <w:tcW w:type="dxa" w:w="2160"/>
          </w:tcPr>
          <w:p>
            <w:r/>
            <w:r>
              <w:t>presupuesto MAKLO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Amplifica lo que ya convierte.</w:t>
            </w:r>
            <w:r>
              <w:t xml:space="preserve"> Nunca es la base.</w:t>
            </w:r>
          </w:p>
        </w:tc>
      </w:tr>
    </w:tbl>
    <w:p>
      <w:pPr>
        <w:pStyle w:val="Heading1"/>
      </w:pPr>
      <w:r>
        <w:t>1. Estructura de cuentas (llevarla decidida)</w:t>
      </w:r>
    </w:p>
    <w:p>
      <w:r>
        <w:rPr>
          <w:b/>
        </w:rPr>
        <w:t>MAKLO es dueño de:</w:t>
      </w:r>
      <w:r>
        <w:t xml:space="preserve"> la cuenta publicitaria, el píxel/dataset, el método de pago, y su página de Facebook/Instagram.</w:t>
      </w:r>
    </w:p>
    <w:p>
      <w:r>
        <w:rPr>
          <w:b/>
        </w:rPr>
        <w:t>Contexto entra como:</w:t>
      </w:r>
      <w:r>
        <w:t xml:space="preserve"> socio operador con acceso vía Business Manager — diseña, ejecuta, optimiza y reporta.</w:t>
      </w:r>
    </w:p>
    <w:p>
      <w:r>
        <w:rPr>
          <w:b/>
        </w:rPr>
        <w:t>Al terminar el mandato:</w:t>
      </w:r>
      <w:r>
        <w:t xml:space="preserve"> la cuenta, el histórico y el aprendizaje del píxel </w:t>
      </w:r>
      <w:r>
        <w:rPr>
          <w:b/>
        </w:rPr>
        <w:t>se quedan con MAKLO</w:t>
      </w:r>
      <w:r>
        <w:t>. Contexto retira su acceso.</w:t>
      </w:r>
    </w:p>
    <w:p>
      <w:r>
        <w:rPr>
          <w:b/>
        </w:rPr>
        <w:t>Por qué así:</w:t>
      </w:r>
      <w:r>
        <w:t xml:space="preserve"> su tarjeta y su gasto (congruente con "no financiamos la pauta"); refuerza la portabilidad; el píxel no es nuestro foso; y nos saca de administrar dinero ajeno.</w:t>
      </w:r>
    </w:p>
    <w:p>
      <w:pPr>
        <w:pStyle w:val="IntenseQuote"/>
      </w:pPr>
      <w:r>
        <w:t xml:space="preserve">⚠️ </w:t>
      </w:r>
      <w:r>
        <w:rPr>
          <w:b/>
        </w:rPr>
        <w:t>Gap propio a resolver antes de operar:</w:t>
      </w:r>
      <w:r>
        <w:t xml:space="preserve"> la cuenta de negocio </w:t>
      </w:r>
      <w:r>
        <w:rPr>
          <w:rFonts w:ascii="Consolas" w:hAnsi="Consolas"/>
          <w:color w:val="1F6FEB"/>
          <w:sz w:val="19"/>
        </w:rPr>
        <w:t>Whaber</w:t>
      </w:r>
      <w:r>
        <w:t xml:space="preserve"> está </w:t>
      </w:r>
      <w:r>
        <w:rPr>
          <w:b/>
        </w:rPr>
        <w:t>cerrada</w:t>
      </w:r>
      <w:r>
        <w:t xml:space="preserve"> y la única activa no tiene business asignado. Hay que constituir el Business Manager de Contexto para poder recibir el acceso de socio con orden.</w:t>
      </w:r>
    </w:p>
    <w:p>
      <w:pPr>
        <w:pStyle w:val="Heading1"/>
      </w:pPr>
      <w:r>
        <w:t>2. Segmentación: lo permitido y lo prohibido</w:t>
      </w:r>
    </w:p>
    <w:p>
      <w:r>
        <w:rPr>
          <w:b/>
        </w:rPr>
        <w:t>Permitido (y nada más):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Eje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Cómo se usa en MAKLO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Geo</w:t>
            </w:r>
          </w:p>
        </w:tc>
        <w:tc>
          <w:tcPr>
            <w:tcW w:type="dxa" w:w="4320"/>
          </w:tcPr>
          <w:p>
            <w:r/>
            <w:r>
              <w:t>Radio sobre el eje Labrador–Bicentenario–La Concepción + Quito ciudad para el ángulo de movilidad.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Intención declarada</w:t>
            </w:r>
          </w:p>
        </w:tc>
        <w:tc>
          <w:tcPr>
            <w:tcW w:type="dxa" w:w="4320"/>
          </w:tcPr>
          <w:p>
            <w:r/>
            <w:r>
              <w:t>Interés en el proyecto, búsqueda de vivienda/inversión, interacción previa con el storefront (retargeting de visitantes propios).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Ejes económicos públicos</w:t>
            </w:r>
          </w:p>
        </w:tc>
        <w:tc>
          <w:tcPr>
            <w:tcW w:type="dxa" w:w="4320"/>
          </w:tcPr>
          <w:p>
            <w:r/>
            <w:r>
              <w:t xml:space="preserve">Contenido sobre elegibilidad </w:t>
            </w:r>
            <w:r>
              <w:rPr>
                <w:b/>
              </w:rPr>
              <w:t>BIESS</w:t>
            </w:r>
            <w:r>
              <w:t xml:space="preserve"> — regla estatal publicada; navegar elegibilidad pública es Fair-Housing-seguro por diseño. ⚠️ Verificar condiciones en fuente oficial BIESS antes de citar cifras.</w:t>
            </w:r>
          </w:p>
        </w:tc>
      </w:tr>
    </w:tbl>
    <w:p>
      <w:r>
        <w:rPr>
          <w:b/>
        </w:rPr>
        <w:t>Prohibido — aunque la plataforma lo permita</w:t>
      </w:r>
      <w:r>
        <w:t xml:space="preserve"> (NUNCA §7 del playbook; precedentes HUD v. Facebook 2019, NFHA v. Redfin 2020):</w:t>
      </w:r>
    </w:p>
    <w:p>
      <w:r>
        <w:t xml:space="preserve">❌ Edad · ❌ Género · ❌ Ingreso · ❌ Composición familiar o "etapa de vida" · ❌ Profesión · ❌ Zip/barrio premium como proxy · ❌ </w:t>
      </w:r>
      <w:r>
        <w:rPr>
          <w:b/>
        </w:rPr>
        <w:t>Lookalikes de compradores previos</w:t>
      </w:r>
      <w:r>
        <w:t xml:space="preserve"> (arrastran proxies protegidos) · ❌ Intereses que funcionen como proxy demográfico.</w:t>
      </w:r>
    </w:p>
    <w:p>
      <w:pPr>
        <w:pStyle w:val="IntenseQuote"/>
      </w:pPr>
      <w:r>
        <w:rPr>
          <w:b/>
        </w:rPr>
        <w:t>El punto de marca:</w:t>
      </w:r>
      <w:r>
        <w:t xml:space="preserve"> esto no lo hacemos porque una ley nos obligue en Ecuador — lo hacemos </w:t>
      </w:r>
      <w:r>
        <w:rPr>
          <w:b/>
        </w:rPr>
        <w:t>por construcción</w:t>
      </w:r>
      <w:r>
        <w:t>. Es lo que nos permite decirle al comprador que no lo perfilamos, y sostenerlo.</w:t>
      </w:r>
    </w:p>
    <w:p>
      <w:pPr>
        <w:pStyle w:val="Heading2"/>
      </w:pPr>
      <w:r>
        <w:t>✅ VERIFICADO (2026-07-26, documentación oficial): en Ecuador **ninguna plataforma nos restringe**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Pregunta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Respuesta oficial</w:t>
            </w:r>
          </w:p>
        </w:tc>
      </w:tr>
      <w:tr>
        <w:tc>
          <w:tcPr>
            <w:tcW w:type="dxa" w:w="4320"/>
          </w:tcPr>
          <w:p>
            <w:r/>
            <w:r>
              <w:t xml:space="preserve">¿Meta exige la </w:t>
            </w:r>
            <w:r>
              <w:rPr>
                <w:b/>
              </w:rPr>
              <w:t>categoría especial de Vivienda</w:t>
            </w:r>
            <w:r>
              <w:t xml:space="preserve"> para campañas a Ecuador?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NO.</w:t>
            </w:r>
            <w:r>
              <w:t xml:space="preserve"> Se exige solo si *"eres un anunciante en Estados Unidos"* o *"tu audiencia objetivo está en Estados Unidos, Canadá o ciertas partes de Europa"* (lista de ~48 países/territorios europeos). </w:t>
            </w:r>
            <w:r>
              <w:rPr>
                <w:b/>
              </w:rPr>
              <w:t>Ningún país de LATAM aparece.</w:t>
            </w:r>
            <w:r>
              <w:t xml:space="preserve"> — [Meta: about ads for housing](https://www.facebook.com/business/help/1198401317374558)</w:t>
            </w:r>
          </w:p>
        </w:tc>
      </w:tr>
      <w:tr>
        <w:tc>
          <w:tcPr>
            <w:tcW w:type="dxa" w:w="4320"/>
          </w:tcPr>
          <w:p>
            <w:r/>
            <w:r>
              <w:t>¿Google restringe la segmentación de vivienda en Ecuador?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NO.</w:t>
            </w:r>
            <w:r>
              <w:t xml:space="preserve"> *"This update applies to all housing, employment, and credit ads serving in the United States and Canada."* — [Google Ads Policy FAQ](https://support.google.com/adspolicy/answer/9997418)</w:t>
            </w:r>
          </w:p>
        </w:tc>
      </w:tr>
      <w:tr>
        <w:tc>
          <w:tcPr>
            <w:tcW w:type="dxa" w:w="4320"/>
          </w:tcPr>
          <w:p>
            <w:r/>
            <w:r>
              <w:t xml:space="preserve">¿Google prohíbe segmentar/excluir por </w:t>
            </w:r>
            <w:r>
              <w:rPr>
                <w:b/>
              </w:rPr>
              <w:t>ingreso del hogar</w:t>
            </w:r>
            <w:r>
              <w:t xml:space="preserve"> en vivienda?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NO.</w:t>
            </w:r>
            <w:r>
              <w:t xml:space="preserve"> "Household Income" figura entre las opciones </w:t>
            </w:r>
            <w:r>
              <w:rPr>
                <w:b/>
              </w:rPr>
              <w:t>sin restricción</w:t>
            </w:r>
            <w:r>
              <w:t>. Lo restringido es edad, género, estado parental, estado civil y códigos postales completos.</w:t>
            </w:r>
          </w:p>
        </w:tc>
      </w:tr>
    </w:tbl>
    <w:p>
      <w:r>
        <w:rPr>
          <w:b/>
        </w:rPr>
        <w:t>Dos consecuencias, una buena y una que define nuestra postura:</w:t>
      </w:r>
    </w:p>
    <w:p>
      <w:pPr>
        <w:pStyle w:val="ListNumber"/>
      </w:pPr>
      <w:r>
        <w:rPr>
          <w:b/>
        </w:rPr>
        <w:t>Operativa (buena):</w:t>
      </w:r>
      <w:r>
        <w:t xml:space="preserve"> al no aplicar la categoría especial, </w:t>
      </w:r>
      <w:r>
        <w:rPr>
          <w:b/>
        </w:rPr>
        <w:t>no hay radio geográfico mínimo forzado</w:t>
      </w:r>
      <w:r>
        <w:t>. El targeting hiperlocal del eje Labrador–Bicentenario está plenamente disponible. *(El riesgo que este anexo marcaba antes queda descartado.)*</w:t>
      </w:r>
    </w:p>
    <w:p>
      <w:pPr>
        <w:pStyle w:val="ListNumber"/>
      </w:pPr>
      <w:r>
        <w:rPr>
          <w:b/>
        </w:rPr>
        <w:t>De marca (la que importa):</w:t>
      </w:r>
      <w:r>
        <w:t xml:space="preserve"> </w:t>
      </w:r>
      <w:r>
        <w:rPr>
          <w:b/>
        </w:rPr>
        <w:t>la plataforma no nos protege — el único candado es el nuestro.</w:t>
      </w:r>
      <w:r>
        <w:t xml:space="preserve"> En Ecuador podríamos segmentar por edad, ingreso estimado o composición familiar sin que nadie lo impida. La prohibición del §2 es, por tanto, </w:t>
      </w:r>
      <w:r>
        <w:rPr>
          <w:b/>
        </w:rPr>
        <w:t>política propia de Contexto</w:t>
      </w:r>
      <w:r>
        <w:t>, no cumplimiento normativo.</w:t>
      </w:r>
    </w:p>
    <w:p>
      <w:pPr>
        <w:pStyle w:val="IntenseQuote"/>
      </w:pPr>
      <w:r>
        <w:t xml:space="preserve">⚠️ </w:t>
      </w:r>
      <w:r>
        <w:rPr>
          <w:b/>
        </w:rPr>
        <w:t>Cómo se dice esto (y cómo NO):</w:t>
      </w:r>
      <w:r>
        <w:t xml:space="preserve"> nunca afirmar que estas prácticas son *ilegales* en Ecuador — no lo son, y un abogado lo verifica en cinco minutos. Se dice: *"Meta y Google restringen esto en EE.UU. y Europa; aquí no. Podríamos hacerlo y sería válido. Elegimos no hacerlo."* La honestidad de asteriscos aplica también a los argumentos de compliance: un argumento inflado se cae y se lleva la credibilidad con él.</w:t>
      </w:r>
    </w:p>
    <w:p>
      <w:pPr>
        <w:pStyle w:val="Heading2"/>
      </w:pPr>
      <w:r>
        <w:t>Actualizaciones de plataforma evaluadas (2026-07-26)</w:t>
      </w:r>
    </w:p>
    <w:p>
      <w:r>
        <w:t xml:space="preserve">Reportadas *per* Thomas Eccel y Bram Van der Hallen (LinkedIn, 2026) — </w:t>
      </w:r>
      <w:r>
        <w:rPr>
          <w:b/>
        </w:rPr>
        <w:t>no verificadas en documentación oficial</w:t>
      </w:r>
      <w:r>
        <w:t>; el veredicto es nuestro y no depende de que existan.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Función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Veredicto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Razón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Audiencias solo-de-exclusión</w:t>
            </w:r>
            <w:r>
              <w:t xml:space="preserve"> (Meta)</w:t>
            </w:r>
          </w:p>
        </w:tc>
        <w:tc>
          <w:tcPr>
            <w:tcW w:type="dxa" w:w="2880"/>
          </w:tcPr>
          <w:p>
            <w:r/>
            <w:r>
              <w:t xml:space="preserve">🟢 </w:t>
            </w:r>
            <w:r>
              <w:rPr>
                <w:b/>
              </w:rPr>
              <w:t>Adoptar, con candado</w:t>
            </w:r>
          </w:p>
        </w:tc>
        <w:tc>
          <w:tcPr>
            <w:tcW w:type="dxa" w:w="2880"/>
          </w:tcPr>
          <w:p>
            <w:r/>
            <w:r>
              <w:t xml:space="preserve">Excluir a quien ya compró o ya es lead activo es eficiencia, no discriminación: excluye por </w:t>
            </w:r>
            <w:r>
              <w:rPr>
                <w:b/>
              </w:rPr>
              <w:t>estado en el embudo</w:t>
            </w:r>
            <w:r>
              <w:t xml:space="preserve">, un hecho auditable. </w:t>
            </w:r>
            <w:r>
              <w:rPr>
                <w:b/>
              </w:rPr>
              <w:t>Candado: toda lista de exclusión debe poder explicarse con un evento del CRM, o no se sube.</w:t>
            </w:r>
            <w:r>
              <w:t xml:space="preserve"> Que sea irreversible (no convertible en audiencia de inclusión) es una ventaja de compliance.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pLTV / valor de vida predicho</w:t>
            </w:r>
            <w:r>
              <w:t xml:space="preserve"> (Meta)</w:t>
            </w:r>
          </w:p>
        </w:tc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Declinar</w:t>
            </w:r>
          </w:p>
        </w:tc>
        <w:tc>
          <w:tcPr>
            <w:tcW w:type="dxa" w:w="2880"/>
          </w:tcPr>
          <w:p>
            <w:r/>
            <w:r>
              <w:t xml:space="preserve">En vivienda, "optimizar hacia quien genera más valor" = optimizar hacia quien puede pagar más: es </w:t>
            </w:r>
            <w:r>
              <w:rPr>
                <w:b/>
              </w:rPr>
              <w:t>scoring de personas</w:t>
            </w:r>
            <w:r>
              <w:t xml:space="preserve"> (NUNCA §7.7) y un proxy de ingreso por la puerta de atrás. Además, para MAKLO ni siquiera aplica: un comprador de vivienda transacciona una vez por década — no hay "lifetime value" que predecir.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Exclusión por ingreso del hogar</w:t>
            </w:r>
            <w:r>
              <w:t xml:space="preserve"> (Google PMax)</w:t>
            </w:r>
          </w:p>
        </w:tc>
        <w:tc>
          <w:tcPr>
            <w:tcW w:type="dxa" w:w="2880"/>
          </w:tcPr>
          <w:p>
            <w:r/>
            <w:r>
              <w:t xml:space="preserve">🔴 </w:t>
            </w:r>
            <w:r>
              <w:rPr>
                <w:b/>
              </w:rPr>
              <w:t>Declinar</w:t>
            </w:r>
          </w:p>
        </w:tc>
        <w:tc>
          <w:tcPr>
            <w:tcW w:type="dxa" w:w="2880"/>
          </w:tcPr>
          <w:p>
            <w:r/>
            <w:r>
              <w:t xml:space="preserve">La plataforma lo permite (verificado arriba). Lo declinamos igual: el ingreso del hogar de la plataforma es una </w:t>
            </w:r>
            <w:r>
              <w:rPr>
                <w:b/>
              </w:rPr>
              <w:t>estimación inferida por un algoritmo</w:t>
            </w:r>
            <w:r>
              <w:t>, y excluir personas por un ingreso que alguien les supuso es exactamente el juicio sobre personas que este anexo prohíbe.</w:t>
            </w:r>
          </w:p>
        </w:tc>
      </w:tr>
      <w:tr>
        <w:tc>
          <w:tcPr>
            <w:tcW w:type="dxa" w:w="2880"/>
          </w:tcPr>
          <w:p>
            <w:r/>
            <w:r>
              <w:t>Atribución personalizada (Meta)</w:t>
            </w:r>
          </w:p>
        </w:tc>
        <w:tc>
          <w:tcPr>
            <w:tcW w:type="dxa" w:w="2880"/>
          </w:tcPr>
          <w:p>
            <w:r/>
            <w:r>
              <w:t>⚪ No aplica aún</w:t>
            </w:r>
          </w:p>
        </w:tc>
        <w:tc>
          <w:tcPr>
            <w:tcW w:type="dxa" w:w="2880"/>
          </w:tcPr>
          <w:p>
            <w:r/>
            <w:r>
              <w:t>Pensada para e-commerce; nuestra "compra" es offline y a meses.</w:t>
            </w:r>
          </w:p>
        </w:tc>
      </w:tr>
      <w:tr>
        <w:tc>
          <w:tcPr>
            <w:tcW w:type="dxa" w:w="2880"/>
          </w:tcPr>
          <w:p>
            <w:r/>
            <w:r>
              <w:t>Informe de marca / brand lift (Google)</w:t>
            </w:r>
          </w:p>
        </w:tc>
        <w:tc>
          <w:tcPr>
            <w:tcW w:type="dxa" w:w="2880"/>
          </w:tcPr>
          <w:p>
            <w:r/>
            <w:r>
              <w:t>🟢 Guardar</w:t>
            </w:r>
          </w:p>
        </w:tc>
        <w:tc>
          <w:tcPr>
            <w:tcW w:type="dxa" w:w="2880"/>
          </w:tcPr>
          <w:p>
            <w:r/>
            <w:r>
              <w:t xml:space="preserve">Útil para medir si el </w:t>
            </w:r>
            <w:r>
              <w:rPr>
                <w:b/>
              </w:rPr>
              <w:t>Canal de Aura</w:t>
            </w:r>
            <w:r>
              <w:t xml:space="preserve"> levanta búsquedas de marca. No aplica hasta que haya campaña de generación de demanda.</w:t>
            </w:r>
          </w:p>
        </w:tc>
      </w:tr>
      <w:tr>
        <w:tc>
          <w:tcPr>
            <w:tcW w:type="dxa" w:w="2880"/>
          </w:tcPr>
          <w:p>
            <w:r/>
            <w:r>
              <w:t>AI Performance Insights, Merchant Center (Google)</w:t>
            </w:r>
          </w:p>
        </w:tc>
        <w:tc>
          <w:tcPr>
            <w:tcW w:type="dxa" w:w="2880"/>
          </w:tcPr>
          <w:p>
            <w:r/>
            <w:r>
              <w:t>⚪ Señal, no herramienta</w:t>
            </w:r>
          </w:p>
        </w:tc>
        <w:tc>
          <w:tcPr>
            <w:tcW w:type="dxa" w:w="2880"/>
          </w:tcPr>
          <w:p>
            <w:r/>
            <w:r>
              <w:t>Confirma que las plataformas empiezan a reportar visibilidad en respuestas de IA — valida la apuesta de la capa citable. Pero es Shopping, no vivienda.</w:t>
            </w:r>
          </w:p>
        </w:tc>
      </w:tr>
    </w:tbl>
    <w:p>
      <w:pPr>
        <w:pStyle w:val="Heading1"/>
      </w:pPr>
      <w:r>
        <w:t>3. Destino: canal propio, nunca tierra rentada</w:t>
      </w:r>
    </w:p>
    <w:p>
      <w:r>
        <w:rPr>
          <w:b/>
        </w:rPr>
        <w:t>El tráfico va al storefront de MAKLO en su dominio</w:t>
      </w:r>
      <w:r>
        <w:t xml:space="preserve"> — no a un formulario nativo de Meta.</w:t>
      </w:r>
    </w:p>
    <w:p>
      <w:r>
        <w:t xml:space="preserve">Razón: un lead capturado dentro de Meta vive en Meta. En el storefront, el interesado conversa con el agente, </w:t>
      </w:r>
      <w:r>
        <w:rPr>
          <w:b/>
        </w:rPr>
        <w:t>se califica con la función pública y auditable</w:t>
      </w:r>
      <w:r>
        <w:t>, y el lead nace con contexto completo (qué preguntó, qué le importa, qué unidad miró). Eso es lo que hace que el lead valga — y es lo que la propuesta promete en el Módulo D.</w:t>
      </w:r>
    </w:p>
    <w:p>
      <w:r>
        <w:rPr>
          <w:b/>
        </w:rPr>
        <w:t>Medición:</w:t>
      </w:r>
      <w:r>
        <w:t xml:space="preserve"> el píxel de MAKLO registra el evento *inicio de conversación con el agente* como conversión; la calificación dura (pidió visita) vive en el CRM de Contexto y se reconcilia en el reporte semanal.</w:t>
      </w:r>
    </w:p>
    <w:p>
      <w:pPr>
        <w:pStyle w:val="Heading1"/>
      </w:pPr>
      <w:r>
        <w:t>4. Matriz de creativos — la variable "persona" está EXCLUIDA del patrón</w:t>
      </w:r>
    </w:p>
    <w:p>
      <w:r>
        <w:t xml:space="preserve">Se testea </w:t>
      </w:r>
      <w:r>
        <w:rPr>
          <w:b/>
        </w:rPr>
        <w:t>ángulo × formato</w:t>
      </w:r>
      <w:r>
        <w:t>. Nunca "avatar".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Ángulo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dice (todo con dato verificado)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prueba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 · Movilidad medida</w:t>
            </w:r>
          </w:p>
        </w:tc>
        <w:tc>
          <w:tcPr>
            <w:tcW w:type="dxa" w:w="2880"/>
          </w:tcPr>
          <w:p>
            <w:r/>
            <w:r>
              <w:t>"A X minutos caminando del Metro El Labrador — medidos, no estimados."</w:t>
            </w:r>
          </w:p>
        </w:tc>
        <w:tc>
          <w:tcPr>
            <w:tcW w:type="dxa" w:w="2880"/>
          </w:tcPr>
          <w:p>
            <w:r/>
            <w:r>
              <w:t>Si el dato verificado supera al adjetivo.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 · El entorno como patio</w:t>
            </w:r>
          </w:p>
        </w:tc>
        <w:tc>
          <w:tcPr>
            <w:tcW w:type="dxa" w:w="2880"/>
          </w:tcPr>
          <w:p>
            <w:r/>
            <w:r>
              <w:t>"El Bicentenario a X minutos a pie."</w:t>
            </w:r>
          </w:p>
        </w:tc>
        <w:tc>
          <w:tcPr>
            <w:tcW w:type="dxa" w:w="2880"/>
          </w:tcPr>
          <w:p>
            <w:r/>
            <w:r>
              <w:t>Si el lugar vende más que el inmueble.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 · Compra directa</w:t>
            </w:r>
          </w:p>
        </w:tc>
        <w:tc>
          <w:tcPr>
            <w:tcW w:type="dxa" w:w="2880"/>
          </w:tcPr>
          <w:p>
            <w:r/>
            <w:r>
              <w:t>"Compra directo del constructor. El costo de la intermediación es tu beneficio."</w:t>
            </w:r>
          </w:p>
        </w:tc>
        <w:tc>
          <w:tcPr>
            <w:tcW w:type="dxa" w:w="2880"/>
          </w:tcPr>
          <w:p>
            <w:r/>
            <w:r>
              <w:t>El diferencial estructural de MAKLO.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 · Adaptabilidad</w:t>
            </w:r>
          </w:p>
        </w:tc>
        <w:tc>
          <w:tcPr>
            <w:tcW w:type="dxa" w:w="2880"/>
          </w:tcPr>
          <w:p>
            <w:r/>
            <w:r>
              <w:t>"¿Necesitas un dormitorio más o un espacio de trabajo? Estas unidades se adaptan."</w:t>
            </w:r>
          </w:p>
        </w:tc>
        <w:tc>
          <w:tcPr>
            <w:tcW w:type="dxa" w:w="2880"/>
          </w:tcPr>
          <w:p>
            <w:r/>
            <w:r>
              <w:t>Intención declarada → encaje relativo.</w:t>
            </w:r>
          </w:p>
        </w:tc>
      </w:tr>
    </w:tbl>
    <w:p>
      <w:r>
        <w:rPr>
          <w:b/>
        </w:rPr>
        <w:t>Formatos:</w:t>
      </w:r>
      <w:r>
        <w:t xml:space="preserve"> video corto (aura del lugar) · imagen con dato sobreimpreso · carrusel de tipologías.</w:t>
      </w:r>
    </w:p>
    <w:p>
      <w:r>
        <w:rPr>
          <w:b/>
        </w:rPr>
        <w:t>Candados de creativo (no opcionales):</w:t>
      </w:r>
    </w:p>
    <w:p>
      <w:pPr>
        <w:pStyle w:val="ListBullet"/>
      </w:pPr>
      <w:r>
        <w:rPr>
          <w:b/>
        </w:rPr>
        <w:t>Renders rotulados como renders.</w:t>
      </w:r>
      <w:r>
        <w:t xml:space="preserve"> Análogo a California AB 723 / "housefishing" (NY). Un render presentado como foto es fraude descriptivo.</w:t>
      </w:r>
    </w:p>
    <w:p>
      <w:pPr>
        <w:pStyle w:val="ListBullet"/>
      </w:pPr>
      <w:r>
        <w:rPr>
          <w:b/>
        </w:rPr>
        <w:t>Cero escasez fabricada.</w:t>
      </w:r>
      <w:r>
        <w:t xml:space="preserve"> Nada de "última unidad" salvo que sea literal y verificable en el inventario ese día.</w:t>
      </w:r>
    </w:p>
    <w:p>
      <w:pPr>
        <w:pStyle w:val="ListBullet"/>
      </w:pPr>
      <w:r>
        <w:rPr>
          <w:b/>
        </w:rPr>
        <w:t>Cero promesa de revalorización</w:t>
      </w:r>
      <w:r>
        <w:t xml:space="preserve"> sin dato + fecha + fuente.</w:t>
      </w:r>
    </w:p>
    <w:p>
      <w:pPr>
        <w:pStyle w:val="ListBullet"/>
      </w:pPr>
      <w:r>
        <w:rPr>
          <w:b/>
        </w:rPr>
        <w:t>Gate humano antes de publicar.</w:t>
      </w:r>
      <w:r>
        <w:t xml:space="preserve"> Ningún creativo sale sin revisión — es el control que impide que un asset invente una cifra o se deslice a lenguaje demográfico.</w:t>
      </w:r>
    </w:p>
    <w:p>
      <w:pPr>
        <w:pStyle w:val="ListBullet"/>
      </w:pPr>
      <w:r>
        <w:rPr>
          <w:b/>
        </w:rPr>
        <w:t>El beneficio al comprador es público y uniforme.</w:t>
      </w:r>
      <w:r>
        <w:t xml:space="preserve"> El mismo % para todos, publicado. Los descuentos discrecionales persona a persona son la puerta trasera al trato desigual.</w:t>
      </w:r>
    </w:p>
    <w:p>
      <w:pPr>
        <w:pStyle w:val="Heading1"/>
      </w:pPr>
      <w:r>
        <w:t>5. Checklist de compliance pre-lanzamiento</w:t>
      </w:r>
    </w:p>
    <w:p>
      <w:r>
        <w:t xml:space="preserve">Se corre </w:t>
      </w:r>
      <w:r>
        <w:rPr>
          <w:b/>
        </w:rPr>
        <w:t>antes</w:t>
      </w:r>
      <w:r>
        <w:t xml:space="preserve"> de cada publicación, como lista cerrada — no como confianza en el criterio del momento.</w:t>
      </w:r>
    </w:p>
    <w:p>
      <w:pPr>
        <w:pStyle w:val="ListBullet"/>
      </w:pPr>
      <w:r>
        <w:t xml:space="preserve">[ ] ¿La segmentación usa </w:t>
      </w:r>
      <w:r>
        <w:rPr>
          <w:b/>
        </w:rPr>
        <w:t>solo</w:t>
      </w:r>
      <w:r>
        <w:t xml:space="preserve"> geo + intención + ejes económicos públicos?</w:t>
      </w:r>
    </w:p>
    <w:p>
      <w:pPr>
        <w:pStyle w:val="ListBullet"/>
      </w:pPr>
      <w:r>
        <w:t>[ ] ¿Cero lookalikes? ¿Cero intereses que funcionen como proxy demográfico?</w:t>
      </w:r>
    </w:p>
    <w:p>
      <w:pPr>
        <w:pStyle w:val="ListBullet"/>
      </w:pPr>
      <w:r>
        <w:t>[ ] ¿Ningún copy juzga idoneidad de grupo ("ideal para familias", "zona segura para ti")?</w:t>
      </w:r>
    </w:p>
    <w:p>
      <w:pPr>
        <w:pStyle w:val="ListBullet"/>
      </w:pPr>
      <w:r>
        <w:t>[ ] ¿Toda cifra tiene fuente y fecha? ¿Las estimaciones dicen que lo son?</w:t>
      </w:r>
    </w:p>
    <w:p>
      <w:pPr>
        <w:pStyle w:val="ListBullet"/>
      </w:pPr>
      <w:r>
        <w:t>[ ] ¿Los renders están rotulados como renders?</w:t>
      </w:r>
    </w:p>
    <w:p>
      <w:pPr>
        <w:pStyle w:val="ListBullet"/>
      </w:pPr>
      <w:r>
        <w:t>[ ] ¿Cero escasez o urgencia fabricada?</w:t>
      </w:r>
    </w:p>
    <w:p>
      <w:pPr>
        <w:pStyle w:val="ListBullet"/>
      </w:pPr>
      <w:r>
        <w:t>[ ] ¿El beneficio al comprador que se anuncia es el público y uniforme?</w:t>
      </w:r>
    </w:p>
    <w:p>
      <w:pPr>
        <w:pStyle w:val="ListBullet"/>
      </w:pPr>
      <w:r>
        <w:t>[ ] ¿Pasó el gate humano?</w:t>
      </w:r>
    </w:p>
    <w:p>
      <w:pPr>
        <w:pStyle w:val="ListBullet"/>
      </w:pPr>
      <w:r>
        <w:t>[ ] ¿La categoría especial de vivienda está declarada como corresponda (§2)?</w:t>
      </w:r>
    </w:p>
    <w:p>
      <w:pPr>
        <w:pStyle w:val="Heading1"/>
      </w:pPr>
      <w:r>
        <w:t>6. El reporte dólar a dólar (la congruencia hecha entregable)</w:t>
      </w:r>
    </w:p>
    <w:p>
      <w:r>
        <w:t>Cada semana, MAKLO ve la cadena completa — sin agregados que escondan:</w:t>
      </w:r>
    </w:p>
    <w:p>
      <w:r>
        <w:rPr>
          <w:rFonts w:ascii="Consolas" w:hAnsi="Consolas"/>
          <w:color w:val="1F6FEB"/>
          <w:sz w:val="18"/>
        </w:rPr>
        <w:t>Dólar de pauta → impresiones → clics al storefront → conversaciones con el agente</w:t>
        <w:br/>
        <w:t xml:space="preserve">   → leads calificados (función pública) → visitas agendadas → visitas confirmadas</w:t>
      </w:r>
    </w:p>
    <w:p>
      <w:r>
        <w:t>Y las tres cifras que gobiernan:</w:t>
      </w:r>
    </w:p>
    <w:p>
      <w:pPr>
        <w:pStyle w:val="ListBullet"/>
      </w:pPr>
      <w:r>
        <w:rPr>
          <w:b/>
        </w:rPr>
        <w:t>Costo por conversación</w:t>
      </w:r>
      <w:r>
        <w:t xml:space="preserve"> (incluye el COGS de WhatsApp — Meta cobra conversaciones respondidas desde 01-10-2026).</w:t>
      </w:r>
    </w:p>
    <w:p>
      <w:pPr>
        <w:pStyle w:val="ListBullet"/>
      </w:pPr>
      <w:r>
        <w:rPr>
          <w:b/>
        </w:rPr>
        <w:t>Costo por lead calificado</w:t>
      </w:r>
      <w:r>
        <w:t xml:space="preserve"> (señal dura: declaró intención + presupuesto y </w:t>
      </w:r>
      <w:r>
        <w:rPr>
          <w:b/>
        </w:rPr>
        <w:t>pidió visita</w:t>
      </w:r>
      <w:r>
        <w:t>).</w:t>
      </w:r>
    </w:p>
    <w:p>
      <w:pPr>
        <w:pStyle w:val="ListBullet"/>
      </w:pPr>
      <w:r>
        <w:rPr>
          <w:b/>
        </w:rPr>
        <w:t>Costo por visita confirmada</w:t>
      </w:r>
      <w:r>
        <w:t xml:space="preserve"> — el evento auditable al que se ancla cualquier componente variable.</w:t>
      </w:r>
    </w:p>
    <w:p>
      <w:pPr>
        <w:pStyle w:val="IntenseQuote"/>
      </w:pPr>
      <w:r>
        <w:rPr>
          <w:b/>
        </w:rPr>
        <w:t>Honestidad estructural:</w:t>
      </w:r>
      <w:r>
        <w:t xml:space="preserve"> también se reporta lo que </w:t>
      </w:r>
      <w:r>
        <w:rPr>
          <w:b/>
        </w:rPr>
        <w:t>no</w:t>
      </w:r>
      <w:r>
        <w:t xml:space="preserve"> funcionó. Un reporte que solo muestra lo bueno deja de ser un instrumento de decisión y se vuelve marketing.</w:t>
      </w:r>
    </w:p>
    <w:p>
      <w:pPr>
        <w:pStyle w:val="Heading1"/>
      </w:pPr>
      <w:r>
        <w:t>7. Dimensionamiento del presupuesto (método, no cifra)</w:t>
      </w:r>
    </w:p>
    <w:p>
      <w:r>
        <w:t xml:space="preserve">No se propone un número: se </w:t>
      </w:r>
      <w:r>
        <w:rPr>
          <w:b/>
        </w:rPr>
        <w:t>deriva</w:t>
      </w:r>
      <w:r>
        <w:t xml:space="preserve"> de los suyos.</w:t>
      </w:r>
    </w:p>
    <w:p>
      <w:pPr>
        <w:pStyle w:val="ListNumber"/>
      </w:pPr>
      <w:r>
        <w:rPr>
          <w:b/>
        </w:rPr>
        <w:t>Meta de ventas del período</w:t>
      </w:r>
      <w:r>
        <w:t xml:space="preserve"> (unidades/mes que necesitan mover).</w:t>
      </w:r>
    </w:p>
    <w:p>
      <w:pPr>
        <w:pStyle w:val="ListNumber"/>
      </w:pPr>
      <w:r>
        <w:t xml:space="preserve">÷ tasa visita→cierre </w:t>
      </w:r>
      <w:r>
        <w:rPr>
          <w:b/>
        </w:rPr>
        <w:t>de ellos</w:t>
      </w:r>
      <w:r>
        <w:t xml:space="preserve"> (dato del proyecto 1, se captura en la mesa).</w:t>
      </w:r>
    </w:p>
    <w:p>
      <w:pPr>
        <w:pStyle w:val="ListNumber"/>
      </w:pPr>
      <w:r>
        <w:t>÷ tasa lead→visita (hipótesis inicial, se mide desde la semana 1).</w:t>
      </w:r>
    </w:p>
    <w:p>
      <w:pPr>
        <w:pStyle w:val="ListNumber"/>
      </w:pPr>
      <w:r>
        <w:t xml:space="preserve">× costo por lead calificado (se </w:t>
      </w:r>
      <w:r>
        <w:rPr>
          <w:b/>
        </w:rPr>
        <w:t>mide</w:t>
      </w:r>
      <w:r>
        <w:t xml:space="preserve"> en las primeras 2 semanas; no se supone).</w:t>
      </w:r>
    </w:p>
    <w:p>
      <w:pPr>
        <w:pStyle w:val="ListNumber"/>
      </w:pPr>
      <w:r>
        <w:t xml:space="preserve">= presupuesto necesario. </w:t>
      </w:r>
      <w:r>
        <w:rPr>
          <w:b/>
        </w:rPr>
        <w:t>Se compara contra el sostenible</w:t>
      </w:r>
      <w:r>
        <w:t xml:space="preserve"> que ellos declaren.</w:t>
      </w:r>
    </w:p>
    <w:p>
      <w:r>
        <w:rPr>
          <w:b/>
        </w:rPr>
        <w:t>Si el necesario supera al sostenible</w:t>
      </w:r>
      <w:r>
        <w:t xml:space="preserve">, se dice en la mesa: o se ajusta la meta, o se ajusta el precio, o se trabaja más duro los círculos internos. Lo que </w:t>
      </w:r>
      <w:r>
        <w:rPr>
          <w:b/>
        </w:rPr>
        <w:t>no</w:t>
      </w:r>
      <w:r>
        <w:t xml:space="preserve"> se hace es prometer volumen que el presupuesto no compra.</w:t>
      </w:r>
    </w:p>
    <w:p>
      <w:r>
        <w:rPr>
          <w:b/>
        </w:rPr>
        <w:t>Fase de arranque:</w:t>
      </w:r>
      <w:r>
        <w:t xml:space="preserve"> presupuesto de aprendizaje acotado, 2 semanas, para medir el costo por lead real. Sin ese número, todo lo anterior es aritmética sobre supuestos.</w:t>
      </w:r>
    </w:p>
    <w:p>
      <w:pPr>
        <w:pStyle w:val="Heading1"/>
      </w:pPr>
      <w:r>
        <w:t>8. Lo que este anexo NO promete</w:t>
      </w:r>
    </w:p>
    <w:p>
      <w:pPr>
        <w:pStyle w:val="ListBullet"/>
      </w:pPr>
      <w:r>
        <w:rPr>
          <w:b/>
        </w:rPr>
        <w:t>No prometemos "vendido en X meses".</w:t>
      </w:r>
      <w:r>
        <w:t xml:space="preserve"> Prometemos un sistema que captura, califica y reporta de verdad.</w:t>
      </w:r>
    </w:p>
    <w:p>
      <w:pPr>
        <w:pStyle w:val="ListBullet"/>
      </w:pPr>
      <w:r>
        <w:rPr>
          <w:b/>
        </w:rPr>
        <w:t>No prometemos que la IA traerá el volumen.</w:t>
      </w:r>
      <w:r>
        <w:t xml:space="preserve"> Real estate es la industria menos visible en respuestas de IA (0,14% de AI Overviews; ~20% de compradores usó IA para buscar — *per* ESTUDIO_Adopcion, terceros). La capa citable es apuesta de foso y </w:t>
      </w:r>
      <w:r>
        <w:rPr>
          <w:b/>
        </w:rPr>
        <w:t>métrica de proceso</w:t>
      </w:r>
      <w:r>
        <w:t>, no canal de volumen inmediato. El volumen de corto plazo lo traen los círculos internos y la pauta.</w:t>
      </w:r>
    </w:p>
    <w:p>
      <w:pPr>
        <w:pStyle w:val="ListBullet"/>
      </w:pPr>
      <w:r>
        <w:rPr>
          <w:b/>
        </w:rPr>
        <w:t>No competimos por ser el anuncio más barato.</w:t>
      </w:r>
      <w:r>
        <w:t xml:space="preserve"> Competimos por ser el único que dice la verdad del lugar con proveniencia.</w:t>
      </w:r>
    </w:p>
    <w:p>
      <w:pPr>
        <w:pStyle w:val="IntenseQuote"/>
      </w:pPr>
      <w:r>
        <w:rPr>
          <w:b/>
        </w:rPr>
        <w:t>Cierre:</w:t>
      </w:r>
      <w:r>
        <w:t xml:space="preserve"> el mercado de Quito está pautando escasez fabricada y promesas sin dato. La operación de demanda de MAKLO gana no por gritar más fuerte, sino por ser </w:t>
      </w:r>
      <w:r>
        <w:rPr>
          <w:b/>
        </w:rPr>
        <w:t>el único anuncio que se puede verificar</w:t>
      </w:r>
      <w:r>
        <w:t xml:space="preserve"> — y por mandar ese tráfico a un canal propio donde un agente honesto lo califica. Congruencia total: encontramos al comprador por lo que busca, jamás por quién 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