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ANEXO — Operación de demanda MAKLO (capa Meta)</w:t>
      </w:r>
    </w:p>
    <w:p>
      <w:r>
        <w:rPr>
          <w:b/>
        </w:rPr>
        <w:t>2026-07-26 · Contexto AI · Detalle operativo del Módulo C</w:t>
      </w:r>
      <w:r>
        <w:t xml:space="preserve"> de [</w:t>
      </w:r>
      <w:r>
        <w:rPr>
          <w:rFonts w:ascii="Consolas" w:hAnsi="Consolas"/>
          <w:color w:val="1F6FEB"/>
          <w:sz w:val="19"/>
        </w:rPr>
        <w:t>PROPUESTA_Alcance_Contexto_MAKLO.md</w:t>
      </w:r>
      <w:r>
        <w:t>](PROPUESTA_Alcance_Contexto_MAKLO.md)</w:t>
      </w:r>
    </w:p>
    <w:p>
      <w:r>
        <w:rPr>
          <w:b/>
        </w:rPr>
        <w:t>Hereda íntegro</w:t>
      </w:r>
      <w:r>
        <w:t xml:space="preserve"> el playbook [</w:t>
      </w:r>
      <w:r>
        <w:rPr>
          <w:rFonts w:ascii="Consolas" w:hAnsi="Consolas"/>
          <w:color w:val="1F6FEB"/>
          <w:sz w:val="19"/>
        </w:rPr>
        <w:t>DEMANDA_MAKLO_Playbook.md</w:t>
      </w:r>
      <w:r>
        <w:t>](DEMANDA_MAKLO_Playbook.md) (jerarquía de demanda, NUNCA §7) y los candados de [</w:t>
      </w:r>
      <w:r>
        <w:rPr>
          <w:rFonts w:ascii="Consolas" w:hAnsi="Consolas"/>
          <w:color w:val="1F6FEB"/>
          <w:sz w:val="19"/>
        </w:rPr>
        <w:t>COMPLIANCE_FairHousing_AgentSpec_2026-06-23.md</w:t>
      </w:r>
      <w:r>
        <w:t>](COMPLIANCE_FairHousing_AgentSpec_2026-06-23.md).</w:t>
      </w:r>
    </w:p>
    <w:p>
      <w:pPr>
        <w:pStyle w:val="IntenseQuote"/>
      </w:pPr>
      <w:r>
        <w:rPr>
          <w:b/>
        </w:rPr>
        <w:t>Estado: diseño, no ejecución.</w:t>
      </w:r>
      <w:r>
        <w:t xml:space="preserve"> Nada de esto se lanza hasta </w:t>
      </w:r>
      <w:r>
        <w:rPr>
          <w:b/>
        </w:rPr>
        <w:t>mandato firmado + presupuesto de medios de MAKLO en su cuenta</w:t>
      </w:r>
      <w:r>
        <w:t>. Ver §0.</w:t>
      </w:r>
    </w:p>
    <w:p>
      <w:pPr>
        <w:pStyle w:val="Heading1"/>
      </w:pPr>
      <w:r>
        <w:t>0. Las tres condiciones previas (ninguna es negociable)</w:t>
      </w:r>
    </w:p>
    <w:p>
      <w:pPr>
        <w:pStyle w:val="ListNumber"/>
      </w:pPr>
      <w:r>
        <w:rPr>
          <w:b/>
        </w:rPr>
        <w:t>Mandato firmado.</w:t>
      </w:r>
      <w:r>
        <w:t xml:space="preserve"> MAKLO no existe públicamente en ningún canal antes de eso.</w:t>
      </w:r>
    </w:p>
    <w:p>
      <w:pPr>
        <w:pStyle w:val="ListNumber"/>
      </w:pPr>
      <w:r>
        <w:rPr>
          <w:b/>
        </w:rPr>
        <w:t>Presupuesto de pauta del promotor confirmado</w:t>
      </w:r>
      <w:r>
        <w:t xml:space="preserve"> (regla de mesa #3: sin presupuesto de demanda no hay mandato).</w:t>
      </w:r>
    </w:p>
    <w:p>
      <w:pPr>
        <w:pStyle w:val="ListNumber"/>
      </w:pPr>
      <w:r>
        <w:rPr>
          <w:b/>
        </w:rPr>
        <w:t>Círculos internos auditados primero.</w:t>
      </w:r>
      <w:r>
        <w:t xml:space="preserve"> La pauta es el círculo 4 — se dimensiona *después* de saber qué hay en los internos. Eso también es más barato para ellos, y es congruencia, no cortesía.</w:t>
      </w:r>
    </w:p>
    <w:p>
      <w:r>
        <w:rPr>
          <w:b/>
        </w:rPr>
        <w:t>Orden de activación (Bullseye, per Keller — el retorno cae del centro hacia afuera):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Círculo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Costo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Acción concreta MAKLO</w:t>
            </w:r>
          </w:p>
        </w:tc>
      </w:tr>
      <w:tr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Reactivación</w:t>
            </w:r>
          </w:p>
        </w:tc>
        <w:tc>
          <w:tcPr>
            <w:tcW w:type="dxa" w:w="2160"/>
          </w:tcPr>
          <w:p>
            <w:r/>
            <w:r>
              <w:t>~$0</w:t>
            </w:r>
          </w:p>
        </w:tc>
        <w:tc>
          <w:tcPr>
            <w:tcW w:type="dxa" w:w="2160"/>
          </w:tcPr>
          <w:p>
            <w:r/>
            <w:r>
              <w:t xml:space="preserve">Lista de interesados del proyecto 1 que no compraron. </w:t>
            </w:r>
            <w:r>
              <w:rPr>
                <w:b/>
              </w:rPr>
              <w:t>Primera pregunta de la mesa.</w:t>
            </w:r>
          </w:p>
        </w:tc>
      </w:tr>
      <w:tr>
        <w:tc>
          <w:tcPr>
            <w:tcW w:type="dxa" w:w="2160"/>
          </w:tcPr>
          <w:p>
            <w:r/>
            <w:r>
              <w:t>2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Esferas y aliados</w:t>
            </w:r>
          </w:p>
        </w:tc>
        <w:tc>
          <w:tcPr>
            <w:tcW w:type="dxa" w:w="2160"/>
          </w:tcPr>
          <w:p>
            <w:r/>
            <w:r>
              <w:t>~$0</w:t>
            </w:r>
          </w:p>
        </w:tc>
        <w:tc>
          <w:tcPr>
            <w:tcW w:type="dxa" w:w="2160"/>
          </w:tcPr>
          <w:p>
            <w:r/>
            <w:r>
              <w:t>Contactos del promotor + comercios/gremios del eje Labrador–Bicentenario.</w:t>
            </w:r>
          </w:p>
        </w:tc>
      </w:tr>
      <w:tr>
        <w:tc>
          <w:tcPr>
            <w:tcW w:type="dxa" w:w="2160"/>
          </w:tcPr>
          <w:p>
            <w:r/>
            <w:r>
              <w:t>3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Orgánico / citable</w:t>
            </w:r>
          </w:p>
        </w:tc>
        <w:tc>
          <w:tcPr>
            <w:tcW w:type="dxa" w:w="2160"/>
          </w:tcPr>
          <w:p>
            <w:r/>
            <w:r>
              <w:t>bajo</w:t>
            </w:r>
          </w:p>
        </w:tc>
        <w:tc>
          <w:tcPr>
            <w:tcW w:type="dxa" w:w="2160"/>
          </w:tcPr>
          <w:p>
            <w:r/>
            <w:r>
              <w:t>Página citable del proyecto (</w:t>
            </w:r>
            <w:r>
              <w:rPr>
                <w:rFonts w:ascii="Consolas" w:hAnsi="Consolas"/>
                <w:color w:val="1F6FEB"/>
                <w:sz w:val="19"/>
              </w:rPr>
              <w:t>/quito/metro-el-labrador/maklo/</w:t>
            </w:r>
            <w:r>
              <w:t>) + reporte del sector.</w:t>
            </w:r>
          </w:p>
        </w:tc>
      </w:tr>
      <w:tr>
        <w:tc>
          <w:tcPr>
            <w:tcW w:type="dxa" w:w="2160"/>
          </w:tcPr>
          <w:p>
            <w:r/>
            <w:r>
              <w:t>4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Pauta pagada</w:t>
            </w:r>
          </w:p>
        </w:tc>
        <w:tc>
          <w:tcPr>
            <w:tcW w:type="dxa" w:w="2160"/>
          </w:tcPr>
          <w:p>
            <w:r/>
            <w:r>
              <w:t>presupuesto MAKLO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Amplifica lo que ya convierte.</w:t>
            </w:r>
            <w:r>
              <w:t xml:space="preserve"> Nunca es la base.</w:t>
            </w:r>
          </w:p>
        </w:tc>
      </w:tr>
    </w:tbl>
    <w:p>
      <w:pPr>
        <w:pStyle w:val="Heading1"/>
      </w:pPr>
      <w:r>
        <w:t>1. Estructura de cuentas (llevarla decidida)</w:t>
      </w:r>
    </w:p>
    <w:p>
      <w:r>
        <w:rPr>
          <w:b/>
        </w:rPr>
        <w:t>MAKLO es dueño de:</w:t>
      </w:r>
      <w:r>
        <w:t xml:space="preserve"> la cuenta publicitaria, el píxel/dataset, el método de pago, y su página de Facebook/Instagram.</w:t>
      </w:r>
    </w:p>
    <w:p>
      <w:r>
        <w:rPr>
          <w:b/>
        </w:rPr>
        <w:t>Contexto entra como:</w:t>
      </w:r>
      <w:r>
        <w:t xml:space="preserve"> socio operador con acceso vía Business Manager — diseña, ejecuta, optimiza y reporta.</w:t>
      </w:r>
    </w:p>
    <w:p>
      <w:r>
        <w:rPr>
          <w:b/>
        </w:rPr>
        <w:t>Al terminar el mandato:</w:t>
      </w:r>
      <w:r>
        <w:t xml:space="preserve"> la cuenta, el histórico y el aprendizaje del píxel </w:t>
      </w:r>
      <w:r>
        <w:rPr>
          <w:b/>
        </w:rPr>
        <w:t>se quedan con MAKLO</w:t>
      </w:r>
      <w:r>
        <w:t>. Contexto retira su acceso.</w:t>
      </w:r>
    </w:p>
    <w:p>
      <w:r>
        <w:rPr>
          <w:b/>
        </w:rPr>
        <w:t>Por qué así:</w:t>
      </w:r>
      <w:r>
        <w:t xml:space="preserve"> su tarjeta y su gasto (congruente con "no financiamos la pauta"); refuerza la portabilidad; el píxel no es nuestro foso; y nos saca de administrar dinero ajeno.</w:t>
      </w:r>
    </w:p>
    <w:p>
      <w:pPr>
        <w:pStyle w:val="IntenseQuote"/>
      </w:pPr>
      <w:r>
        <w:t xml:space="preserve">⚠️ </w:t>
      </w:r>
      <w:r>
        <w:rPr>
          <w:b/>
        </w:rPr>
        <w:t>Gap propio a resolver antes de operar:</w:t>
      </w:r>
      <w:r>
        <w:t xml:space="preserve"> la cuenta de negocio </w:t>
      </w:r>
      <w:r>
        <w:rPr>
          <w:rFonts w:ascii="Consolas" w:hAnsi="Consolas"/>
          <w:color w:val="1F6FEB"/>
          <w:sz w:val="19"/>
        </w:rPr>
        <w:t>Whaber</w:t>
      </w:r>
      <w:r>
        <w:t xml:space="preserve"> está </w:t>
      </w:r>
      <w:r>
        <w:rPr>
          <w:b/>
        </w:rPr>
        <w:t>cerrada</w:t>
      </w:r>
      <w:r>
        <w:t xml:space="preserve"> y la única activa no tiene business asignado. Hay que constituir el Business Manager de Contexto para poder recibir el acceso de socio con orden.</w:t>
      </w:r>
    </w:p>
    <w:p>
      <w:pPr>
        <w:pStyle w:val="Heading1"/>
      </w:pPr>
      <w:r>
        <w:t>2. Segmentación: lo permitido y lo prohibido</w:t>
      </w:r>
    </w:p>
    <w:p>
      <w:r>
        <w:rPr>
          <w:b/>
        </w:rPr>
        <w:t>Permitido (y nada más):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Eje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Cómo se usa en MAKLO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Geo</w:t>
            </w:r>
          </w:p>
        </w:tc>
        <w:tc>
          <w:tcPr>
            <w:tcW w:type="dxa" w:w="4320"/>
          </w:tcPr>
          <w:p>
            <w:r/>
            <w:r>
              <w:t>Radio sobre el eje Labrador–Bicentenario–La Concepción + Quito ciudad para el ángulo de movilidad.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Intención declarada</w:t>
            </w:r>
          </w:p>
        </w:tc>
        <w:tc>
          <w:tcPr>
            <w:tcW w:type="dxa" w:w="4320"/>
          </w:tcPr>
          <w:p>
            <w:r/>
            <w:r>
              <w:t>Interés en el proyecto, búsqueda de vivienda/inversión, interacción previa con el storefront (retargeting de visitantes propios).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Ejes económicos públicos</w:t>
            </w:r>
          </w:p>
        </w:tc>
        <w:tc>
          <w:tcPr>
            <w:tcW w:type="dxa" w:w="4320"/>
          </w:tcPr>
          <w:p>
            <w:r/>
            <w:r>
              <w:t xml:space="preserve">Contenido sobre elegibilidad </w:t>
            </w:r>
            <w:r>
              <w:rPr>
                <w:b/>
              </w:rPr>
              <w:t>BIESS</w:t>
            </w:r>
            <w:r>
              <w:t xml:space="preserve"> — regla estatal publicada; navegar elegibilidad pública es Fair-Housing-seguro por diseño. ⚠️ Verificar condiciones en fuente oficial BIESS antes de citar cifras.</w:t>
            </w:r>
          </w:p>
        </w:tc>
      </w:tr>
    </w:tbl>
    <w:p>
      <w:r>
        <w:rPr>
          <w:b/>
        </w:rPr>
        <w:t>Prohibido — aunque la plataforma lo permita</w:t>
      </w:r>
      <w:r>
        <w:t xml:space="preserve"> (NUNCA §7 del playbook; precedentes HUD v. Facebook 2019, NFHA v. Redfin 2020):</w:t>
      </w:r>
    </w:p>
    <w:p>
      <w:r>
        <w:t xml:space="preserve">❌ Edad · ❌ Género · ❌ Ingreso · ❌ Composición familiar o "etapa de vida" · ❌ Profesión · ❌ Zip/barrio premium como proxy · ❌ </w:t>
      </w:r>
      <w:r>
        <w:rPr>
          <w:b/>
        </w:rPr>
        <w:t>Lookalikes de compradores previos</w:t>
      </w:r>
      <w:r>
        <w:t xml:space="preserve"> (arrastran proxies protegidos) · ❌ Intereses que funcionen como proxy demográfico.</w:t>
      </w:r>
    </w:p>
    <w:p>
      <w:pPr>
        <w:pStyle w:val="IntenseQuote"/>
      </w:pPr>
      <w:r>
        <w:rPr>
          <w:b/>
        </w:rPr>
        <w:t>El punto de marca:</w:t>
      </w:r>
      <w:r>
        <w:t xml:space="preserve"> esto no lo hacemos porque una ley nos obligue en Ecuador — lo hacemos </w:t>
      </w:r>
      <w:r>
        <w:rPr>
          <w:b/>
        </w:rPr>
        <w:t>por construcción</w:t>
      </w:r>
      <w:r>
        <w:t>. Es lo que nos permite decirle al comprador que no lo perfilamos, y sostenerlo.</w:t>
      </w:r>
    </w:p>
    <w:p>
      <w:r>
        <w:rPr>
          <w:b/>
        </w:rPr>
        <w:t>⚠️ A verificar en el setup (NO verificado):</w:t>
      </w:r>
      <w:r>
        <w:t xml:space="preserve"> si Meta exige declarar la </w:t>
      </w:r>
      <w:r>
        <w:rPr>
          <w:b/>
        </w:rPr>
        <w:t>categoría especial de anuncios de Vivienda</w:t>
      </w:r>
      <w:r>
        <w:t xml:space="preserve"> para campañas dirigidas a Ecuador. Sé que Meta *clasifica* anuncios de vivienda en EC (el archivo público los etiqueta), pero </w:t>
      </w:r>
      <w:r>
        <w:rPr>
          <w:b/>
        </w:rPr>
        <w:t>no confirmé</w:t>
      </w:r>
      <w:r>
        <w:t xml:space="preserve"> si la restricción de segmentación aplica fuera de EE.UU./Canadá. Importa por una razón operativa concreta: si aplica, puede imponerse un </w:t>
      </w:r>
      <w:r>
        <w:rPr>
          <w:b/>
        </w:rPr>
        <w:t>radio geográfico mínimo</w:t>
      </w:r>
      <w:r>
        <w:t>, y un proyecto hiperlocal como MAKLO lo sentiría. Verificar en la documentación oficial de Meta antes de armar la primera campaña; declararla mal puede tumbar los anuncios.</w:t>
      </w:r>
    </w:p>
    <w:p>
      <w:pPr>
        <w:pStyle w:val="Heading1"/>
      </w:pPr>
      <w:r>
        <w:t>3. Destino: canal propio, nunca tierra rentada</w:t>
      </w:r>
    </w:p>
    <w:p>
      <w:r>
        <w:rPr>
          <w:b/>
        </w:rPr>
        <w:t>El tráfico va al storefront de MAKLO en su dominio</w:t>
      </w:r>
      <w:r>
        <w:t xml:space="preserve"> — no a un formulario nativo de Meta.</w:t>
      </w:r>
    </w:p>
    <w:p>
      <w:r>
        <w:t xml:space="preserve">Razón: un lead capturado dentro de Meta vive en Meta. En el storefront, el interesado conversa con el agente, </w:t>
      </w:r>
      <w:r>
        <w:rPr>
          <w:b/>
        </w:rPr>
        <w:t>se califica con la función pública y auditable</w:t>
      </w:r>
      <w:r>
        <w:t>, y el lead nace con contexto completo (qué preguntó, qué le importa, qué unidad miró). Eso es lo que hace que el lead valga — y es lo que la propuesta promete en el Módulo D.</w:t>
      </w:r>
    </w:p>
    <w:p>
      <w:r>
        <w:rPr>
          <w:b/>
        </w:rPr>
        <w:t>Medición:</w:t>
      </w:r>
      <w:r>
        <w:t xml:space="preserve"> el píxel de MAKLO registra el evento *inicio de conversación con el agente* como conversión; la calificación dura (pidió visita) vive en el CRM de Contexto y se reconcilia en el reporte semanal.</w:t>
      </w:r>
    </w:p>
    <w:p>
      <w:pPr>
        <w:pStyle w:val="Heading1"/>
      </w:pPr>
      <w:r>
        <w:t>4. Matriz de creativos — la variable "persona" está EXCLUIDA del patrón</w:t>
      </w:r>
    </w:p>
    <w:p>
      <w:r>
        <w:t xml:space="preserve">Se testea </w:t>
      </w:r>
      <w:r>
        <w:rPr>
          <w:b/>
        </w:rPr>
        <w:t>ángulo × formato</w:t>
      </w:r>
      <w:r>
        <w:t>. Nunca "avatar".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Ángulo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Qué dice (todo con dato verificado)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Qué prueba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 · Movilidad medida</w:t>
            </w:r>
          </w:p>
        </w:tc>
        <w:tc>
          <w:tcPr>
            <w:tcW w:type="dxa" w:w="2880"/>
          </w:tcPr>
          <w:p>
            <w:r/>
            <w:r>
              <w:t>"A X minutos caminando del Metro El Labrador — medidos, no estimados."</w:t>
            </w:r>
          </w:p>
        </w:tc>
        <w:tc>
          <w:tcPr>
            <w:tcW w:type="dxa" w:w="2880"/>
          </w:tcPr>
          <w:p>
            <w:r/>
            <w:r>
              <w:t>Si el dato verificado supera al adjetivo.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 · El entorno como patio</w:t>
            </w:r>
          </w:p>
        </w:tc>
        <w:tc>
          <w:tcPr>
            <w:tcW w:type="dxa" w:w="2880"/>
          </w:tcPr>
          <w:p>
            <w:r/>
            <w:r>
              <w:t>"El Bicentenario a X minutos a pie."</w:t>
            </w:r>
          </w:p>
        </w:tc>
        <w:tc>
          <w:tcPr>
            <w:tcW w:type="dxa" w:w="2880"/>
          </w:tcPr>
          <w:p>
            <w:r/>
            <w:r>
              <w:t>Si el lugar vende más que el inmueble.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 · Compra directa</w:t>
            </w:r>
          </w:p>
        </w:tc>
        <w:tc>
          <w:tcPr>
            <w:tcW w:type="dxa" w:w="2880"/>
          </w:tcPr>
          <w:p>
            <w:r/>
            <w:r>
              <w:t>"Compra directo del constructor. El costo de la intermediación es tu beneficio."</w:t>
            </w:r>
          </w:p>
        </w:tc>
        <w:tc>
          <w:tcPr>
            <w:tcW w:type="dxa" w:w="2880"/>
          </w:tcPr>
          <w:p>
            <w:r/>
            <w:r>
              <w:t>El diferencial estructural de MAKLO.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 · Adaptabilidad</w:t>
            </w:r>
          </w:p>
        </w:tc>
        <w:tc>
          <w:tcPr>
            <w:tcW w:type="dxa" w:w="2880"/>
          </w:tcPr>
          <w:p>
            <w:r/>
            <w:r>
              <w:t>"¿Necesitas un dormitorio más o un espacio de trabajo? Estas unidades se adaptan."</w:t>
            </w:r>
          </w:p>
        </w:tc>
        <w:tc>
          <w:tcPr>
            <w:tcW w:type="dxa" w:w="2880"/>
          </w:tcPr>
          <w:p>
            <w:r/>
            <w:r>
              <w:t>Intención declarada → encaje relativo.</w:t>
            </w:r>
          </w:p>
        </w:tc>
      </w:tr>
    </w:tbl>
    <w:p>
      <w:r>
        <w:rPr>
          <w:b/>
        </w:rPr>
        <w:t>Formatos:</w:t>
      </w:r>
      <w:r>
        <w:t xml:space="preserve"> video corto (aura del lugar) · imagen con dato sobreimpreso · carrusel de tipologías.</w:t>
      </w:r>
    </w:p>
    <w:p>
      <w:r>
        <w:rPr>
          <w:b/>
        </w:rPr>
        <w:t>Candados de creativo (no opcionales):</w:t>
      </w:r>
    </w:p>
    <w:p>
      <w:pPr>
        <w:pStyle w:val="ListBullet"/>
      </w:pPr>
      <w:r>
        <w:rPr>
          <w:b/>
        </w:rPr>
        <w:t>Renders rotulados como renders.</w:t>
      </w:r>
      <w:r>
        <w:t xml:space="preserve"> Análogo a California AB 723 / "housefishing" (NY). Un render presentado como foto es fraude descriptivo.</w:t>
      </w:r>
    </w:p>
    <w:p>
      <w:pPr>
        <w:pStyle w:val="ListBullet"/>
      </w:pPr>
      <w:r>
        <w:rPr>
          <w:b/>
        </w:rPr>
        <w:t>Cero escasez fabricada.</w:t>
      </w:r>
      <w:r>
        <w:t xml:space="preserve"> Nada de "última unidad" salvo que sea literal y verificable en el inventario ese día.</w:t>
      </w:r>
    </w:p>
    <w:p>
      <w:pPr>
        <w:pStyle w:val="ListBullet"/>
      </w:pPr>
      <w:r>
        <w:rPr>
          <w:b/>
        </w:rPr>
        <w:t>Cero promesa de revalorización</w:t>
      </w:r>
      <w:r>
        <w:t xml:space="preserve"> sin dato + fecha + fuente.</w:t>
      </w:r>
    </w:p>
    <w:p>
      <w:pPr>
        <w:pStyle w:val="ListBullet"/>
      </w:pPr>
      <w:r>
        <w:rPr>
          <w:b/>
        </w:rPr>
        <w:t>Gate humano antes de publicar.</w:t>
      </w:r>
      <w:r>
        <w:t xml:space="preserve"> Ningún creativo sale sin revisión — es el control que impide que un asset invente una cifra o se deslice a lenguaje demográfico.</w:t>
      </w:r>
    </w:p>
    <w:p>
      <w:pPr>
        <w:pStyle w:val="ListBullet"/>
      </w:pPr>
      <w:r>
        <w:rPr>
          <w:b/>
        </w:rPr>
        <w:t>El beneficio al comprador es público y uniforme.</w:t>
      </w:r>
      <w:r>
        <w:t xml:space="preserve"> El mismo % para todos, publicado. Los descuentos discrecionales persona a persona son la puerta trasera al trato desigual.</w:t>
      </w:r>
    </w:p>
    <w:p>
      <w:pPr>
        <w:pStyle w:val="Heading1"/>
      </w:pPr>
      <w:r>
        <w:t>5. Checklist de compliance pre-lanzamiento</w:t>
      </w:r>
    </w:p>
    <w:p>
      <w:r>
        <w:t xml:space="preserve">Se corre </w:t>
      </w:r>
      <w:r>
        <w:rPr>
          <w:b/>
        </w:rPr>
        <w:t>antes</w:t>
      </w:r>
      <w:r>
        <w:t xml:space="preserve"> de cada publicación, como lista cerrada — no como confianza en el criterio del momento.</w:t>
      </w:r>
    </w:p>
    <w:p>
      <w:pPr>
        <w:pStyle w:val="ListBullet"/>
      </w:pPr>
      <w:r>
        <w:t xml:space="preserve">[ ] ¿La segmentación usa </w:t>
      </w:r>
      <w:r>
        <w:rPr>
          <w:b/>
        </w:rPr>
        <w:t>solo</w:t>
      </w:r>
      <w:r>
        <w:t xml:space="preserve"> geo + intención + ejes económicos públicos?</w:t>
      </w:r>
    </w:p>
    <w:p>
      <w:pPr>
        <w:pStyle w:val="ListBullet"/>
      </w:pPr>
      <w:r>
        <w:t>[ ] ¿Cero lookalikes? ¿Cero intereses que funcionen como proxy demográfico?</w:t>
      </w:r>
    </w:p>
    <w:p>
      <w:pPr>
        <w:pStyle w:val="ListBullet"/>
      </w:pPr>
      <w:r>
        <w:t>[ ] ¿Ningún copy juzga idoneidad de grupo ("ideal para familias", "zona segura para ti")?</w:t>
      </w:r>
    </w:p>
    <w:p>
      <w:pPr>
        <w:pStyle w:val="ListBullet"/>
      </w:pPr>
      <w:r>
        <w:t>[ ] ¿Toda cifra tiene fuente y fecha? ¿Las estimaciones dicen que lo son?</w:t>
      </w:r>
    </w:p>
    <w:p>
      <w:pPr>
        <w:pStyle w:val="ListBullet"/>
      </w:pPr>
      <w:r>
        <w:t>[ ] ¿Los renders están rotulados como renders?</w:t>
      </w:r>
    </w:p>
    <w:p>
      <w:pPr>
        <w:pStyle w:val="ListBullet"/>
      </w:pPr>
      <w:r>
        <w:t>[ ] ¿Cero escasez o urgencia fabricada?</w:t>
      </w:r>
    </w:p>
    <w:p>
      <w:pPr>
        <w:pStyle w:val="ListBullet"/>
      </w:pPr>
      <w:r>
        <w:t>[ ] ¿El beneficio al comprador que se anuncia es el público y uniforme?</w:t>
      </w:r>
    </w:p>
    <w:p>
      <w:pPr>
        <w:pStyle w:val="ListBullet"/>
      </w:pPr>
      <w:r>
        <w:t>[ ] ¿Pasó el gate humano?</w:t>
      </w:r>
    </w:p>
    <w:p>
      <w:pPr>
        <w:pStyle w:val="ListBullet"/>
      </w:pPr>
      <w:r>
        <w:t>[ ] ¿La categoría especial de vivienda está declarada como corresponda (§2)?</w:t>
      </w:r>
    </w:p>
    <w:p>
      <w:pPr>
        <w:pStyle w:val="Heading1"/>
      </w:pPr>
      <w:r>
        <w:t>6. El reporte dólar a dólar (la congruencia hecha entregable)</w:t>
      </w:r>
    </w:p>
    <w:p>
      <w:r>
        <w:t>Cada semana, MAKLO ve la cadena completa — sin agregados que escondan:</w:t>
      </w:r>
    </w:p>
    <w:p>
      <w:r>
        <w:rPr>
          <w:rFonts w:ascii="Consolas" w:hAnsi="Consolas"/>
          <w:color w:val="1F6FEB"/>
          <w:sz w:val="18"/>
        </w:rPr>
        <w:t>Dólar de pauta → impresiones → clics al storefront → conversaciones con el agente</w:t>
        <w:br/>
        <w:t xml:space="preserve">   → leads calificados (función pública) → visitas agendadas → visitas confirmadas</w:t>
      </w:r>
    </w:p>
    <w:p>
      <w:r>
        <w:t>Y las tres cifras que gobiernan:</w:t>
      </w:r>
    </w:p>
    <w:p>
      <w:pPr>
        <w:pStyle w:val="ListBullet"/>
      </w:pPr>
      <w:r>
        <w:rPr>
          <w:b/>
        </w:rPr>
        <w:t>Costo por conversación</w:t>
      </w:r>
      <w:r>
        <w:t xml:space="preserve"> (incluye el COGS de WhatsApp — Meta cobra conversaciones respondidas desde 01-10-2026).</w:t>
      </w:r>
    </w:p>
    <w:p>
      <w:pPr>
        <w:pStyle w:val="ListBullet"/>
      </w:pPr>
      <w:r>
        <w:rPr>
          <w:b/>
        </w:rPr>
        <w:t>Costo por lead calificado</w:t>
      </w:r>
      <w:r>
        <w:t xml:space="preserve"> (señal dura: declaró intención + presupuesto y </w:t>
      </w:r>
      <w:r>
        <w:rPr>
          <w:b/>
        </w:rPr>
        <w:t>pidió visita</w:t>
      </w:r>
      <w:r>
        <w:t>).</w:t>
      </w:r>
    </w:p>
    <w:p>
      <w:pPr>
        <w:pStyle w:val="ListBullet"/>
      </w:pPr>
      <w:r>
        <w:rPr>
          <w:b/>
        </w:rPr>
        <w:t>Costo por visita confirmada</w:t>
      </w:r>
      <w:r>
        <w:t xml:space="preserve"> — el evento auditable al que se ancla cualquier componente variable.</w:t>
      </w:r>
    </w:p>
    <w:p>
      <w:pPr>
        <w:pStyle w:val="IntenseQuote"/>
      </w:pPr>
      <w:r>
        <w:rPr>
          <w:b/>
        </w:rPr>
        <w:t>Honestidad estructural:</w:t>
      </w:r>
      <w:r>
        <w:t xml:space="preserve"> también se reporta lo que </w:t>
      </w:r>
      <w:r>
        <w:rPr>
          <w:b/>
        </w:rPr>
        <w:t>no</w:t>
      </w:r>
      <w:r>
        <w:t xml:space="preserve"> funcionó. Un reporte que solo muestra lo bueno deja de ser un instrumento de decisión y se vuelve marketing.</w:t>
      </w:r>
    </w:p>
    <w:p>
      <w:pPr>
        <w:pStyle w:val="Heading1"/>
      </w:pPr>
      <w:r>
        <w:t>7. Dimensionamiento del presupuesto (método, no cifra)</w:t>
      </w:r>
    </w:p>
    <w:p>
      <w:r>
        <w:t xml:space="preserve">No se propone un número: se </w:t>
      </w:r>
      <w:r>
        <w:rPr>
          <w:b/>
        </w:rPr>
        <w:t>deriva</w:t>
      </w:r>
      <w:r>
        <w:t xml:space="preserve"> de los suyos.</w:t>
      </w:r>
    </w:p>
    <w:p>
      <w:pPr>
        <w:pStyle w:val="ListNumber"/>
      </w:pPr>
      <w:r>
        <w:rPr>
          <w:b/>
        </w:rPr>
        <w:t>Meta de ventas del período</w:t>
      </w:r>
      <w:r>
        <w:t xml:space="preserve"> (unidades/mes que necesitan mover).</w:t>
      </w:r>
    </w:p>
    <w:p>
      <w:pPr>
        <w:pStyle w:val="ListNumber"/>
      </w:pPr>
      <w:r>
        <w:t xml:space="preserve">÷ tasa visita→cierre </w:t>
      </w:r>
      <w:r>
        <w:rPr>
          <w:b/>
        </w:rPr>
        <w:t>de ellos</w:t>
      </w:r>
      <w:r>
        <w:t xml:space="preserve"> (dato del proyecto 1, se captura en la mesa).</w:t>
      </w:r>
    </w:p>
    <w:p>
      <w:pPr>
        <w:pStyle w:val="ListNumber"/>
      </w:pPr>
      <w:r>
        <w:t>÷ tasa lead→visita (hipótesis inicial, se mide desde la semana 1).</w:t>
      </w:r>
    </w:p>
    <w:p>
      <w:pPr>
        <w:pStyle w:val="ListNumber"/>
      </w:pPr>
      <w:r>
        <w:t xml:space="preserve">× costo por lead calificado (se </w:t>
      </w:r>
      <w:r>
        <w:rPr>
          <w:b/>
        </w:rPr>
        <w:t>mide</w:t>
      </w:r>
      <w:r>
        <w:t xml:space="preserve"> en las primeras 2 semanas; no se supone).</w:t>
      </w:r>
    </w:p>
    <w:p>
      <w:pPr>
        <w:pStyle w:val="ListNumber"/>
      </w:pPr>
      <w:r>
        <w:t xml:space="preserve">= presupuesto necesario. </w:t>
      </w:r>
      <w:r>
        <w:rPr>
          <w:b/>
        </w:rPr>
        <w:t>Se compara contra el sostenible</w:t>
      </w:r>
      <w:r>
        <w:t xml:space="preserve"> que ellos declaren.</w:t>
      </w:r>
    </w:p>
    <w:p>
      <w:r>
        <w:rPr>
          <w:b/>
        </w:rPr>
        <w:t>Si el necesario supera al sostenible</w:t>
      </w:r>
      <w:r>
        <w:t xml:space="preserve">, se dice en la mesa: o se ajusta la meta, o se ajusta el precio, o se trabaja más duro los círculos internos. Lo que </w:t>
      </w:r>
      <w:r>
        <w:rPr>
          <w:b/>
        </w:rPr>
        <w:t>no</w:t>
      </w:r>
      <w:r>
        <w:t xml:space="preserve"> se hace es prometer volumen que el presupuesto no compra.</w:t>
      </w:r>
    </w:p>
    <w:p>
      <w:r>
        <w:rPr>
          <w:b/>
        </w:rPr>
        <w:t>Fase de arranque:</w:t>
      </w:r>
      <w:r>
        <w:t xml:space="preserve"> presupuesto de aprendizaje acotado, 2 semanas, para medir el costo por lead real. Sin ese número, todo lo anterior es aritmética sobre supuestos.</w:t>
      </w:r>
    </w:p>
    <w:p>
      <w:pPr>
        <w:pStyle w:val="Heading1"/>
      </w:pPr>
      <w:r>
        <w:t>8. Lo que este anexo NO promete</w:t>
      </w:r>
    </w:p>
    <w:p>
      <w:pPr>
        <w:pStyle w:val="ListBullet"/>
      </w:pPr>
      <w:r>
        <w:rPr>
          <w:b/>
        </w:rPr>
        <w:t>No prometemos "vendido en X meses".</w:t>
      </w:r>
      <w:r>
        <w:t xml:space="preserve"> Prometemos un sistema que captura, califica y reporta de verdad.</w:t>
      </w:r>
    </w:p>
    <w:p>
      <w:pPr>
        <w:pStyle w:val="ListBullet"/>
      </w:pPr>
      <w:r>
        <w:rPr>
          <w:b/>
        </w:rPr>
        <w:t>No prometemos que la IA traerá el volumen.</w:t>
      </w:r>
      <w:r>
        <w:t xml:space="preserve"> Real estate es la industria menos visible en respuestas de IA (0,14% de AI Overviews; ~20% de compradores usó IA para buscar — *per* ESTUDIO_Adopcion, terceros). La capa citable es apuesta de foso y </w:t>
      </w:r>
      <w:r>
        <w:rPr>
          <w:b/>
        </w:rPr>
        <w:t>métrica de proceso</w:t>
      </w:r>
      <w:r>
        <w:t>, no canal de volumen inmediato. El volumen de corto plazo lo traen los círculos internos y la pauta.</w:t>
      </w:r>
    </w:p>
    <w:p>
      <w:pPr>
        <w:pStyle w:val="ListBullet"/>
      </w:pPr>
      <w:r>
        <w:rPr>
          <w:b/>
        </w:rPr>
        <w:t>No competimos por ser el anuncio más barato.</w:t>
      </w:r>
      <w:r>
        <w:t xml:space="preserve"> Competimos por ser el único que dice la verdad del lugar con proveniencia.</w:t>
      </w:r>
    </w:p>
    <w:p>
      <w:pPr>
        <w:pStyle w:val="IntenseQuote"/>
      </w:pPr>
      <w:r>
        <w:rPr>
          <w:b/>
        </w:rPr>
        <w:t>Cierre:</w:t>
      </w:r>
      <w:r>
        <w:t xml:space="preserve"> el mercado de Quito está pautando escasez fabricada y promesas sin dato. La operación de demanda de MAKLO gana no por gritar más fuerte, sino por ser </w:t>
      </w:r>
      <w:r>
        <w:rPr>
          <w:b/>
        </w:rPr>
        <w:t>el único anuncio que se puede verificar</w:t>
      </w:r>
      <w:r>
        <w:t xml:space="preserve"> — y por mandar ese tráfico a un canal propio donde un agente honesto lo califica. Congruencia total: encontramos al comprador por lo que busca, jamás por quién 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