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ICP de Contexto AI — El comprador-habitante de Quito</w:t>
      </w:r>
    </w:p>
    <w:p>
      <w:pPr>
        <w:pStyle w:val="Heading2"/>
      </w:pPr>
      <w:r>
        <w:t>Perfil de Cliente Ideal · investigación profunda y definición · arquitectura B2B2C</w:t>
      </w:r>
    </w:p>
    <w:p>
      <w:r>
        <w:rPr>
          <w:b/>
        </w:rPr>
        <w:t>Fecha:</w:t>
      </w:r>
      <w:r>
        <w:t xml:space="preserve"> 2026-07-21 · </w:t>
      </w:r>
      <w:r>
        <w:rPr>
          <w:b/>
        </w:rPr>
        <w:t>Autor:</w:t>
      </w:r>
      <w:r>
        <w:t xml:space="preserve"> Contexto AI (estrategia, asistida) · </w:t>
      </w:r>
      <w:r>
        <w:rPr>
          <w:b/>
        </w:rPr>
        <w:t>Estado:</w:t>
      </w:r>
      <w:r>
        <w:t xml:space="preserve"> v1.0 — borrador para red-team del fundador</w:t>
      </w:r>
    </w:p>
    <w:p>
      <w:pPr>
        <w:pStyle w:val="IntenseQuote"/>
      </w:pPr>
      <w:r>
        <w:t xml:space="preserve">Documento de decisión. Fija el </w:t>
      </w:r>
      <w:r>
        <w:rPr>
          <w:b/>
        </w:rPr>
        <w:t>wedge primario</w:t>
      </w:r>
      <w:r>
        <w:t xml:space="preserve"> del ICP (comprador-habitante de Quito) y la</w:t>
      </w:r>
    </w:p>
    <w:p>
      <w:pPr>
        <w:pStyle w:val="IntenseQuote"/>
      </w:pPr>
      <w:r>
        <w:t>arquitectura de dos lados (usuario que se enamora / pagador que factura). Triangula el canon</w:t>
      </w:r>
    </w:p>
    <w:p>
      <w:pPr>
        <w:pStyle w:val="IntenseQuote"/>
      </w:pPr>
      <w:r>
        <w:t>interno de Contexto con evidencia mundial fresca (2026). No es canon hasta que Carlos lo gradúe.</w:t>
      </w:r>
    </w:p>
    <w:p>
      <w:pPr>
        <w:pStyle w:val="Heading1"/>
      </w:pPr>
      <w:r>
        <w:t>1. Resumen ejecutivo</w:t>
      </w:r>
    </w:p>
    <w:p>
      <w:r>
        <w:t xml:space="preserve">La pregunta de origen fue correcta: </w:t>
      </w:r>
      <w:r>
        <w:rPr>
          <w:b/>
        </w:rPr>
        <w:t>casi todo el proptech con IA sirve al lado oferta</w:t>
      </w:r>
      <w:r>
        <w:t xml:space="preserve"> (CRMs y calificadores de leads para inmobiliarias, corredores y promotores). El lado comprador —una plataforma B2C real— está vacío. Pero ese vacío </w:t>
      </w:r>
      <w:r>
        <w:rPr>
          <w:b/>
        </w:rPr>
        <w:t>no es un mercado sin descubrir: es un cementerio.</w:t>
      </w:r>
      <w:r>
        <w:t xml:space="preserve"> Los intentos de plataforma pro-comprador a escala de capital de riesgo murieron por la economía del lado demanda.</w:t>
      </w:r>
    </w:p>
    <w:p>
      <w:r>
        <w:t xml:space="preserve">De ahí la corrección de encuadre que gobierna todo este documento: </w:t>
      </w:r>
      <w:r>
        <w:rPr>
          <w:b/>
        </w:rPr>
        <w:t>Contexto no es B2C puro, es B2B2C.</w:t>
      </w:r>
      <w:r>
        <w:t xml:space="preserve"> Definir "nuestro ICP" exige dos perfiles que encajan como llave y cerradura:</w:t>
      </w:r>
    </w:p>
    <w:p>
      <w:pPr>
        <w:pStyle w:val="ListBullet"/>
      </w:pPr>
      <w:r>
        <w:rPr>
          <w:b/>
        </w:rPr>
        <w:t>El usuario</w:t>
      </w:r>
      <w:r>
        <w:t xml:space="preserve"> (la superficie B2C): la persona a quien enamoramos con la asesora honesta y la verdad verificada del lugar. </w:t>
      </w:r>
      <w:r>
        <w:rPr>
          <w:b/>
        </w:rPr>
        <w:t>Nunca paga suscripción.</w:t>
      </w:r>
    </w:p>
    <w:p>
      <w:pPr>
        <w:pStyle w:val="ListBullet"/>
      </w:pPr>
      <w:r>
        <w:rPr>
          <w:b/>
        </w:rPr>
        <w:t>El comprador económico</w:t>
      </w:r>
      <w:r>
        <w:t xml:space="preserve"> (el negocio B2B): el "tercero que sangra" —desarrollador con inventario parado, corredor, banco— a quien facturamos por el lead calificado y la señal de demanda.</w:t>
      </w:r>
    </w:p>
    <w:p>
      <w:r>
        <w:rPr>
          <w:b/>
        </w:rPr>
        <w:t>Decisión fijada (fundador, 2026-07-21):</w:t>
      </w:r>
      <w:r>
        <w:t xml:space="preserve"> el </w:t>
      </w:r>
      <w:r>
        <w:rPr>
          <w:b/>
        </w:rPr>
        <w:t>wedge primario</w:t>
      </w:r>
      <w:r>
        <w:t xml:space="preserve"> es el </w:t>
      </w:r>
      <w:r>
        <w:rPr>
          <w:b/>
        </w:rPr>
        <w:t>comprador-habitante de clase media de Quito</w:t>
      </w:r>
      <w:r>
        <w:t xml:space="preserve"> comprando su primera o segunda vivienda de valor medio. Ancla el pagador (desarrollador MAKLO + corredor) y el énfasis de producto (verdad de habitabilidad + handoff humano). Los demás segmentos (micro-inversionista, extranjero en Mazatlán, diáspora informal) quedan como expansión, no como foco.</w:t>
      </w:r>
    </w:p>
    <w:p>
      <w:pPr>
        <w:pStyle w:val="Heading1"/>
      </w:pPr>
      <w:r>
        <w:t>2. Por qué no existe "una plataforma B2C como Contexto" — la restricción</w:t>
      </w:r>
    </w:p>
    <w:p>
      <w:r>
        <w:t>El lado comprador está vacío por una razón estructural, no por falta de intentos. El comprador transacciona ~1 vez por década, así que su costo de adquisición no se amortiza. La lista de cadáveres lo confirma:</w:t>
      </w:r>
    </w:p>
    <w:p>
      <w:pPr>
        <w:pStyle w:val="ListBullet"/>
      </w:pPr>
      <w:r>
        <w:rPr>
          <w:b/>
        </w:rPr>
        <w:t>Divvy</w:t>
      </w:r>
      <w:r>
        <w:t xml:space="preserve"> — US$2.300M de valoración a fire-sale, accionistas en cero.</w:t>
      </w:r>
    </w:p>
    <w:p>
      <w:pPr>
        <w:pStyle w:val="ListBullet"/>
      </w:pPr>
      <w:r>
        <w:rPr>
          <w:b/>
        </w:rPr>
        <w:t>EasyKnock</w:t>
      </w:r>
      <w:r>
        <w:t xml:space="preserve"> — cerrada entre 24+ demandas.</w:t>
      </w:r>
    </w:p>
    <w:p>
      <w:pPr>
        <w:pStyle w:val="ListBullet"/>
      </w:pPr>
      <w:r>
        <w:rPr>
          <w:b/>
        </w:rPr>
        <w:t>Reali</w:t>
      </w:r>
      <w:r>
        <w:t xml:space="preserve"> — US$290M quemados.</w:t>
      </w:r>
    </w:p>
    <w:p>
      <w:pPr>
        <w:pStyle w:val="ListBullet"/>
      </w:pPr>
      <w:r>
        <w:rPr>
          <w:b/>
        </w:rPr>
        <w:t>Flyhomes</w:t>
      </w:r>
      <w:r>
        <w:t xml:space="preserve"> — construyó el copiloto del comprador, </w:t>
      </w:r>
      <w:r>
        <w:rPr>
          <w:b/>
        </w:rPr>
        <w:t>no monetizó</w:t>
      </w:r>
      <w:r>
        <w:t>, terminó vendido a un brokerage; sobrevivió solo la pieza financiera.</w:t>
      </w:r>
    </w:p>
    <w:p>
      <w:pPr>
        <w:pStyle w:val="ListBullet"/>
      </w:pPr>
      <w:r>
        <w:rPr>
          <w:b/>
        </w:rPr>
        <w:t>Casavo</w:t>
      </w:r>
      <w:r>
        <w:t xml:space="preserve"> — €200M, murió con el ciclo de tasas (balance propio).</w:t>
      </w:r>
    </w:p>
    <w:p>
      <w:pPr>
        <w:pStyle w:val="ListBullet"/>
      </w:pPr>
      <w:r>
        <w:rPr>
          <w:b/>
        </w:rPr>
        <w:t>Modern Realty</w:t>
      </w:r>
      <w:r>
        <w:t xml:space="preserve"> — pivotó a CRM para agentes (se rindió al lado oferta).</w:t>
      </w:r>
    </w:p>
    <w:p>
      <w:r>
        <w:t xml:space="preserve">El patrón: </w:t>
      </w:r>
      <w:r>
        <w:rPr>
          <w:b/>
        </w:rPr>
        <w:t>el balance propio muere con las tasas; desafiar al gremio muere por boicot de distribución; la asesoría pura termina absorbida.</w:t>
      </w:r>
      <w:r>
        <w:t xml:space="preserve"> Solo sobreviven tres modelos de monetización: </w:t>
      </w:r>
      <w:r>
        <w:rPr>
          <w:b/>
        </w:rPr>
        <w:t>success-fee contingente al cierre</w:t>
      </w:r>
      <w:r>
        <w:t xml:space="preserve">, </w:t>
      </w:r>
      <w:r>
        <w:rPr>
          <w:b/>
        </w:rPr>
        <w:t>"el tercero que sangra" paga</w:t>
      </w:r>
      <w:r>
        <w:t xml:space="preserve">, o </w:t>
      </w:r>
      <w:r>
        <w:rPr>
          <w:b/>
        </w:rPr>
        <w:t>ancla estatal</w:t>
      </w:r>
      <w:r>
        <w:t>.</w:t>
      </w:r>
    </w:p>
    <w:p>
      <w:pPr>
        <w:pStyle w:val="IntenseQuote"/>
      </w:pPr>
      <w:r>
        <w:t>Fuente: Senales-Brain, tesis "El copiloto fiduciario del comprador informal no existe en LATAM" (estado: emergente, confianza: media). Tratar como dirección estratégica atribuida, no como hecho probado.</w:t>
      </w:r>
    </w:p>
    <w:p>
      <w:r>
        <w:rPr>
          <w:b/>
        </w:rPr>
        <w:t>Consecuencia para el ICP:</w:t>
      </w:r>
      <w:r>
        <w:t xml:space="preserve"> no se puede definir "el ICP" como si el consumidor fuera el cliente que paga. La monetización obliga a la arquitectura de dos lados de la sección 3. Reglas innegociables que salen de aquí: </w:t>
      </w:r>
      <w:r>
        <w:rPr>
          <w:b/>
        </w:rPr>
        <w:t>jamás balance propio; jamás suscripción al comprador; jamás scoring propio de personas; navegar (no competir con) el ancla estatal.</w:t>
      </w:r>
    </w:p>
    <w:p>
      <w:pPr>
        <w:pStyle w:val="Heading1"/>
      </w:pPr>
      <w:r>
        <w:t>3. La arquitectura de dos lados (llave y cerradura)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El USUARIO (lado demanda, superficie B2C)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El COMPRADOR ECONÓMICO (quien paga, B2B)</w:t>
            </w:r>
          </w:p>
        </w:tc>
      </w:tr>
      <w:tr>
        <w:tc>
          <w:tcPr>
            <w:tcW w:type="dxa" w:w="2880"/>
          </w:tcPr>
          <w:p>
            <w:r/>
            <w:r>
              <w:t>Quién es</w:t>
            </w:r>
          </w:p>
        </w:tc>
        <w:tc>
          <w:tcPr>
            <w:tcW w:type="dxa" w:w="2880"/>
          </w:tcPr>
          <w:p>
            <w:r/>
            <w:r>
              <w:t>La persona que busca dónde vivir / rentar / invertir</w:t>
            </w:r>
          </w:p>
        </w:tc>
        <w:tc>
          <w:tcPr>
            <w:tcW w:type="dxa" w:w="2880"/>
          </w:tcPr>
          <w:p>
            <w:r/>
            <w:r>
              <w:t>El "tercero que sangra": desarrollador con inventario parado, corredor / inmobiliaria, banco con meta de colocación</w:t>
            </w:r>
          </w:p>
        </w:tc>
      </w:tr>
      <w:tr>
        <w:tc>
          <w:tcPr>
            <w:tcW w:type="dxa" w:w="2880"/>
          </w:tcPr>
          <w:p>
            <w:r/>
            <w:r>
              <w:t>Qué le entregamos</w:t>
            </w:r>
          </w:p>
        </w:tc>
        <w:tc>
          <w:tcPr>
            <w:tcW w:type="dxa" w:w="2880"/>
          </w:tcPr>
          <w:p>
            <w:r/>
            <w:r>
              <w:t>Asesora honesta + verdad verificada del lugar + handoff a un humano</w:t>
            </w:r>
          </w:p>
        </w:tc>
        <w:tc>
          <w:tcPr>
            <w:tcW w:type="dxa" w:w="2880"/>
          </w:tcPr>
          <w:p>
            <w:r/>
            <w:r>
              <w:t>Lead calificado en el pico de intención + señal de demanda + la verdad que hace que la IA lo recomiende</w:t>
            </w:r>
          </w:p>
        </w:tc>
      </w:tr>
      <w:tr>
        <w:tc>
          <w:tcPr>
            <w:tcW w:type="dxa" w:w="2880"/>
          </w:tcPr>
          <w:p>
            <w:r/>
            <w:r>
              <w:t>Qué nos da</w:t>
            </w:r>
          </w:p>
        </w:tc>
        <w:tc>
          <w:tcPr>
            <w:tcW w:type="dxa" w:w="2880"/>
          </w:tcPr>
          <w:p>
            <w:r/>
            <w:r>
              <w:t>La señal de intención (el activo defendible)</w:t>
            </w:r>
          </w:p>
        </w:tc>
        <w:tc>
          <w:tcPr>
            <w:tcW w:type="dxa" w:w="2880"/>
          </w:tcPr>
          <w:p>
            <w:r/>
            <w:r>
              <w:t>El dinero (success fee / suscripción B2B / uso de API)</w:t>
            </w:r>
          </w:p>
        </w:tc>
      </w:tr>
      <w:tr>
        <w:tc>
          <w:tcPr>
            <w:tcW w:type="dxa" w:w="2880"/>
          </w:tcPr>
          <w:p>
            <w:r/>
            <w:r>
              <w:t>Nunca</w:t>
            </w:r>
          </w:p>
        </w:tc>
        <w:tc>
          <w:tcPr>
            <w:tcW w:type="dxa" w:w="2880"/>
          </w:tcPr>
          <w:p>
            <w:r/>
            <w:r>
              <w:t>Le cobramos suscripción al usuario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>
      <w:r>
        <w:rPr>
          <w:b/>
        </w:rPr>
        <w:t>La regla de oro:</w:t>
      </w:r>
      <w:r>
        <w:t xml:space="preserve"> el usuario es a quien enamoras; el comprador económico es a quien facturas. El ICP vive en la </w:t>
      </w:r>
      <w:r>
        <w:rPr>
          <w:b/>
        </w:rPr>
        <w:t>intersección</w:t>
      </w:r>
      <w:r>
        <w:t>: ganamos cuando la intención del usuario ideal cae sobre el inventario del pagador ideal.</w:t>
      </w:r>
    </w:p>
    <w:p>
      <w:pPr>
        <w:pStyle w:val="Heading1"/>
      </w:pPr>
      <w:r>
        <w:t>4. El USUARIO ICP primario — "El comprador-habitante de alto riesgo emocional en mercado de dato pobre"</w:t>
      </w:r>
    </w:p>
    <w:p>
      <w:pPr>
        <w:pStyle w:val="IntenseQuote"/>
      </w:pPr>
      <w:r>
        <w:rPr>
          <w:b/>
        </w:rPr>
        <w:t>El profesional o familia joven de clase media en Quito (28–45) comprando su primera o segunda vivienda de valor medio, que vive la operación como la decisión financiera más grande de su vida y tiene pánico a equivocarse.</w:t>
      </w:r>
    </w:p>
    <w:p>
      <w:pPr>
        <w:pStyle w:val="Heading2"/>
      </w:pPr>
      <w:r>
        <w:t>4.1 Dimensiones del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Dimensión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t>Demográfica</w:t>
            </w:r>
          </w:p>
        </w:tc>
        <w:tc>
          <w:tcPr>
            <w:tcW w:type="dxa" w:w="4320"/>
          </w:tcPr>
          <w:p>
            <w:r/>
            <w:r>
              <w:t>28–45 años; pareja o familia joven; ingreso formal o mixto; desde la banda BIESS-elegible (hogar hasta ~USD 1.528/mes para la tasa CrediCasa 2.99%) hasta clase media-alta; ticket ~USD 60k–180k.</w:t>
            </w:r>
          </w:p>
        </w:tc>
      </w:tr>
      <w:tr>
        <w:tc>
          <w:tcPr>
            <w:tcW w:type="dxa" w:w="4320"/>
          </w:tcPr>
          <w:p>
            <w:r/>
            <w:r>
              <w:t>Geográfica</w:t>
            </w:r>
          </w:p>
        </w:tc>
        <w:tc>
          <w:tcPr>
            <w:tcW w:type="dxa" w:w="4320"/>
          </w:tcPr>
          <w:p>
            <w:r/>
            <w:r>
              <w:t>Quito primero (beachhead del piloto del corredor + obra nueva de MAKLO). Mercado sin MLS y con catastro público pobre: donde el dato verificado es la única fuente de verdad, no un extra.</w:t>
            </w:r>
          </w:p>
        </w:tc>
      </w:tr>
      <w:tr>
        <w:tc>
          <w:tcPr>
            <w:tcW w:type="dxa" w:w="4320"/>
          </w:tcPr>
          <w:p>
            <w:r/>
            <w:r>
              <w:t>Psicográfica</w:t>
            </w:r>
          </w:p>
        </w:tc>
        <w:tc>
          <w:tcPr>
            <w:tcW w:type="dxa" w:w="4320"/>
          </w:tcPr>
          <w:p>
            <w:r/>
            <w:r>
              <w:t>Aversión a la pérdida aguda; quiere transferir la responsabilidad del error (a su pareja, su familia, a sí mismo). Desconfía del anuncio pero no tiene cómo verificar. Digitalmente cómodo, no necesariamente "AI-native".</w:t>
            </w:r>
          </w:p>
        </w:tc>
      </w:tr>
      <w:tr>
        <w:tc>
          <w:tcPr>
            <w:tcW w:type="dxa" w:w="4320"/>
          </w:tcPr>
          <w:p>
            <w:r/>
            <w:r>
              <w:t>Conductual</w:t>
            </w:r>
          </w:p>
        </w:tc>
        <w:tc>
          <w:tcPr>
            <w:tcW w:type="dxa" w:w="4320"/>
          </w:tcPr>
          <w:p>
            <w:r/>
            <w:r>
              <w:t>Entra en estado Explorando / Enganchado (compara zonas, pregunta "¿cómo es vivir aquí?"); el valor se dispara en estado Intención (pregunta precio, "¿se puede visitar?", pide ficha técnica).</w:t>
            </w:r>
          </w:p>
        </w:tc>
      </w:tr>
      <w:tr>
        <w:tc>
          <w:tcPr>
            <w:tcW w:type="dxa" w:w="4320"/>
          </w:tcPr>
          <w:p>
            <w:r/>
            <w:r>
              <w:t>Job-to-be-done</w:t>
            </w:r>
          </w:p>
        </w:tc>
        <w:tc>
          <w:tcPr>
            <w:tcW w:type="dxa" w:w="4320"/>
          </w:tcPr>
          <w:p>
            <w:r/>
            <w:r>
              <w:t>"Ayúdame a no arruinar la decisión más cara de mi vida: dame la verdad del lugar que el anuncio esconde y conéctame con un humano que responda."</w:t>
            </w:r>
          </w:p>
        </w:tc>
      </w:tr>
      <w:tr>
        <w:tc>
          <w:tcPr>
            <w:tcW w:type="dxa" w:w="4320"/>
          </w:tcPr>
          <w:p>
            <w:r/>
            <w:r>
              <w:t>Disposición a pagar</w:t>
            </w:r>
          </w:p>
        </w:tc>
        <w:tc>
          <w:tcPr>
            <w:tcW w:type="dxa" w:w="4320"/>
          </w:tcPr>
          <w:p>
            <w:r/>
            <w:r>
              <w:t>No paga suscripción. El mercado ya reveló willingness-to-pay por lo que Contexto entrega: 44% de compradores pagaría extra por verificación humana; 66% ya usa al corredor para verificar lo que la IA le dijo. Esa disposición la captura el pagador, no el usuario.</w:t>
            </w:r>
          </w:p>
        </w:tc>
      </w:tr>
    </w:tbl>
    <w:p>
      <w:pPr>
        <w:pStyle w:val="Heading2"/>
      </w:pPr>
      <w:r>
        <w:t>4.2 Por qué este wedge y no el comprador AI-native de mercado maduro</w:t>
      </w:r>
    </w:p>
    <w:p>
      <w:r>
        <w:t xml:space="preserve">El comprador AI-native de EE.UU./España es el </w:t>
      </w:r>
      <w:r>
        <w:rPr>
          <w:b/>
        </w:rPr>
        <w:t>commodity</w:t>
      </w:r>
      <w:r>
        <w:t xml:space="preserve">: Redfin×Sierra, Zillow-en-ChatGPT y Realtor.com ya lo poseen, y solo emparejan lo que el vendedor escribió o subió. En mercados maduros con MLS limpio, la verdad verificada </w:t>
      </w:r>
      <w:r>
        <w:rPr>
          <w:b/>
        </w:rPr>
        <w:t>agrega</w:t>
      </w:r>
      <w:r>
        <w:t xml:space="preserve"> valor. En LATAM sin catastro limpio, la verdad verificada es </w:t>
      </w:r>
      <w:r>
        <w:rPr>
          <w:b/>
        </w:rPr>
        <w:t>toda la partida</w:t>
      </w:r>
      <w:r>
        <w:t>. El foso es más profundo justo donde los gigantes no pueden operar desde datos públicos —porque esos datos no existen.</w:t>
      </w:r>
    </w:p>
    <w:p>
      <w:pPr>
        <w:pStyle w:val="Heading2"/>
      </w:pPr>
      <w:r>
        <w:t>4.3 El motor emocional (por qué este usuario se engancha por confianza, no por adicción)</w:t>
      </w:r>
    </w:p>
    <w:p>
      <w:r>
        <w:t xml:space="preserve">La compra grande activa aversión a la pérdida y sesgo de negatividad: dolemos más por un error que lo que disfrutamos un acierto. La conducta documentada es </w:t>
      </w:r>
      <w:r>
        <w:rPr>
          <w:b/>
        </w:rPr>
        <w:t>delegar la decisión en un experto para transferir la carga del arrepentimiento</w:t>
      </w:r>
      <w:r>
        <w:t xml:space="preserve"> —y los asesores humanos se perciben como más responsables que los algorítmicos. Por eso la jugada ganadora de Contexto no es "más datos": es </w:t>
      </w:r>
      <w:r>
        <w:rPr>
          <w:b/>
        </w:rPr>
        <w:t>ficha técnica verificable (seguro psicológico contra el arrepentimiento) + conexión con el corredor humano (a quien sí se le transfiere la responsabilidad).</w:t>
      </w:r>
      <w:r>
        <w:t xml:space="preserve"> IA + humano = el combo que la psicología pide.</w:t>
      </w:r>
    </w:p>
    <w:p>
      <w:pPr>
        <w:pStyle w:val="Heading1"/>
      </w:pPr>
      <w:r>
        <w:t>5. El COMPRADOR ECONÓMICO ICP — quién sangra y paga</w:t>
      </w:r>
    </w:p>
    <w:p>
      <w:r>
        <w:t>El usuario define al pagador ideal: el que tiene inventario que encaja con esa intención y a quien le duele que esté parado.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Pagador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"sangra"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Encaje con el wedge Quito</w:t>
            </w:r>
          </w:p>
        </w:tc>
      </w:tr>
      <w:tr>
        <w:tc>
          <w:tcPr>
            <w:tcW w:type="dxa" w:w="2880"/>
          </w:tcPr>
          <w:p>
            <w:r/>
            <w:r>
              <w:t>Desarrollador de obra nueva (MAKLO)</w:t>
            </w:r>
          </w:p>
        </w:tc>
        <w:tc>
          <w:tcPr>
            <w:tcW w:type="dxa" w:w="2880"/>
          </w:tcPr>
          <w:p>
            <w:r/>
            <w:r>
              <w:t>Inventario terminado o en preventa parado = capital inmovilizado. Paga por demanda calificada, no por otro chat.</w:t>
            </w:r>
          </w:p>
        </w:tc>
        <w:tc>
          <w:tcPr>
            <w:tcW w:type="dxa" w:w="2880"/>
          </w:tcPr>
          <w:p>
            <w:r/>
            <w:r>
              <w:t>Máximo. Pagador más limpio hoy y ya en carril.</w:t>
            </w:r>
          </w:p>
        </w:tc>
      </w:tr>
      <w:tr>
        <w:tc>
          <w:tcPr>
            <w:tcW w:type="dxa" w:w="2880"/>
          </w:tcPr>
          <w:p>
            <w:r/>
            <w:r>
              <w:t>Corredor / inmobiliaria (InmobIA)</w:t>
            </w:r>
          </w:p>
        </w:tc>
        <w:tc>
          <w:tcPr>
            <w:tcW w:type="dxa" w:w="2880"/>
          </w:tcPr>
          <w:p>
            <w:r/>
            <w:r>
              <w:t>Pierde 8 de cada 10 leads por mal seguimiento. Paga por lead calificado en el pico + panel CRM.</w:t>
            </w:r>
          </w:p>
        </w:tc>
        <w:tc>
          <w:tcPr>
            <w:tcW w:type="dxa" w:w="2880"/>
          </w:tcPr>
          <w:p>
            <w:r/>
            <w:r>
              <w:t>Alto. Es el loop de contribución que alimenta el foso.</w:t>
            </w:r>
          </w:p>
        </w:tc>
      </w:tr>
      <w:tr>
        <w:tc>
          <w:tcPr>
            <w:tcW w:type="dxa" w:w="2880"/>
          </w:tcPr>
          <w:p>
            <w:r/>
            <w:r>
              <w:t>Banco / ancla estatal (BIESS, Grupo Bolívar)</w:t>
            </w:r>
          </w:p>
        </w:tc>
        <w:tc>
          <w:tcPr>
            <w:tcW w:type="dxa" w:w="2880"/>
          </w:tcPr>
          <w:p>
            <w:r/>
            <w:r>
              <w:t>Meta de colocación de crédito sin ejecutar; subsidio sin navegador.</w:t>
            </w:r>
          </w:p>
        </w:tc>
        <w:tc>
          <w:tcPr>
            <w:tcW w:type="dxa" w:w="2880"/>
          </w:tcPr>
          <w:p>
            <w:r/>
            <w:r>
              <w:t>Estratégico / tardío, vía API (patrón Apaleo). El más grande y el más lento.</w:t>
            </w:r>
          </w:p>
        </w:tc>
      </w:tr>
    </w:tbl>
    <w:p>
      <w:pPr>
        <w:pStyle w:val="Heading1"/>
      </w:pPr>
      <w:r>
        <w:t>6. Mapa completo de segmentos de demanda (wedge y expansión)</w:t>
      </w:r>
    </w:p>
    <w:p>
      <w:r>
        <w:t>La disciplina es elegir uno y profundizar (scope mata, profundidad gana), no perseguir los cuatro.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Segmento consumidor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Intención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Pagador que activa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Comprador-habitante clase media Quito (sección 4)</w:t>
            </w:r>
          </w:p>
        </w:tc>
        <w:tc>
          <w:tcPr>
            <w:tcW w:type="dxa" w:w="1728"/>
          </w:tcPr>
          <w:p>
            <w:r/>
            <w:r>
              <w:t>Vivir</w:t>
            </w:r>
          </w:p>
        </w:tc>
        <w:tc>
          <w:tcPr>
            <w:tcW w:type="dxa" w:w="1728"/>
          </w:tcPr>
          <w:p>
            <w:r/>
            <w:r>
              <w:t>Desarrollador (MAKLO) + corredor</w:t>
            </w:r>
          </w:p>
        </w:tc>
        <w:tc>
          <w:tcPr>
            <w:tcW w:type="dxa" w:w="1728"/>
          </w:tcPr>
          <w:p>
            <w:r/>
            <w:r>
              <w:t>WEDGE PRIMARIO (fijado)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Micro-inversionista LATAM (1–3 unidades, yield / renta corta)</w:t>
            </w:r>
          </w:p>
        </w:tc>
        <w:tc>
          <w:tcPr>
            <w:tcW w:type="dxa" w:w="1728"/>
          </w:tcPr>
          <w:p>
            <w:r/>
            <w:r>
              <w:t>Invertir</w:t>
            </w:r>
          </w:p>
        </w:tc>
        <w:tc>
          <w:tcPr>
            <w:tcW w:type="dxa" w:w="1728"/>
          </w:tcPr>
          <w:p>
            <w:r/>
            <w:r>
              <w:t>Desarrollador + corredor</w:t>
            </w:r>
          </w:p>
        </w:tc>
        <w:tc>
          <w:tcPr>
            <w:tcW w:type="dxa" w:w="1728"/>
          </w:tcPr>
          <w:p>
            <w:r/>
            <w:r>
              <w:t>Secundario fuerte: activa la capa de inversión (el vertical nuevo); repite, mejor CAC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Comprador extranjero en Mazatlán (jubilado / remoto US-Canadá; condo USD 150–200k vs USD 500k en Cabo)</w:t>
            </w:r>
          </w:p>
        </w:tc>
        <w:tc>
          <w:tcPr>
            <w:tcW w:type="dxa" w:w="1728"/>
          </w:tcPr>
          <w:p>
            <w:r/>
            <w:r>
              <w:t>Invertir / vivir</w:t>
            </w:r>
          </w:p>
        </w:tc>
        <w:tc>
          <w:tcPr>
            <w:tcW w:type="dxa" w:w="1728"/>
          </w:tcPr>
          <w:p>
            <w:r/>
            <w:r>
              <w:t>AuraReal / desarrollador (Ricardo)</w:t>
            </w:r>
          </w:p>
        </w:tc>
        <w:tc>
          <w:tcPr>
            <w:tcW w:type="dxa" w:w="1728"/>
          </w:tcPr>
          <w:p>
            <w:r/>
            <w:r>
              <w:t>Secundario activo hoy: ticket alto, disposición a pagar rápida, confianza en mercado ajeno (fideicomiso)</w:t>
            </w:r>
          </w:p>
        </w:tc>
      </w:tr>
      <w:tr>
        <w:tc>
          <w:tcPr>
            <w:tcW w:type="dxa" w:w="1728"/>
          </w:tcPr>
          <w:p>
            <w:r/>
            <w:r>
              <w:t>D</w:t>
            </w:r>
          </w:p>
        </w:tc>
        <w:tc>
          <w:tcPr>
            <w:tcW w:type="dxa" w:w="1728"/>
          </w:tcPr>
          <w:p>
            <w:r/>
            <w:r>
              <w:t>Comprador de diáspora / informal (ecuatoriano o mexicano en el exterior, ingreso informal, remesas)</w:t>
            </w:r>
          </w:p>
        </w:tc>
        <w:tc>
          <w:tcPr>
            <w:tcW w:type="dxa" w:w="1728"/>
          </w:tcPr>
          <w:p>
            <w:r/>
            <w:r>
              <w:t>Vivir</w:t>
            </w:r>
          </w:p>
        </w:tc>
        <w:tc>
          <w:tcPr>
            <w:tcW w:type="dxa" w:w="1728"/>
          </w:tcPr>
          <w:p>
            <w:r/>
            <w:r>
              <w:t>Estado (Infonavit / BIESS) + banco</w:t>
            </w:r>
          </w:p>
        </w:tc>
        <w:tc>
          <w:tcPr>
            <w:tcW w:type="dxa" w:w="1728"/>
          </w:tcPr>
          <w:p>
            <w:r/>
            <w:r>
              <w:t>Norte estratégico, no wedge: el premio más grande y más difícil (ensambla subsidio + verificación de ingreso informal + due diligence de título)</w:t>
            </w:r>
          </w:p>
        </w:tc>
      </w:tr>
    </w:tbl>
    <w:p>
      <w:r>
        <w:rPr>
          <w:b/>
        </w:rPr>
        <w:t>Nota de mercado (evidencia mundial):</w:t>
      </w:r>
      <w:r>
        <w:t xml:space="preserve"> el segmento inversor no es teoría —en Mazatlán, Millennials y Gen X apuntan cada vez más a mercados urbanos de alto rendimiento y renta corta, con el centro histórico UNESCO como foco. Y la remesa financia vivienda: Ecuador recibe ~US$1.600M/año (≈8% del PIB), con canales informales que hoy bloquean el acceso a hipoteca —exactamente la fricción que el segmento D convertiría en producto.</w:t>
      </w:r>
    </w:p>
    <w:p>
      <w:pPr>
        <w:pStyle w:val="Heading1"/>
      </w:pPr>
      <w:r>
        <w:t>7. El ANTI-ICP (a quién NO servimos)</w:t>
      </w:r>
    </w:p>
    <w:p>
      <w:pPr>
        <w:pStyle w:val="ListBullet"/>
      </w:pPr>
      <w:r>
        <w:t>El comprador AI-native de mercado maduro (EE.UU./España con MLS limpio): commodity que ya poseen los portales; ahí no tenemos foso.</w:t>
      </w:r>
    </w:p>
    <w:p>
      <w:pPr>
        <w:pStyle w:val="ListBullet"/>
      </w:pPr>
      <w:r>
        <w:t>El usuario que solo quiere "chatear con las páginas": ya se commoditizó en ambos lados; no es demanda defendible.</w:t>
      </w:r>
    </w:p>
    <w:p>
      <w:pPr>
        <w:pStyle w:val="ListBullet"/>
      </w:pPr>
      <w:r>
        <w:t>El pagador que quiere que Contexto tome balance propio (comprar/vender el inmueble): es el modelo del cementerio.</w:t>
      </w:r>
    </w:p>
    <w:p>
      <w:pPr>
        <w:pStyle w:val="ListBullet"/>
      </w:pPr>
      <w:r>
        <w:t>Cualquier caso que exija scoring de personas, mapas de "seguridad" de barrio o AVM de cifra puntual: rojo estructural de compliance (Fair Housing) —se declina por construcción.</w:t>
      </w:r>
    </w:p>
    <w:p>
      <w:pPr>
        <w:pStyle w:val="Heading1"/>
      </w:pPr>
      <w:r>
        <w:t>8. Triangulación — foso interno × evidencia mundial (2026)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Afirmación del ICP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Evidencia interna (canon Contexto)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Evidencia mundial (2026)</w:t>
            </w:r>
          </w:p>
        </w:tc>
      </w:tr>
      <w:tr>
        <w:tc>
          <w:tcPr>
            <w:tcW w:type="dxa" w:w="2880"/>
          </w:tcPr>
          <w:p>
            <w:r/>
            <w:r>
              <w:t>El valor está en transferir la responsabilidad, no en más datos</w:t>
            </w:r>
          </w:p>
        </w:tc>
        <w:tc>
          <w:tcPr>
            <w:tcW w:type="dxa" w:w="2880"/>
          </w:tcPr>
          <w:p>
            <w:r/>
            <w:r>
              <w:t>Investigación de comportamiento (Berridge, Kahneman, delegación de decisión)</w:t>
            </w:r>
          </w:p>
        </w:tc>
        <w:tc>
          <w:tcPr>
            <w:tcW w:type="dxa" w:w="2880"/>
          </w:tcPr>
          <w:p>
            <w:r/>
            <w:r>
              <w:t>44% paga por verificación humana; 66% usa corredor para verificar la IA; confianza en IA para vivienda cayó de 30% a 16%</w:t>
            </w:r>
          </w:p>
        </w:tc>
      </w:tr>
      <w:tr>
        <w:tc>
          <w:tcPr>
            <w:tcW w:type="dxa" w:w="2880"/>
          </w:tcPr>
          <w:p>
            <w:r/>
            <w:r>
              <w:t>El foso es la verdad verificada, no el chat</w:t>
            </w:r>
          </w:p>
        </w:tc>
        <w:tc>
          <w:tcPr>
            <w:tcW w:type="dxa" w:w="2880"/>
          </w:tcPr>
          <w:p>
            <w:r/>
            <w:r>
              <w:t>NORTHSTAR + Sistema Vivo (de ranking a recomendación)</w:t>
            </w:r>
          </w:p>
        </w:tc>
        <w:tc>
          <w:tcPr>
            <w:tcW w:type="dxa" w:w="2880"/>
          </w:tcPr>
          <w:p>
            <w:r/>
            <w:r>
              <w:t>Búsqueda conversacional se volvió commodity (Redfin, Zillow, Realtor.com); real estate = industria menos visible en AI Overviews de Google: 0,14%</w:t>
            </w:r>
          </w:p>
        </w:tc>
      </w:tr>
      <w:tr>
        <w:tc>
          <w:tcPr>
            <w:tcW w:type="dxa" w:w="2880"/>
          </w:tcPr>
          <w:p>
            <w:r/>
            <w:r>
              <w:t>LATAM sin MLS = foso más profundo</w:t>
            </w:r>
          </w:p>
        </w:tc>
        <w:tc>
          <w:tcPr>
            <w:tcW w:type="dxa" w:w="2880"/>
          </w:tcPr>
          <w:p>
            <w:r/>
            <w:r>
              <w:t>Estudio de adopción (informalidad estructural del suelo)</w:t>
            </w:r>
          </w:p>
        </w:tc>
        <w:tc>
          <w:tcPr>
            <w:tcW w:type="dxa" w:w="2880"/>
          </w:tcPr>
          <w:p>
            <w:r/>
            <w:r>
              <w:t>iBuying murió o pivotó en LATAM (La Haus, Loft, Casai); sobrevivientes apalancan al corredor (Habi, QuintoAndar)</w:t>
            </w:r>
          </w:p>
        </w:tc>
      </w:tr>
      <w:tr>
        <w:tc>
          <w:tcPr>
            <w:tcW w:type="dxa" w:w="2880"/>
          </w:tcPr>
          <w:p>
            <w:r/>
            <w:r>
              <w:t>El comprador joven es digital pero minoritario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Gen Z 4% + Millennials 26% de compradores; primerizos en mínimo histórico 21%; los jóvenes recurren a redes sociales + IA + pares</w:t>
            </w:r>
          </w:p>
        </w:tc>
      </w:tr>
      <w:tr>
        <w:tc>
          <w:tcPr>
            <w:tcW w:type="dxa" w:w="2880"/>
          </w:tcPr>
          <w:p>
            <w:r/>
            <w:r>
              <w:t>El pagador es el que sangra, nunca el consumidor</w:t>
            </w:r>
          </w:p>
        </w:tc>
        <w:tc>
          <w:tcPr>
            <w:tcW w:type="dxa" w:w="2880"/>
          </w:tcPr>
          <w:p>
            <w:r/>
            <w:r>
              <w:t>Tesis del copiloto fiduciario</w:t>
            </w:r>
          </w:p>
        </w:tc>
        <w:tc>
          <w:tcPr>
            <w:tcW w:type="dxa" w:w="2880"/>
          </w:tcPr>
          <w:p>
            <w:r/>
            <w:r>
              <w:t>Flyhomes no monetizó al comprador; Roam prueba que el comprador sí paga success-fee contingente; Esusu (unicornio) = "paga el que sangra"</w:t>
            </w:r>
          </w:p>
        </w:tc>
      </w:tr>
    </w:tbl>
    <w:p>
      <w:pPr>
        <w:pStyle w:val="Heading1"/>
      </w:pPr>
      <w:r>
        <w:t>9. Señales de intención mapeadas al ICP (del Motor de Intención)</w:t>
      </w:r>
    </w:p>
    <w:p>
      <w:r>
        <w:t>El ICP no es estático: es un recorrido de estados. Para el wedge Quito, el handoff al corredor (el momento de facturación) se dispara en el pico:</w:t>
      </w:r>
    </w:p>
    <w:p>
      <w:pPr>
        <w:pStyle w:val="ListBullet"/>
      </w:pPr>
      <w:r>
        <w:t>Estados 0–2 (Anónimo, Identificado, Explorando): la IA califica y nutre; el corredor no entra.</w:t>
      </w:r>
    </w:p>
    <w:p>
      <w:pPr>
        <w:pStyle w:val="ListBullet"/>
      </w:pPr>
      <w:r>
        <w:t>Estado 3 (Enganchado): profundiza en UN inmueble, pide ficha, "cómo es vivir aquí".</w:t>
      </w:r>
    </w:p>
    <w:p>
      <w:pPr>
        <w:pStyle w:val="ListBullet"/>
      </w:pPr>
      <w:r>
        <w:t>Estado 4 (Intención): pregunta precio / rentabilidad, "¿se puede visitar?", usa la ficha técnica → SE DISPARA EL HANDOFF.</w:t>
      </w:r>
    </w:p>
    <w:p>
      <w:pPr>
        <w:pStyle w:val="ListBullet"/>
      </w:pPr>
      <w:r>
        <w:t>Estados 5–7 (Confirmado, Completado, Returning): el corredor cierra; Contexto mide el outcome.</w:t>
      </w:r>
    </w:p>
    <w:p>
      <w:r>
        <w:t>El score de intención es explicable (honestidad como feature): "intención alta porque preguntó precio + pidió ficha + volvió 2 veces a la página". Eso es lo que se entrega al pagador —no un "alguien preguntó".</w:t>
      </w:r>
    </w:p>
    <w:p>
      <w:pPr>
        <w:pStyle w:val="Heading1"/>
      </w:pPr>
      <w:r>
        <w:t>10. Cómo validar (próximo paso verificable — no hecho en este documento)</w:t>
      </w:r>
    </w:p>
    <w:p>
      <w:r>
        <w:t xml:space="preserve">Este documento define el ICP; </w:t>
      </w:r>
      <w:r>
        <w:rPr>
          <w:b/>
        </w:rPr>
        <w:t>no lo valida en campo</w:t>
      </w:r>
      <w:r>
        <w:t>. Para cerrar el ciclo con disciplina:</w:t>
      </w:r>
    </w:p>
    <w:p>
      <w:pPr>
        <w:pStyle w:val="ListNumber"/>
      </w:pPr>
      <w:r>
        <w:rPr>
          <w:b/>
        </w:rPr>
        <w:t>Dimensionar el wedge en dólares:</w:t>
      </w:r>
      <w:r>
        <w:t xml:space="preserve"> cuántos compradores-habitante de valor medio compran obra nueva/usado al año en Quito, y cuánto vale un lead calificado para MAKLO y para el corredor.</w:t>
      </w:r>
    </w:p>
    <w:p>
      <w:pPr>
        <w:pStyle w:val="ListNumber"/>
      </w:pPr>
      <w:r>
        <w:rPr>
          <w:b/>
        </w:rPr>
        <w:t>Prueba de disposición a pagar del pagador:</w:t>
      </w:r>
      <w:r>
        <w:t xml:space="preserve"> confirmar con MAKLO y con un corredor real cuánto pagarían por un lead en estado Intención con resumen + verdad verificada.</w:t>
      </w:r>
    </w:p>
    <w:p>
      <w:pPr>
        <w:pStyle w:val="ListNumber"/>
      </w:pPr>
      <w:r>
        <w:rPr>
          <w:b/>
        </w:rPr>
        <w:t>Instrumentar el estado_intencion</w:t>
      </w:r>
      <w:r>
        <w:t xml:space="preserve"> (Fase 0 del Motor de Intención) para medir cuántos usuarios reales del piloto llegan al estado 4 —el ICP se valida cuando el embudo lo confirma, no cuando el documento lo afirma.</w:t>
      </w:r>
    </w:p>
    <w:p>
      <w:pPr>
        <w:pStyle w:val="ListNumber"/>
      </w:pPr>
      <w:r>
        <w:rPr>
          <w:b/>
        </w:rPr>
        <w:t>Falsadores explícitos:</w:t>
      </w:r>
      <w:r>
        <w:t xml:space="preserve"> si el pagador no paga por el lead, o si el usuario del wedge no llega al pico de intención, el wedge se revisa.</w:t>
      </w:r>
    </w:p>
    <w:p>
      <w:pPr>
        <w:pStyle w:val="Heading1"/>
      </w:pPr>
      <w:r>
        <w:t>11. Fuentes y nota de calibración</w:t>
      </w:r>
    </w:p>
    <w:p>
      <w:r>
        <w:rPr>
          <w:b/>
        </w:rPr>
        <w:t>Nivel de cada dato (disciplina de honestidad, coherente con la marca):</w:t>
      </w:r>
    </w:p>
    <w:p>
      <w:pPr>
        <w:pStyle w:val="ListBullet"/>
      </w:pPr>
      <w:r>
        <w:rPr>
          <w:b/>
        </w:rPr>
        <w:t>Verificado (fuente sólida):</w:t>
      </w:r>
      <w:r>
        <w:t xml:space="preserve"> los datos externos citados abajo y el canon interno de Contexto (NORTHSTAR, Sistema Vivo, Motor de Intención, estudio de adopción con gate de verificación).</w:t>
      </w:r>
    </w:p>
    <w:p>
      <w:pPr>
        <w:pStyle w:val="ListBullet"/>
      </w:pPr>
      <w:r>
        <w:rPr>
          <w:b/>
        </w:rPr>
        <w:t>Atribuido a fuente (no verdad Contexto):</w:t>
      </w:r>
      <w:r>
        <w:t xml:space="preserve"> las tesis de Senales-Brain —el copiloto fiduciario (emergente, confianza media) y los huecos de UX LATAM (confianza baja). Dirección, no hecho probado.</w:t>
      </w:r>
    </w:p>
    <w:p>
      <w:pPr>
        <w:pStyle w:val="ListBullet"/>
      </w:pPr>
      <w:r>
        <w:rPr>
          <w:b/>
        </w:rPr>
        <w:t>Hipótesis a validar:</w:t>
      </w:r>
      <w:r>
        <w:t xml:space="preserve"> que el wedge A (Quito habitante) supera a C (Mazatlán extranjero) como primario —fijado por decisión del fundador, aún sin validación de campo.</w:t>
      </w:r>
    </w:p>
    <w:p>
      <w:pPr>
        <w:pStyle w:val="ListBullet"/>
      </w:pPr>
      <w:r>
        <w:rPr>
          <w:b/>
        </w:rPr>
        <w:t>Riesgo abierto:</w:t>
      </w:r>
      <w:r>
        <w:t xml:space="preserve"> la adopción real de IA por el comprador es minoritaria (~20%). El ICP gana por confianza y verdad, no por novedad.</w:t>
      </w:r>
    </w:p>
    <w:p>
      <w:r>
        <w:rPr>
          <w:b/>
        </w:rPr>
        <w:t>Fuentes externas (web, 2026):</w:t>
      </w:r>
    </w:p>
    <w:p>
      <w:pPr>
        <w:pStyle w:val="ListBullet"/>
      </w:pPr>
      <w:r>
        <w:t>NAR — Baby Boomers largest share; first-time buyers 21% (record low): nar.realtor/newsroom</w:t>
      </w:r>
    </w:p>
    <w:p>
      <w:pPr>
        <w:pStyle w:val="ListBullet"/>
      </w:pPr>
      <w:r>
        <w:t>HousingWire — younger buyers turn to social media, AI and each other: housingwire.com</w:t>
      </w:r>
    </w:p>
    <w:p>
      <w:pPr>
        <w:pStyle w:val="ListBullet"/>
      </w:pPr>
      <w:r>
        <w:t>NextGen Homebuyer Report 2026 (Gen Z / Millennial): nextgenhomebuyer.com/reports/2026</w:t>
      </w:r>
    </w:p>
    <w:p>
      <w:pPr>
        <w:pStyle w:val="ListBullet"/>
      </w:pPr>
      <w:r>
        <w:t>BIESS CrediCasa 2.99% y banda de ingreso ≤ USD 1.527,94: ecuavisa.com y primicias.ec</w:t>
      </w:r>
    </w:p>
    <w:p>
      <w:pPr>
        <w:pStyle w:val="ListBullet"/>
      </w:pPr>
      <w:r>
        <w:t>Tasas hipotecarias Ecuador 2026 (8,33% vs 9,1% 2025): primicias.ec</w:t>
      </w:r>
    </w:p>
    <w:p>
      <w:pPr>
        <w:pStyle w:val="ListBullet"/>
      </w:pPr>
      <w:r>
        <w:t>BID — remesas a LATAM y Ecuador (~US$1.600M, 8% del PIB): iadb.org</w:t>
      </w:r>
    </w:p>
    <w:p>
      <w:pPr>
        <w:pStyle w:val="ListBullet"/>
      </w:pPr>
      <w:r>
        <w:t>Mazatlán buyer guide 2026 (retiro + remoto; condos USD 150–200k; centro UNESCO): crossinghq.com/mexico y mazatlanmove.com</w:t>
      </w:r>
    </w:p>
    <w:p>
      <w:r>
        <w:rPr>
          <w:b/>
        </w:rPr>
        <w:t>Anclas del canon interno:</w:t>
      </w:r>
      <w:r>
        <w:t xml:space="preserve"> NORTHSTAR_Contexto_Claude_Inmobiliario.md · VISION_Sistema_Vivo.md · MOTOR_Intencion_Contexto.md · INVESTIGACION_Comportamiento_y_Enganche.md · ESTUDIO_Adopcion_IA_Real_Estate_2026-07.md · Senales-Brain/wiki/tesis/El copiloto fiduciario del comprador informal no existe en LATAM.md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