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AGREEMENT</w:t>
      </w:r>
    </w:p>
    <w:p>
      <w:pPr>
        <w:pStyle w:val="Heading1"/>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pStyle w:val="Heading1"/>
      </w:pPr>
      <w:r>
        <w:t>2. Confidentiality</w:t>
      </w:r>
    </w:p>
    <w:p>
      <w:r>
        <w:t>Each party shall protect the other party's Confidential Information using reasonable efforts and shall not disclose it to any third party without prior written consent.</w:t>
      </w:r>
    </w:p>
    <w:p>
      <w:pPr>
        <w:pStyle w:val="Heading1"/>
      </w:pPr>
      <w:r>
        <w:t>3. Indemnification</w:t>
      </w:r>
    </w:p>
    <w:p>
      <w:r>
        <w:t>The Provider shall indemnify the Recipient against all claims whatsoever.</w:t>
      </w:r>
    </w:p>
    <w:p>
      <w:pPr>
        <w:pStyle w:val="Heading1"/>
      </w:pPr>
      <w:r>
        <w:t>4. Term and Termination</w:t>
      </w:r>
    </w:p>
    <w:p>
      <w:r>
        <w:t>The Receiving Party's obligations under this Section 4 survive termination for a period of three (3) years - unless earlier terminated by written notice.</w:t>
      </w:r>
    </w:p>
    <w:p>
      <w:pPr>
        <w:pStyle w:val="Heading1"/>
      </w:pPr>
      <w:r>
        <w:t>5. Governing Law</w:t>
      </w:r>
    </w:p>
    <w:p>
      <w:r>
        <w:t>This Agreement is governed by the laws of the State of Delaware, without regard to its conflict of laws principles.</w:t>
      </w:r>
    </w:p>
    <w:p>
      <w:pPr>
        <w:pStyle w:val="Heading1"/>
      </w:pPr>
      <w:r>
        <w:t>6. Return of Materials</w:t>
      </w:r>
    </w:p>
    <w:p>
      <w:r>
        <w:t>Upon request, each party shall return or destroy all documents containing the other party's Confidential Information.</w:t>
      </w:r>
    </w:p>
    <w:tbl>
      <w:tblPr>
        <w:tblW w:type="auto" w:w="0"/>
        <w:tblLook w:firstColumn="1" w:firstRow="1" w:lastColumn="0" w:lastRow="0" w:noHBand="0" w:noVBand="1" w:val="04A0"/>
      </w:tblPr>
      <w:tblGrid>
        <w:gridCol w:w="4320"/>
        <w:gridCol w:w="4320"/>
      </w:tblGrid>
      <w:tr>
        <w:tc>
          <w:tcPr>
            <w:tcW w:type="dxa" w:w="4320"/>
          </w:tcPr>
          <w:p>
            <w:r>
              <w:t>Party</w:t>
            </w:r>
          </w:p>
        </w:tc>
        <w:tc>
          <w:tcPr>
            <w:tcW w:type="dxa" w:w="4320"/>
          </w:tcPr>
          <w:p>
            <w:r>
              <w:t>Notice Address</w:t>
            </w:r>
          </w:p>
        </w:tc>
      </w:tr>
      <w:tr>
        <w:tc>
          <w:tcPr>
            <w:tcW w:type="dxa" w:w="4320"/>
          </w:tcPr>
          <w:p>
            <w:r>
              <w:t>Provider</w:t>
            </w:r>
          </w:p>
        </w:tc>
        <w:tc>
          <w:tcPr>
            <w:tcW w:type="dxa" w:w="4320"/>
          </w:tcPr>
          <w:p>
            <w:r>
              <w:t>500 Synthetic Ave, Suite 100</w:t>
            </w:r>
          </w:p>
        </w:tc>
      </w:tr>
      <w:tr>
        <w:tc>
          <w:tcPr>
            <w:tcW w:type="dxa" w:w="4320"/>
          </w:tcPr>
          <w:p>
            <w:r>
              <w:t>Recipient</w:t>
            </w:r>
          </w:p>
        </w:tc>
        <w:tc>
          <w:tcPr>
            <w:tcW w:type="dxa" w:w="4320"/>
          </w:tcPr>
          <w:p>
            <w:r>
              <w:t>800 Fabricated Blvd, Suite 200</w:t>
            </w:r>
          </w:p>
        </w:tc>
      </w:tr>
    </w:tbl>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default footer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first-page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default header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first-page header</w:t>
    </w:r>
  </w:p>
  <w:p>
    <w:r>
      <w:drawing>
        <wp:inline xmlns:wp="http://schemas.openxmlformats.org/drawingml/2006/wordprocessingDrawing">
          <wp:extent cx="1308824" cy="404813"/>
          <wp:effectExtent b="0" l="0" r="0" t="0"/>
          <wp:docPr descr="Icon&#10;&#10;Description automatically generated" id="5" name="image1.png"/>
          <wp:cNvGraphicFramePr/>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