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Preamble</w:t>
      </w:r>
    </w:p>
    <w:p>
      <w:r>
        <w:t>Preamble</w:t>
      </w:r>
    </w:p>
    <w:p>
      <w:pPr>
        <w:pStyle w:val="Heading1"/>
      </w:pPr>
      <w:r>
        <w:t>Signature Block</w:t>
      </w:r>
    </w:p>
    <w:p>
      <w:r>
        <w:t>Signature Block</w:t>
      </w:r>
    </w:p>
    <w:p>
      <w:pPr>
        <w:pStyle w:val="Heading1"/>
      </w:pPr>
      <w:r>
        <w:t>Student Training Program</w:t>
      </w:r>
    </w:p>
    <w:p>
      <w:r>
        <w:t>Student Training Program</w:t>
      </w:r>
    </w:p>
    <w:p>
      <w:pPr>
        <w:pStyle w:val="Heading1"/>
      </w:pPr>
      <w:r>
        <w:t>General Obligations</w:t>
      </w:r>
    </w:p>
    <w:p>
      <w:r>
        <w:t>General Obligations</w:t>
      </w:r>
    </w:p>
    <w:p>
      <w:pPr>
        <w:pStyle w:val="Heading1"/>
      </w:pPr>
      <w:r>
        <w:t>Admitting Students</w:t>
      </w:r>
    </w:p>
    <w:p>
      <w:r>
        <w:t>The Company has sole discretion to admit students; reserves the right to expel based on its reasonable and final determination; retains final authority over all aspects of the Company operations and clinical care.</w:t>
      </w:r>
    </w:p>
    <w:p>
      <w:pPr>
        <w:pStyle w:val="Heading1"/>
      </w:pPr>
      <w:r>
        <w:t>Inspections</w:t>
      </w:r>
    </w:p>
    <w:p>
      <w:r>
        <w:t>Institution may inspect any Facility where a Student is placed, upon reasonable request.</w:t>
      </w:r>
    </w:p>
    <w:p>
      <w:pPr>
        <w:pStyle w:val="Heading1"/>
      </w:pPr>
      <w:r>
        <w:t>Expulsion</w:t>
      </w:r>
    </w:p>
    <w:p>
      <w:r>
        <w:t>The Company has sole discretion to admit students; reserves the right to expel based on its reasonable and final determination; retains final authority over all aspects of the Company operations and clinical care.</w:t>
      </w:r>
    </w:p>
    <w:p>
      <w:pPr>
        <w:pStyle w:val="Heading1"/>
      </w:pPr>
      <w:r>
        <w:t>No Remuneration</w:t>
      </w:r>
    </w:p>
    <w:p>
      <w:r>
        <w:t>No payment between parties; no student remuneration.</w:t>
      </w:r>
    </w:p>
    <w:p>
      <w:pPr>
        <w:pStyle w:val="Heading1"/>
      </w:pPr>
      <w:r>
        <w:t>No Insurance/Benefits</w:t>
      </w:r>
    </w:p>
    <w:p>
      <w:r>
        <w:t>Students are not the Company employees and receive no benefits; students are covered by workers' compensation as volunteers only.</w:t>
      </w:r>
    </w:p>
    <w:p>
      <w:pPr>
        <w:pStyle w:val="Heading1"/>
      </w:pPr>
      <w:r>
        <w:t>Final Authority</w:t>
      </w:r>
    </w:p>
    <w:p>
      <w:r>
        <w:t>The Company has sole discretion to admit students; reserves the right to expel based on its reasonable and final determination; retains final authority over all aspects of the Company operations and clinical care.</w:t>
      </w:r>
    </w:p>
    <w:p>
      <w:pPr>
        <w:pStyle w:val="Heading1"/>
      </w:pPr>
      <w:r>
        <w:t>Term</w:t>
      </w:r>
    </w:p>
    <w:p>
      <w:r>
        <w:t>5-year initial term; automatic 1-year renewals; 60 days written notice for non-renewal; clinical experience preserved through end of student's program even on non-renewal.</w:t>
      </w:r>
    </w:p>
    <w:p>
      <w:pPr>
        <w:pStyle w:val="Heading1"/>
      </w:pPr>
      <w:r>
        <w:t>Termination</w:t>
      </w:r>
    </w:p>
    <w:p>
      <w:r>
        <w:t>Termination</w:t>
      </w:r>
    </w:p>
    <w:p>
      <w:pPr>
        <w:pStyle w:val="Heading1"/>
      </w:pPr>
      <w:r>
        <w:t>For Cause</w:t>
      </w:r>
    </w:p>
    <w:p>
      <w:r>
        <w:t>Mutual right to terminate for breach with 30 days notice and cure opportunity; immediate termination right on accreditation loss.</w:t>
      </w:r>
    </w:p>
    <w:p>
      <w:pPr>
        <w:pStyle w:val="Heading1"/>
      </w:pPr>
      <w:r>
        <w:t>Effect of Termination</w:t>
      </w:r>
    </w:p>
    <w:p>
      <w:r>
        <w:t>Survival is limited to: Confidentiality, Limitation on Liability, Assignment to Operating Entity, and Miscellaneous.</w:t>
      </w:r>
    </w:p>
    <w:p>
      <w:pPr>
        <w:pStyle w:val="Heading1"/>
      </w:pPr>
      <w:r>
        <w:t>Compliance</w:t>
      </w:r>
    </w:p>
    <w:p>
      <w:r>
        <w:t>Each party complies with all relevant federal and state laws and regulations applicable to its role, including Federal Health Care Program requirements.</w:t>
      </w:r>
    </w:p>
    <w:p>
      <w:pPr>
        <w:pStyle w:val="Heading1"/>
      </w:pPr>
      <w:r>
        <w:t>Non-Discrimination</w:t>
      </w:r>
    </w:p>
    <w:p>
      <w:r>
        <w:t>Mutual non-discrimination across enumerated protected classes, compliance with applicable anti-discrimination laws and institutional policies.</w:t>
      </w:r>
    </w:p>
    <w:p>
      <w:pPr>
        <w:pStyle w:val="Heading1"/>
      </w:pPr>
      <w:r>
        <w:t>Student Records</w:t>
      </w:r>
    </w:p>
    <w:p>
      <w:r>
        <w:t>FERPA acknowledged; student consent required before releasing specific data to anyone other than the institution.</w:t>
      </w:r>
    </w:p>
    <w:p>
      <w:pPr>
        <w:pStyle w:val="Heading1"/>
      </w:pPr>
      <w:r>
        <w:t>HIPAA</w:t>
      </w:r>
    </w:p>
    <w:p>
      <w:r>
        <w:t>Neither party is a Business Associate of the other; students are subject to the Company policies and may use PHI only for legitimate authorized purposes under supervision.</w:t>
      </w:r>
    </w:p>
    <w:p>
      <w:pPr>
        <w:pStyle w:val="Heading1"/>
      </w:pPr>
      <w:r>
        <w:t>Confidentiality</w:t>
      </w:r>
    </w:p>
    <w:p>
      <w:r>
        <w:t>Mutual confidentiality with reasonable-care standard; standard exceptions (public/prior/independent/third-party); compelled-disclosure carve-out with prior notice; destruction on request other than backup copies not readily accessible.</w:t>
      </w:r>
    </w:p>
    <w:p>
      <w:pPr>
        <w:pStyle w:val="Heading1"/>
      </w:pPr>
      <w:r>
        <w:t>Limitation on Liability</w:t>
      </w:r>
    </w:p>
    <w:p>
      <w:r>
        <w:t>$150,000 mutual aggregate liability cap; mutual exclusion of consequential, special, punitive, incidental, and indirect damages; no implied warranties beyond those expressly set forth. Neither party shall be liable to the other for consequential damages.</w:t>
      </w:r>
    </w:p>
    <w:p>
      <w:pPr>
        <w:pStyle w:val="Heading1"/>
      </w:pPr>
      <w:r>
        <w:t>Assignment to Operating Entity</w:t>
      </w:r>
    </w:p>
    <w:p>
      <w:r>
        <w:t>Automatic assignment to the the Company affiliate operating the Facility where a Student is placed; named affiliate list and catch-all for future affiliates.</w:t>
      </w:r>
    </w:p>
    <w:p>
      <w:pPr>
        <w:pStyle w:val="Heading1"/>
      </w:pPr>
      <w:r>
        <w:t>Miscellaneous: Notices</w:t>
      </w:r>
    </w:p>
    <w:p>
      <w:r>
        <w:t>Email notices effective upon reply acknowledgment (auto-responses excluded); postal notices via certified mail or overnight courier, effective one day after receipt.</w:t>
      </w:r>
    </w:p>
    <w:p>
      <w:pPr>
        <w:pStyle w:val="Heading1"/>
      </w:pPr>
      <w:r>
        <w:t>Miscellaneous: Non-Exclusive</w:t>
      </w:r>
    </w:p>
    <w:p>
      <w:r>
        <w:t>Non-exclusive in both directions. Either party may engage other counterparties. Institution shall be the sole provider of clinical placements for this program.</w:t>
      </w:r>
    </w:p>
    <w:p>
      <w:pPr>
        <w:pStyle w:val="Heading1"/>
      </w:pPr>
      <w:r>
        <w:t>Miscellaneous: Entire Agreement and Amendment</w:t>
      </w:r>
    </w:p>
    <w:p>
      <w:r>
        <w:t>Entire agreement; only written amendment signed by both parties (manually or via e-sign).</w:t>
      </w:r>
    </w:p>
    <w:p>
      <w:pPr>
        <w:pStyle w:val="Heading1"/>
      </w:pPr>
      <w:r>
        <w:t>Miscellaneous: Order of Precedence</w:t>
      </w:r>
    </w:p>
    <w:p>
      <w:r>
        <w:t>Sections 7–10 of the Terms (Confidentiality, Limitation on Liability, Assignment, Miscellaneous) prevail over conflicting Additional Terms; conflicting Additional Terms are void.</w:t>
      </w:r>
    </w:p>
    <w:sectPr/>
  </w:body>
</w:document>
</file>