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Governing Law</w:t>
      </w:r>
    </w:p>
    <w:p>
      <w:r>
        <w:t>This Agreement shall be governed by the laws of </w:t>
      </w:r>
      <w:fldSimple w:instr=" REF GoverningLawJurisdiction ">
        <w:r>
          <w:t>Delaware</w:t>
        </w:r>
      </w:fldSimple>
      <w:r>
        <w:t>.</w:t>
      </w:r>
    </w:p>
    <w:sectPr/>
  </w:body>
</w:document>
</file>