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Confidentiality</w:t>
      </w:r>
    </w:p>
    <w:p>
      <w:r>
        <w:t>The Receiving Party shall protect Confidential Information using reasonable care.</w:t>
      </w:r>
    </w:p>
    <w:p>
      <w:r>
        <w:t>Any breach shall be reported within five business days.</w:t>
      </w:r>
    </w:p>
    <w:sectPr/>
  </w:body>
</w:document>
</file>