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Mutual Non-Disclosure Agreement</w:t>
      </w:r>
    </w:p>
    <w:p>
      <w:r>
        <w:t>1. Confidential Information. Each party may disclose confidential information to the other.</w:t>
      </w:r>
    </w:p>
    <w:p>
      <w:r>
        <w:t>2. Indemnification. The Recipient shall indemnify the Discloser for all claims whatsoever.</w:t>
      </w:r>
    </w:p>
    <w:p>
      <w:r>
        <w:t>3. Governing Law. This Agreement is governed by the laws of Delaware.</w:t>
      </w:r>
    </w:p>
    <w:sectPr/>
  </w:body>
</w:document>
</file>