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 PROCESSING ADDENDUM</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Sub-processors</w:t>
      </w:r>
    </w:p>
    <w:p>
      <w:r>
        <w:t>Processor may engage sub-processors provided it maintains a current list and imposes materially equivalent obligations.</w:t>
      </w:r>
    </w:p>
    <w:tbl>
      <w:tblPr>
        <w:tblW w:type="auto" w:w="0"/>
        <w:tblLook w:firstColumn="1" w:firstRow="1" w:lastColumn="0" w:lastRow="0" w:noHBand="0" w:noVBand="1" w:val="04A0"/>
      </w:tblPr>
      <w:tblGrid>
        <w:gridCol w:w="4320"/>
        <w:gridCol w:w="4320"/>
      </w:tblGrid>
      <w:tr>
        <w:tc>
          <w:tcPr>
            <w:tcW w:type="dxa" w:w="4320"/>
          </w:tcPr>
          <w:p>
            <w:r>
              <w:t>Sub-processor</w:t>
            </w:r>
          </w:p>
        </w:tc>
        <w:tc>
          <w:tcPr>
            <w:tcW w:type="dxa" w:w="4320"/>
          </w:tcPr>
          <w:p>
            <w:r>
              <w:t>Processing Location</w:t>
            </w:r>
          </w:p>
        </w:tc>
      </w:tr>
      <w:tr>
        <w:tc>
          <w:tcPr>
            <w:tcW w:type="dxa" w:w="4320"/>
          </w:tcPr>
          <w:p>
            <w:r>
              <w:t>Synthetic Hosting Co.</w:t>
            </w:r>
          </w:p>
        </w:tc>
        <w:tc>
          <w:tcPr>
            <w:tcW w:type="dxa" w:w="4320"/>
          </w:tcPr>
          <w:p>
            <w:r>
              <w:t>Ireland</w:t>
            </w:r>
          </w:p>
        </w:tc>
      </w:tr>
      <w:tr>
        <w:tc>
          <w:tcPr>
            <w:tcW w:type="dxa" w:w="4320"/>
          </w:tcPr>
          <w:p>
            <w:r>
              <w:t>Fabricated Analytics Inc.</w:t>
            </w:r>
          </w:p>
        </w:tc>
        <w:tc>
          <w:tcPr>
            <w:tcW w:type="dxa" w:w="4320"/>
          </w:tcPr>
          <w:p>
            <w:r>
              <w:t>United States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