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Indemnification</w:t>
      </w:r>
    </w:p>
    <w:p>
      <w:r>
        <w:t>The Institution’s indemnity covers the acts and omissions of the Institution’s employees, agents and volunteers while acting on the Institution’s behalf.</w:t>
      </w:r>
    </w:p>
    <w:p>
      <w:pPr>
        <w:pStyle w:val="Heading1"/>
      </w:pPr>
      <w:r>
        <w:t>Confidentiality</w:t>
      </w:r>
    </w:p>
    <w:p>
      <w:r>
        <w:t>The Institution shall not disclose any “Confidential Information” of the Company – including any protected health information (“PHI”) – to any third party.</w:t>
      </w:r>
    </w:p>
    <w:sectPr/>
  </w:body>
</w:document>
</file>