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96F1DB" w14:textId="77777777" w:rsidR="00BE0B87" w:rsidRPr="00933207" w:rsidRDefault="00BE0B87" w:rsidP="00BE0B87">
      <w:pPr>
        <w:pStyle w:val="Heading1"/>
        <w:rPr>
          <w:rFonts w:asciiTheme="minorHAnsi" w:hAnsiTheme="minorHAnsi" w:cstheme="minorHAnsi"/>
        </w:rPr>
      </w:pPr>
      <w:r w:rsidRPr="00933207">
        <w:rPr>
          <w:rFonts w:asciiTheme="minorHAnsi" w:hAnsiTheme="minorHAnsi" w:cstheme="minorHAnsi"/>
        </w:rPr>
        <w:t xml:space="preserve">Statutory conspiracy </w:t>
      </w:r>
    </w:p>
    <w:p w14:paraId="0F5E5B24" w14:textId="5D58A899" w:rsidR="007D3F50" w:rsidRPr="00933207" w:rsidRDefault="007D3F50" w:rsidP="007D3F50">
      <w:pPr>
        <w:pStyle w:val="NormalWeb"/>
        <w:numPr>
          <w:ilvl w:val="0"/>
          <w:numId w:val="1"/>
        </w:numPr>
        <w:shd w:val="clear" w:color="auto" w:fill="FFFFFF"/>
        <w:spacing w:before="120" w:beforeAutospacing="0" w:after="120" w:afterAutospacing="0" w:line="360" w:lineRule="auto"/>
        <w:rPr>
          <w:rFonts w:asciiTheme="minorHAnsi" w:hAnsiTheme="minorHAnsi" w:cstheme="minorHAnsi"/>
          <w:color w:val="000000" w:themeColor="text1"/>
          <w:sz w:val="22"/>
          <w:szCs w:val="22"/>
          <w:shd w:val="clear" w:color="auto" w:fill="FFFFFF"/>
        </w:rPr>
      </w:pPr>
      <w:r w:rsidRPr="00933207">
        <w:rPr>
          <w:rFonts w:asciiTheme="minorHAnsi" w:hAnsiTheme="minorHAnsi" w:cstheme="minorHAnsi"/>
          <w:color w:val="000000" w:themeColor="text1"/>
          <w:sz w:val="22"/>
          <w:szCs w:val="22"/>
          <w:shd w:val="clear" w:color="auto" w:fill="FFFFFF"/>
        </w:rPr>
        <w:t xml:space="preserve">The essential element of the crime of conspiracy is the agreement by two or more people to carry out a </w:t>
      </w:r>
      <w:r w:rsidRPr="00413BA1">
        <w:rPr>
          <w:rFonts w:asciiTheme="minorHAnsi" w:hAnsiTheme="minorHAnsi" w:cstheme="minorHAnsi"/>
          <w:color w:val="000000" w:themeColor="text1"/>
          <w:sz w:val="22"/>
          <w:szCs w:val="22"/>
          <w:shd w:val="clear" w:color="auto" w:fill="FFFFFF"/>
        </w:rPr>
        <w:t xml:space="preserve">criminal act. The </w:t>
      </w:r>
      <w:r w:rsidRPr="00413BA1">
        <w:rPr>
          <w:rFonts w:asciiTheme="minorHAnsi" w:hAnsiTheme="minorHAnsi" w:cstheme="minorHAnsi"/>
          <w:i/>
          <w:color w:val="000000" w:themeColor="text1"/>
          <w:sz w:val="22"/>
          <w:szCs w:val="22"/>
          <w:shd w:val="clear" w:color="auto" w:fill="FFFFFF"/>
        </w:rPr>
        <w:t xml:space="preserve">actus </w:t>
      </w:r>
      <w:proofErr w:type="spellStart"/>
      <w:r w:rsidRPr="00413BA1">
        <w:rPr>
          <w:rFonts w:asciiTheme="minorHAnsi" w:hAnsiTheme="minorHAnsi" w:cstheme="minorHAnsi"/>
          <w:i/>
          <w:color w:val="000000" w:themeColor="text1"/>
          <w:sz w:val="22"/>
          <w:szCs w:val="22"/>
          <w:shd w:val="clear" w:color="auto" w:fill="FFFFFF"/>
        </w:rPr>
        <w:t>reus</w:t>
      </w:r>
      <w:proofErr w:type="spellEnd"/>
      <w:r w:rsidRPr="00413BA1">
        <w:rPr>
          <w:rFonts w:asciiTheme="minorHAnsi" w:hAnsiTheme="minorHAnsi" w:cstheme="minorHAnsi"/>
          <w:color w:val="000000" w:themeColor="text1"/>
          <w:sz w:val="22"/>
          <w:szCs w:val="22"/>
          <w:shd w:val="clear" w:color="auto" w:fill="FFFFFF"/>
        </w:rPr>
        <w:t xml:space="preserve"> is the agreement, not the execution of the conspirac</w:t>
      </w:r>
      <w:r w:rsidRPr="00413BA1">
        <w:rPr>
          <w:rFonts w:asciiTheme="minorHAnsi" w:hAnsiTheme="minorHAnsi" w:cstheme="minorHAnsi"/>
          <w:color w:val="000000" w:themeColor="text1"/>
          <w:sz w:val="22"/>
          <w:szCs w:val="22"/>
          <w:shd w:val="clear" w:color="auto" w:fill="FFFFFF"/>
        </w:rPr>
        <w:t>y (</w:t>
      </w:r>
      <w:r w:rsidRPr="00413BA1">
        <w:rPr>
          <w:rFonts w:asciiTheme="minorHAnsi" w:hAnsiTheme="minorHAnsi" w:cstheme="minorHAnsi"/>
          <w:color w:val="000000" w:themeColor="text1"/>
          <w:sz w:val="22"/>
          <w:szCs w:val="22"/>
        </w:rPr>
        <w:t xml:space="preserve">Although informative, the motives of the parties do not matter. All that must be shown is an agreement to commit the criminal offence: </w:t>
      </w:r>
      <w:r w:rsidRPr="00413BA1">
        <w:rPr>
          <w:rStyle w:val="Emphasis"/>
          <w:rFonts w:asciiTheme="minorHAnsi" w:hAnsiTheme="minorHAnsi" w:cstheme="minorHAnsi"/>
          <w:color w:val="000000" w:themeColor="text1"/>
          <w:sz w:val="22"/>
          <w:szCs w:val="22"/>
          <w:shd w:val="clear" w:color="auto" w:fill="FFFFFF"/>
        </w:rPr>
        <w:t>Yip Chiu-Cheung v The Queen</w:t>
      </w:r>
      <w:r w:rsidRPr="00413BA1">
        <w:rPr>
          <w:rFonts w:asciiTheme="minorHAnsi" w:hAnsiTheme="minorHAnsi" w:cstheme="minorHAnsi"/>
          <w:color w:val="000000" w:themeColor="text1"/>
          <w:sz w:val="22"/>
          <w:szCs w:val="22"/>
          <w:shd w:val="clear" w:color="auto" w:fill="FFFFFF"/>
        </w:rPr>
        <w:t> (1994) 2 All E.R. 924</w:t>
      </w:r>
      <w:r w:rsidRPr="00413BA1">
        <w:rPr>
          <w:rFonts w:asciiTheme="minorHAnsi" w:hAnsiTheme="minorHAnsi" w:cstheme="minorHAnsi"/>
          <w:color w:val="000000" w:themeColor="text1"/>
          <w:sz w:val="22"/>
          <w:szCs w:val="22"/>
          <w:shd w:val="clear" w:color="auto" w:fill="FFFFFF"/>
        </w:rPr>
        <w:t>)</w:t>
      </w:r>
      <w:r w:rsidRPr="00413BA1">
        <w:rPr>
          <w:rFonts w:asciiTheme="minorHAnsi" w:hAnsiTheme="minorHAnsi" w:cstheme="minorHAnsi"/>
          <w:color w:val="000000" w:themeColor="text1"/>
          <w:sz w:val="22"/>
          <w:szCs w:val="22"/>
          <w:shd w:val="clear" w:color="auto" w:fill="FFFFFF"/>
        </w:rPr>
        <w:t xml:space="preserve">. </w:t>
      </w:r>
      <w:r w:rsidRPr="00413BA1">
        <w:rPr>
          <w:rFonts w:asciiTheme="minorHAnsi" w:hAnsiTheme="minorHAnsi" w:cstheme="minorHAnsi"/>
          <w:color w:val="000000" w:themeColor="text1"/>
          <w:sz w:val="22"/>
          <w:szCs w:val="22"/>
        </w:rPr>
        <w:t xml:space="preserve">The agreement may be express or implied, or a combination of both. However, a mere negotiation is not enough. For example, in </w:t>
      </w:r>
      <w:r w:rsidRPr="00413BA1">
        <w:rPr>
          <w:rStyle w:val="Emphasis"/>
          <w:rFonts w:asciiTheme="minorHAnsi" w:hAnsiTheme="minorHAnsi" w:cstheme="minorHAnsi"/>
          <w:color w:val="000000"/>
          <w:sz w:val="22"/>
          <w:szCs w:val="22"/>
          <w:bdr w:val="none" w:sz="0" w:space="0" w:color="auto" w:frame="1"/>
          <w:shd w:val="clear" w:color="auto" w:fill="FFFFFF"/>
        </w:rPr>
        <w:t>R v Jones</w:t>
      </w:r>
      <w:r w:rsidRPr="00413BA1">
        <w:rPr>
          <w:rFonts w:asciiTheme="minorHAnsi" w:hAnsiTheme="minorHAnsi" w:cstheme="minorHAnsi"/>
          <w:i/>
          <w:iCs/>
          <w:color w:val="000000"/>
          <w:sz w:val="22"/>
          <w:szCs w:val="22"/>
          <w:bdr w:val="none" w:sz="0" w:space="0" w:color="auto" w:frame="1"/>
          <w:shd w:val="clear" w:color="auto" w:fill="FFFFFF"/>
        </w:rPr>
        <w:t xml:space="preserve"> (</w:t>
      </w:r>
      <w:r w:rsidRPr="00413BA1">
        <w:rPr>
          <w:rFonts w:asciiTheme="minorHAnsi" w:hAnsiTheme="minorHAnsi" w:cstheme="minorHAnsi"/>
          <w:color w:val="000000"/>
          <w:sz w:val="22"/>
          <w:szCs w:val="22"/>
          <w:shd w:val="clear" w:color="auto" w:fill="FFFFFF"/>
        </w:rPr>
        <w:t>(1832) 4 B &amp; Ad 345 at 349</w:t>
      </w:r>
      <w:r w:rsidRPr="00413BA1">
        <w:rPr>
          <w:rFonts w:asciiTheme="minorHAnsi" w:hAnsiTheme="minorHAnsi" w:cstheme="minorHAnsi"/>
          <w:color w:val="000000"/>
          <w:sz w:val="22"/>
          <w:szCs w:val="22"/>
          <w:shd w:val="clear" w:color="auto" w:fill="FFFFFF"/>
        </w:rPr>
        <w:t>)</w:t>
      </w:r>
      <w:r w:rsidRPr="00413BA1">
        <w:rPr>
          <w:rFonts w:asciiTheme="minorHAnsi" w:hAnsiTheme="minorHAnsi" w:cstheme="minorHAnsi"/>
          <w:color w:val="000000"/>
          <w:sz w:val="22"/>
          <w:szCs w:val="22"/>
          <w:shd w:val="clear" w:color="auto" w:fill="FFFFFF"/>
        </w:rPr>
        <w:t xml:space="preserve"> per</w:t>
      </w:r>
      <w:r w:rsidRPr="00933207">
        <w:rPr>
          <w:rFonts w:asciiTheme="minorHAnsi" w:hAnsiTheme="minorHAnsi" w:cstheme="minorHAnsi"/>
          <w:color w:val="000000"/>
          <w:sz w:val="22"/>
          <w:szCs w:val="22"/>
          <w:shd w:val="clear" w:color="auto" w:fill="FFFFFF"/>
        </w:rPr>
        <w:t xml:space="preserve"> Denman CJ, it was held a person cannot be party to an agreement by an uncommunicated intention to enter into that agreement. There must also be a </w:t>
      </w:r>
      <w:r w:rsidRPr="00933207">
        <w:rPr>
          <w:rFonts w:asciiTheme="minorHAnsi" w:hAnsiTheme="minorHAnsi" w:cstheme="minorHAnsi"/>
          <w:color w:val="000000" w:themeColor="text1"/>
          <w:sz w:val="22"/>
          <w:szCs w:val="22"/>
          <w:shd w:val="clear" w:color="auto" w:fill="FFFFFF"/>
        </w:rPr>
        <w:t xml:space="preserve">‘meeting of minds’. </w:t>
      </w:r>
    </w:p>
    <w:p w14:paraId="7ECB1DA9" w14:textId="6246582E" w:rsidR="00BE0B87" w:rsidRPr="00933207" w:rsidRDefault="007D3F50" w:rsidP="00933207">
      <w:pPr>
        <w:pStyle w:val="NormalWeb"/>
        <w:numPr>
          <w:ilvl w:val="0"/>
          <w:numId w:val="1"/>
        </w:numPr>
        <w:shd w:val="clear" w:color="auto" w:fill="FFFFFF"/>
        <w:spacing w:before="120" w:beforeAutospacing="0" w:after="120" w:afterAutospacing="0" w:line="360" w:lineRule="auto"/>
        <w:rPr>
          <w:rFonts w:asciiTheme="minorHAnsi" w:hAnsiTheme="minorHAnsi" w:cstheme="minorHAnsi"/>
          <w:color w:val="000000" w:themeColor="text1"/>
        </w:rPr>
      </w:pPr>
      <w:r w:rsidRPr="00933207">
        <w:rPr>
          <w:rFonts w:asciiTheme="minorHAnsi" w:hAnsiTheme="minorHAnsi" w:cstheme="minorHAnsi"/>
          <w:color w:val="000000" w:themeColor="text1"/>
          <w:sz w:val="22"/>
          <w:szCs w:val="22"/>
          <w:shd w:val="clear" w:color="auto" w:fill="FFFFFF"/>
        </w:rPr>
        <w:t>Two parties pursuing the same goal at the same time is not enough</w:t>
      </w:r>
      <w:r w:rsidRPr="00933207">
        <w:rPr>
          <w:rFonts w:asciiTheme="minorHAnsi" w:hAnsiTheme="minorHAnsi" w:cstheme="minorHAnsi"/>
          <w:color w:val="000000" w:themeColor="text1"/>
          <w:sz w:val="22"/>
          <w:szCs w:val="22"/>
          <w:shd w:val="clear" w:color="auto" w:fill="FFFFFF"/>
        </w:rPr>
        <w:t xml:space="preserve"> (</w:t>
      </w:r>
      <w:r w:rsidRPr="00933207">
        <w:rPr>
          <w:rStyle w:val="Emphasis"/>
          <w:rFonts w:asciiTheme="minorHAnsi" w:hAnsiTheme="minorHAnsi" w:cstheme="minorHAnsi"/>
          <w:color w:val="000000"/>
          <w:sz w:val="22"/>
          <w:szCs w:val="22"/>
          <w:bdr w:val="none" w:sz="0" w:space="0" w:color="auto" w:frame="1"/>
          <w:shd w:val="clear" w:color="auto" w:fill="FFFFFF"/>
        </w:rPr>
        <w:t>R v Walker </w:t>
      </w:r>
      <w:r w:rsidRPr="00933207">
        <w:rPr>
          <w:rFonts w:asciiTheme="minorHAnsi" w:hAnsiTheme="minorHAnsi" w:cstheme="minorHAnsi"/>
          <w:color w:val="000000"/>
          <w:sz w:val="22"/>
          <w:szCs w:val="22"/>
          <w:shd w:val="clear" w:color="auto" w:fill="FFFFFF"/>
        </w:rPr>
        <w:t>[1962] Crim LR 458, CA; </w:t>
      </w:r>
      <w:r w:rsidRPr="00933207">
        <w:rPr>
          <w:rStyle w:val="Emphasis"/>
          <w:rFonts w:asciiTheme="minorHAnsi" w:hAnsiTheme="minorHAnsi" w:cstheme="minorHAnsi"/>
          <w:color w:val="000000"/>
          <w:sz w:val="22"/>
          <w:szCs w:val="22"/>
          <w:bdr w:val="none" w:sz="0" w:space="0" w:color="auto" w:frame="1"/>
          <w:shd w:val="clear" w:color="auto" w:fill="FFFFFF"/>
        </w:rPr>
        <w:t>R v Mills </w:t>
      </w:r>
      <w:r w:rsidRPr="00933207">
        <w:rPr>
          <w:rFonts w:asciiTheme="minorHAnsi" w:hAnsiTheme="minorHAnsi" w:cstheme="minorHAnsi"/>
          <w:sz w:val="22"/>
          <w:szCs w:val="22"/>
          <w:bdr w:val="none" w:sz="0" w:space="0" w:color="auto" w:frame="1"/>
          <w:shd w:val="clear" w:color="auto" w:fill="FFFFFF"/>
        </w:rPr>
        <w:t>[1963] 1 QB 522</w:t>
      </w:r>
      <w:r w:rsidRPr="00933207">
        <w:rPr>
          <w:rFonts w:asciiTheme="minorHAnsi" w:hAnsiTheme="minorHAnsi" w:cstheme="minorHAnsi"/>
          <w:color w:val="000000"/>
          <w:sz w:val="22"/>
          <w:szCs w:val="22"/>
          <w:shd w:val="clear" w:color="auto" w:fill="FFFFFF"/>
        </w:rPr>
        <w:t>, 47 Cr App Rep 49, CCA.</w:t>
      </w:r>
      <w:r w:rsidRPr="00933207">
        <w:rPr>
          <w:rFonts w:asciiTheme="minorHAnsi" w:hAnsiTheme="minorHAnsi" w:cstheme="minorHAnsi"/>
          <w:color w:val="000000"/>
          <w:sz w:val="22"/>
          <w:szCs w:val="22"/>
          <w:shd w:val="clear" w:color="auto" w:fill="FFFFFF"/>
        </w:rPr>
        <w:t>)</w:t>
      </w:r>
      <w:r w:rsidRPr="00933207">
        <w:rPr>
          <w:rFonts w:asciiTheme="minorHAnsi" w:hAnsiTheme="minorHAnsi" w:cstheme="minorHAnsi"/>
          <w:color w:val="000000" w:themeColor="text1"/>
          <w:sz w:val="22"/>
          <w:szCs w:val="22"/>
          <w:shd w:val="clear" w:color="auto" w:fill="FFFFFF"/>
        </w:rPr>
        <w:t xml:space="preserve">. </w:t>
      </w:r>
      <w:r w:rsidRPr="00933207">
        <w:rPr>
          <w:rFonts w:asciiTheme="minorHAnsi" w:hAnsiTheme="minorHAnsi" w:cstheme="minorHAnsi"/>
          <w:color w:val="000000" w:themeColor="text1"/>
          <w:sz w:val="22"/>
          <w:szCs w:val="22"/>
        </w:rPr>
        <w:t> The rule on evidence permits the actions and admissions of one party, A, to be used in evidence against the other, B. It is thus an exception to the general rule that B is not to be prejudiced by the acts or statements of another. In terms of an order for the acts or statements of A to be admissible against B, this rule requires that the act or statement of A must be in the course and furtherance of the common purpose; and there must be evidence adduced of the existence of the conspiracy and the involvement of both A and B.</w:t>
      </w:r>
      <w:r w:rsidR="00933207">
        <w:rPr>
          <w:rFonts w:asciiTheme="minorHAnsi" w:hAnsiTheme="minorHAnsi" w:cstheme="minorHAnsi"/>
          <w:color w:val="000000" w:themeColor="text1"/>
          <w:sz w:val="22"/>
          <w:szCs w:val="22"/>
        </w:rPr>
        <w:t xml:space="preserve"> Of course, there is evidence</w:t>
      </w:r>
    </w:p>
    <w:p w14:paraId="513DCF42" w14:textId="77777777" w:rsidR="00BE0B87" w:rsidRPr="00933207" w:rsidRDefault="00BE0B87" w:rsidP="00BE0B87">
      <w:pPr>
        <w:pStyle w:val="ListParagraph"/>
        <w:numPr>
          <w:ilvl w:val="1"/>
          <w:numId w:val="1"/>
        </w:numPr>
        <w:spacing w:before="240" w:after="240" w:line="360" w:lineRule="auto"/>
        <w:contextualSpacing w:val="0"/>
        <w:rPr>
          <w:rFonts w:cstheme="minorHAnsi"/>
        </w:rPr>
      </w:pPr>
      <w:r w:rsidRPr="00933207">
        <w:rPr>
          <w:rFonts w:cstheme="minorHAnsi"/>
          <w:color w:val="333335"/>
          <w:shd w:val="clear" w:color="auto" w:fill="FFFFFF"/>
        </w:rPr>
        <w:t>Simply through s.1 CLA 1977: T</w:t>
      </w:r>
      <w:r w:rsidRPr="00933207">
        <w:rPr>
          <w:rFonts w:cstheme="minorHAnsi"/>
        </w:rPr>
        <w:t>he bank/solicitors conspired with Mr TK to commit various offences (s3 Fraud Act failure to disclose, possessing criminal property or being concerned in a money laundering arrangement (sections 327 to 329 POCA), assisting tax fraud, s.71 CJA 2003). This was to the detriment of Nicola. Very tricky to show.</w:t>
      </w:r>
    </w:p>
    <w:p w14:paraId="4B450259" w14:textId="3A3C71C5" w:rsidR="00BE0B87" w:rsidRPr="00933207" w:rsidRDefault="00BE0B87" w:rsidP="00BE0B87">
      <w:pPr>
        <w:pStyle w:val="ListParagraph"/>
        <w:numPr>
          <w:ilvl w:val="1"/>
          <w:numId w:val="1"/>
        </w:numPr>
        <w:spacing w:before="240" w:after="240" w:line="360" w:lineRule="auto"/>
        <w:contextualSpacing w:val="0"/>
        <w:rPr>
          <w:rFonts w:cstheme="minorHAnsi"/>
          <w:u w:val="single"/>
        </w:rPr>
      </w:pPr>
      <w:r w:rsidRPr="00933207">
        <w:rPr>
          <w:rFonts w:cstheme="minorHAnsi"/>
        </w:rPr>
        <w:t xml:space="preserve">Through section 1A CLA 1977: The bank/solicitors conspired in THIS country to commit offences in ANOTHER county. The offences are tax fraud, corruption and OFI. The key condition is that the offences In France would be triable here if committed here. Also, key is that the offences relate to the mortgage. </w:t>
      </w:r>
      <w:r w:rsidRPr="00933207">
        <w:rPr>
          <w:rFonts w:cstheme="minorHAnsi"/>
        </w:rPr>
        <w:t xml:space="preserve">The four conditions are: </w:t>
      </w:r>
    </w:p>
    <w:p w14:paraId="3BE56297" w14:textId="6DCCB162" w:rsidR="00933207" w:rsidRPr="00933207" w:rsidRDefault="00933207" w:rsidP="00933207">
      <w:pPr>
        <w:spacing w:before="240" w:after="240" w:line="360" w:lineRule="auto"/>
        <w:rPr>
          <w:rFonts w:cstheme="minorHAnsi"/>
          <w:b/>
          <w:u w:val="single"/>
        </w:rPr>
      </w:pPr>
      <w:r w:rsidRPr="00933207">
        <w:rPr>
          <w:rFonts w:cstheme="minorHAnsi"/>
          <w:b/>
          <w:color w:val="333335"/>
          <w:shd w:val="clear" w:color="auto" w:fill="FFFFFF"/>
        </w:rPr>
        <w:t>s.1 CLA 1977</w:t>
      </w:r>
    </w:p>
    <w:p w14:paraId="26C727D9" w14:textId="77777777" w:rsidR="00933207" w:rsidRPr="00933207" w:rsidRDefault="00933207" w:rsidP="00933207">
      <w:pPr>
        <w:pStyle w:val="ListParagraph"/>
        <w:numPr>
          <w:ilvl w:val="0"/>
          <w:numId w:val="1"/>
        </w:numPr>
        <w:spacing w:before="120" w:after="120" w:line="360" w:lineRule="auto"/>
        <w:contextualSpacing w:val="0"/>
        <w:jc w:val="both"/>
        <w:rPr>
          <w:rFonts w:cstheme="minorHAnsi"/>
          <w:b/>
          <w:color w:val="333335"/>
          <w:u w:val="single"/>
          <w:shd w:val="clear" w:color="auto" w:fill="FFFFFF"/>
        </w:rPr>
      </w:pPr>
      <w:r w:rsidRPr="00933207">
        <w:rPr>
          <w:rFonts w:cstheme="minorHAnsi"/>
          <w:color w:val="333335"/>
          <w:shd w:val="clear" w:color="auto" w:fill="FFFFFF"/>
        </w:rPr>
        <w:t>The offence of conspiracy per s.1 CLA 1977 states:</w:t>
      </w:r>
    </w:p>
    <w:p w14:paraId="41508900" w14:textId="77777777" w:rsidR="00933207" w:rsidRPr="00933207" w:rsidRDefault="00933207" w:rsidP="00933207">
      <w:pPr>
        <w:spacing w:before="120" w:after="120" w:line="360" w:lineRule="auto"/>
        <w:ind w:left="1440"/>
        <w:textAlignment w:val="baseline"/>
        <w:rPr>
          <w:rFonts w:eastAsia="Times New Roman" w:cstheme="minorHAnsi"/>
          <w:color w:val="333335"/>
          <w:lang w:eastAsia="en-GB"/>
        </w:rPr>
      </w:pPr>
      <w:r w:rsidRPr="00933207">
        <w:rPr>
          <w:rFonts w:eastAsia="Times New Roman" w:cstheme="minorHAnsi"/>
          <w:color w:val="333335"/>
          <w:lang w:eastAsia="en-GB"/>
        </w:rPr>
        <w:lastRenderedPageBreak/>
        <w:t xml:space="preserve">[(1)     Subject to the following provisions of this part of this Act, if a person </w:t>
      </w:r>
      <w:r w:rsidRPr="00933207">
        <w:rPr>
          <w:rFonts w:eastAsia="Times New Roman" w:cstheme="minorHAnsi"/>
          <w:b/>
          <w:color w:val="333335"/>
          <w:lang w:eastAsia="en-GB"/>
        </w:rPr>
        <w:t>agrees</w:t>
      </w:r>
      <w:r w:rsidRPr="00933207">
        <w:rPr>
          <w:rFonts w:eastAsia="Times New Roman" w:cstheme="minorHAnsi"/>
          <w:color w:val="333335"/>
          <w:lang w:eastAsia="en-GB"/>
        </w:rPr>
        <w:t xml:space="preserve"> with any other person or persons that </w:t>
      </w:r>
      <w:r w:rsidRPr="00933207">
        <w:rPr>
          <w:rFonts w:eastAsia="Times New Roman" w:cstheme="minorHAnsi"/>
          <w:b/>
          <w:color w:val="333335"/>
          <w:lang w:eastAsia="en-GB"/>
        </w:rPr>
        <w:t>a course of conduct shall be pursued</w:t>
      </w:r>
      <w:r w:rsidRPr="00933207">
        <w:rPr>
          <w:rFonts w:eastAsia="Times New Roman" w:cstheme="minorHAnsi"/>
          <w:color w:val="333335"/>
          <w:lang w:eastAsia="en-GB"/>
        </w:rPr>
        <w:t xml:space="preserve"> which, if the agreement is carried out in accordance with their intentions, either—</w:t>
      </w:r>
    </w:p>
    <w:p w14:paraId="49A489D2" w14:textId="77777777" w:rsidR="00933207" w:rsidRPr="00933207" w:rsidRDefault="00933207" w:rsidP="00933207">
      <w:pPr>
        <w:spacing w:before="120" w:after="120" w:line="360" w:lineRule="auto"/>
        <w:ind w:left="2160"/>
        <w:textAlignment w:val="baseline"/>
        <w:rPr>
          <w:rFonts w:eastAsia="Times New Roman" w:cstheme="minorHAnsi"/>
          <w:color w:val="333335"/>
          <w:lang w:eastAsia="en-GB"/>
        </w:rPr>
      </w:pPr>
      <w:r w:rsidRPr="00933207">
        <w:rPr>
          <w:rFonts w:eastAsia="Times New Roman" w:cstheme="minorHAnsi"/>
          <w:color w:val="333335"/>
          <w:lang w:eastAsia="en-GB"/>
        </w:rPr>
        <w:t xml:space="preserve">(a)     will necessarily amount to or involve </w:t>
      </w:r>
      <w:r w:rsidRPr="00933207">
        <w:rPr>
          <w:rFonts w:eastAsia="Times New Roman" w:cstheme="minorHAnsi"/>
          <w:b/>
          <w:color w:val="333335"/>
          <w:lang w:eastAsia="en-GB"/>
        </w:rPr>
        <w:t>the commission of any offence or offences</w:t>
      </w:r>
      <w:r w:rsidRPr="00933207">
        <w:rPr>
          <w:rFonts w:eastAsia="Times New Roman" w:cstheme="minorHAnsi"/>
          <w:color w:val="333335"/>
          <w:lang w:eastAsia="en-GB"/>
        </w:rPr>
        <w:t xml:space="preserve"> by </w:t>
      </w:r>
      <w:r w:rsidRPr="00933207">
        <w:rPr>
          <w:rFonts w:eastAsia="Times New Roman" w:cstheme="minorHAnsi"/>
          <w:b/>
          <w:color w:val="333335"/>
          <w:lang w:eastAsia="en-GB"/>
        </w:rPr>
        <w:t>one or more</w:t>
      </w:r>
      <w:r w:rsidRPr="00933207">
        <w:rPr>
          <w:rFonts w:eastAsia="Times New Roman" w:cstheme="minorHAnsi"/>
          <w:color w:val="333335"/>
          <w:lang w:eastAsia="en-GB"/>
        </w:rPr>
        <w:t xml:space="preserve"> of the parties to the agreement, or</w:t>
      </w:r>
    </w:p>
    <w:p w14:paraId="48482417" w14:textId="77777777" w:rsidR="00933207" w:rsidRPr="00933207" w:rsidRDefault="00933207" w:rsidP="00933207">
      <w:pPr>
        <w:spacing w:before="120" w:after="120" w:line="360" w:lineRule="auto"/>
        <w:ind w:left="2160"/>
        <w:textAlignment w:val="baseline"/>
        <w:rPr>
          <w:rFonts w:eastAsia="Times New Roman" w:cstheme="minorHAnsi"/>
          <w:color w:val="333335"/>
          <w:lang w:eastAsia="en-GB"/>
        </w:rPr>
      </w:pPr>
      <w:r w:rsidRPr="00933207">
        <w:rPr>
          <w:rFonts w:eastAsia="Times New Roman" w:cstheme="minorHAnsi"/>
          <w:color w:val="333335"/>
          <w:lang w:eastAsia="en-GB"/>
        </w:rPr>
        <w:t>(b)     would do so but for the existence of facts which render the commission of the offence or any of the offences impossible,</w:t>
      </w:r>
    </w:p>
    <w:p w14:paraId="129D684A" w14:textId="77777777" w:rsidR="00933207" w:rsidRPr="00933207" w:rsidRDefault="00933207" w:rsidP="00933207">
      <w:pPr>
        <w:spacing w:before="120" w:after="120" w:line="360" w:lineRule="auto"/>
        <w:ind w:left="1440"/>
        <w:textAlignment w:val="baseline"/>
        <w:rPr>
          <w:rFonts w:eastAsia="Times New Roman" w:cstheme="minorHAnsi"/>
          <w:color w:val="333335"/>
          <w:lang w:eastAsia="en-GB"/>
        </w:rPr>
      </w:pPr>
      <w:r w:rsidRPr="00933207">
        <w:rPr>
          <w:rFonts w:eastAsia="Times New Roman" w:cstheme="minorHAnsi"/>
          <w:color w:val="333335"/>
          <w:lang w:eastAsia="en-GB"/>
        </w:rPr>
        <w:t>he is guilty of conspiracy to commit the offence or offences in question.]</w:t>
      </w:r>
    </w:p>
    <w:p w14:paraId="3BB6A1DF" w14:textId="77777777" w:rsidR="00933207" w:rsidRPr="00933207" w:rsidRDefault="00933207" w:rsidP="00933207">
      <w:pPr>
        <w:pStyle w:val="ListParagraph"/>
        <w:numPr>
          <w:ilvl w:val="0"/>
          <w:numId w:val="1"/>
        </w:numPr>
        <w:spacing w:before="120" w:after="120" w:line="360" w:lineRule="auto"/>
        <w:contextualSpacing w:val="0"/>
        <w:textAlignment w:val="baseline"/>
        <w:rPr>
          <w:rFonts w:eastAsia="Times New Roman" w:cstheme="minorHAnsi"/>
          <w:color w:val="333335"/>
          <w:lang w:eastAsia="en-GB"/>
        </w:rPr>
      </w:pPr>
      <w:r w:rsidRPr="00933207">
        <w:rPr>
          <w:rFonts w:eastAsia="Times New Roman" w:cstheme="minorHAnsi"/>
          <w:color w:val="333335"/>
          <w:lang w:eastAsia="en-GB"/>
        </w:rPr>
        <w:t xml:space="preserve">The </w:t>
      </w:r>
      <w:proofErr w:type="spellStart"/>
      <w:r w:rsidRPr="00933207">
        <w:rPr>
          <w:rFonts w:eastAsia="Times New Roman" w:cstheme="minorHAnsi"/>
          <w:i/>
          <w:color w:val="333335"/>
          <w:lang w:eastAsia="en-GB"/>
        </w:rPr>
        <w:t>mens</w:t>
      </w:r>
      <w:proofErr w:type="spellEnd"/>
      <w:r w:rsidRPr="00933207">
        <w:rPr>
          <w:rFonts w:eastAsia="Times New Roman" w:cstheme="minorHAnsi"/>
          <w:i/>
          <w:color w:val="333335"/>
          <w:lang w:eastAsia="en-GB"/>
        </w:rPr>
        <w:t xml:space="preserve"> rea</w:t>
      </w:r>
      <w:r w:rsidRPr="00933207">
        <w:rPr>
          <w:rFonts w:eastAsia="Times New Roman" w:cstheme="minorHAnsi"/>
          <w:color w:val="333335"/>
          <w:lang w:eastAsia="en-GB"/>
        </w:rPr>
        <w:t xml:space="preserve"> elements to statutory conspiracy</w:t>
      </w:r>
      <w:r w:rsidRPr="00933207">
        <w:rPr>
          <w:rFonts w:cstheme="minorHAnsi"/>
          <w:color w:val="333335"/>
          <w:shd w:val="clear" w:color="auto" w:fill="FFFFFF"/>
        </w:rPr>
        <w:t> requires an intention that the requisite course of conduct be pursued and that the substantive offence or offences which their agreed course of conduct will (or would) necessarily amount to, or which it will (or would) necessarily involve, will be committed</w:t>
      </w:r>
      <w:r w:rsidRPr="00933207">
        <w:rPr>
          <w:rFonts w:cstheme="minorHAnsi"/>
          <w:noProof/>
          <w:color w:val="3300BB"/>
          <w:bdr w:val="none" w:sz="0" w:space="0" w:color="auto" w:frame="1"/>
        </w:rPr>
        <w:drawing>
          <wp:inline distT="0" distB="0" distL="0" distR="0" wp14:anchorId="2BCF027A" wp14:editId="3F9ED15F">
            <wp:extent cx="9525" cy="9525"/>
            <wp:effectExtent l="0" t="0" r="0" b="0"/>
            <wp:docPr id="9" name="Picture 9" descr="Footnote ">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otnote ">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86CAA52" w14:textId="77777777" w:rsidR="00933207" w:rsidRPr="00933207" w:rsidRDefault="00933207" w:rsidP="00933207">
      <w:pPr>
        <w:pStyle w:val="ListParagraph"/>
        <w:numPr>
          <w:ilvl w:val="0"/>
          <w:numId w:val="1"/>
        </w:numPr>
        <w:spacing w:before="120" w:after="120" w:line="360" w:lineRule="auto"/>
        <w:contextualSpacing w:val="0"/>
        <w:textAlignment w:val="baseline"/>
        <w:rPr>
          <w:rFonts w:eastAsia="Times New Roman" w:cstheme="minorHAnsi"/>
          <w:color w:val="333335"/>
          <w:lang w:eastAsia="en-GB"/>
        </w:rPr>
      </w:pPr>
      <w:r w:rsidRPr="00933207">
        <w:rPr>
          <w:rFonts w:cstheme="minorHAnsi"/>
          <w:color w:val="333335"/>
          <w:shd w:val="clear" w:color="auto" w:fill="FFFFFF"/>
        </w:rPr>
        <w:t>The relevant offence of fraud is a group A offence and a person may be guilty whether he was a British citizen at any material time, and whether he was in England and Wales at any such time</w:t>
      </w:r>
      <w:r w:rsidRPr="00933207">
        <w:rPr>
          <w:rStyle w:val="FootnoteReference"/>
          <w:rFonts w:cstheme="minorHAnsi"/>
          <w:color w:val="333335"/>
          <w:shd w:val="clear" w:color="auto" w:fill="FFFFFF"/>
        </w:rPr>
        <w:footnoteReference w:id="1"/>
      </w:r>
      <w:r w:rsidRPr="00933207">
        <w:rPr>
          <w:rFonts w:cstheme="minorHAnsi"/>
          <w:color w:val="333335"/>
          <w:shd w:val="clear" w:color="auto" w:fill="FFFFFF"/>
        </w:rPr>
        <w:t xml:space="preserve">. Quite clearly it needs to be shown that the proposed defendants intended to commit the offence of fraud. This is an extremely difficult task in this case. </w:t>
      </w:r>
      <w:bookmarkStart w:id="0" w:name="_GoBack"/>
      <w:bookmarkEnd w:id="0"/>
    </w:p>
    <w:p w14:paraId="4CB00544" w14:textId="40655257" w:rsidR="00933207" w:rsidRPr="00933207" w:rsidRDefault="00933207" w:rsidP="00933207">
      <w:pPr>
        <w:spacing w:before="120" w:after="120" w:line="360" w:lineRule="auto"/>
        <w:textAlignment w:val="baseline"/>
        <w:rPr>
          <w:rFonts w:eastAsia="Times New Roman" w:cstheme="minorHAnsi"/>
          <w:b/>
          <w:color w:val="333335"/>
          <w:lang w:eastAsia="en-GB"/>
        </w:rPr>
      </w:pPr>
      <w:r w:rsidRPr="00933207">
        <w:rPr>
          <w:rFonts w:eastAsia="Times New Roman" w:cstheme="minorHAnsi"/>
          <w:b/>
          <w:i/>
          <w:color w:val="333335"/>
          <w:lang w:eastAsia="en-GB"/>
        </w:rPr>
        <w:t>Foreign offences</w:t>
      </w:r>
      <w:r>
        <w:rPr>
          <w:rFonts w:eastAsia="Times New Roman" w:cstheme="minorHAnsi"/>
          <w:b/>
          <w:i/>
          <w:color w:val="333335"/>
          <w:lang w:eastAsia="en-GB"/>
        </w:rPr>
        <w:t>-</w:t>
      </w:r>
      <w:r w:rsidRPr="00933207">
        <w:rPr>
          <w:rFonts w:cstheme="minorHAnsi"/>
          <w:b/>
        </w:rPr>
        <w:t>1A CLA 1977</w:t>
      </w:r>
    </w:p>
    <w:p w14:paraId="1DC27BC7" w14:textId="3CA944ED" w:rsidR="00933207" w:rsidRDefault="00933207" w:rsidP="00933207">
      <w:pPr>
        <w:pStyle w:val="ListParagraph"/>
        <w:numPr>
          <w:ilvl w:val="0"/>
          <w:numId w:val="1"/>
        </w:numPr>
        <w:spacing w:before="120" w:after="120" w:line="360" w:lineRule="auto"/>
        <w:contextualSpacing w:val="0"/>
        <w:textAlignment w:val="baseline"/>
        <w:rPr>
          <w:rFonts w:eastAsia="Times New Roman" w:cstheme="minorHAnsi"/>
          <w:b/>
          <w:color w:val="333335"/>
          <w:lang w:eastAsia="en-GB"/>
        </w:rPr>
      </w:pPr>
      <w:r>
        <w:rPr>
          <w:rFonts w:eastAsia="Times New Roman" w:cstheme="minorHAnsi"/>
          <w:b/>
          <w:color w:val="333335"/>
          <w:lang w:eastAsia="en-GB"/>
        </w:rPr>
        <w:t>OFI details</w:t>
      </w:r>
    </w:p>
    <w:p w14:paraId="00C87F45" w14:textId="002CE322" w:rsidR="00933207" w:rsidRPr="00933207" w:rsidRDefault="00933207" w:rsidP="00933207">
      <w:pPr>
        <w:pStyle w:val="ListParagraph"/>
        <w:numPr>
          <w:ilvl w:val="0"/>
          <w:numId w:val="1"/>
        </w:numPr>
        <w:spacing w:before="120" w:after="120" w:line="360" w:lineRule="auto"/>
        <w:contextualSpacing w:val="0"/>
        <w:textAlignment w:val="baseline"/>
        <w:rPr>
          <w:rFonts w:eastAsia="Times New Roman" w:cstheme="minorHAnsi"/>
          <w:b/>
          <w:color w:val="333335"/>
          <w:lang w:eastAsia="en-GB"/>
        </w:rPr>
      </w:pPr>
      <w:r w:rsidRPr="00933207">
        <w:rPr>
          <w:rFonts w:eastAsia="Times New Roman" w:cstheme="minorHAnsi"/>
          <w:color w:val="333335"/>
          <w:lang w:eastAsia="en-GB"/>
        </w:rPr>
        <w:t>The statutory conditions needed in the case of agreement to commit an offence outside the UK are:</w:t>
      </w:r>
    </w:p>
    <w:p w14:paraId="4F989FF5" w14:textId="77777777" w:rsidR="00BE0B87" w:rsidRPr="00933207" w:rsidRDefault="00BE0B87" w:rsidP="00933207">
      <w:pPr>
        <w:pStyle w:val="ListParagraph"/>
        <w:numPr>
          <w:ilvl w:val="1"/>
          <w:numId w:val="1"/>
        </w:numPr>
        <w:spacing w:before="240" w:after="240" w:line="360" w:lineRule="auto"/>
        <w:contextualSpacing w:val="0"/>
        <w:rPr>
          <w:rFonts w:cstheme="minorHAnsi"/>
        </w:rPr>
      </w:pPr>
      <w:r w:rsidRPr="00933207">
        <w:rPr>
          <w:rFonts w:cstheme="minorHAnsi"/>
        </w:rPr>
        <w:t>The pursuit of the agreed course of conduct would at some stage involve an act by one or more of the parties, or the happening of some other event, intended to take place in a country or territory outside England and Wales;</w:t>
      </w:r>
    </w:p>
    <w:p w14:paraId="2D3D5F4F" w14:textId="77777777" w:rsidR="00BE0B87" w:rsidRPr="00933207" w:rsidRDefault="00BE0B87" w:rsidP="00933207">
      <w:pPr>
        <w:pStyle w:val="ListParagraph"/>
        <w:numPr>
          <w:ilvl w:val="2"/>
          <w:numId w:val="1"/>
        </w:numPr>
        <w:spacing w:before="240" w:after="240" w:line="360" w:lineRule="auto"/>
        <w:contextualSpacing w:val="0"/>
        <w:rPr>
          <w:rFonts w:cstheme="minorHAnsi"/>
        </w:rPr>
      </w:pPr>
      <w:r w:rsidRPr="00933207">
        <w:rPr>
          <w:rFonts w:cstheme="minorHAnsi"/>
        </w:rPr>
        <w:t>Part of the agreed course of conduct was for Barclays to put a charge on the French property. This clearly satisfies this condition.</w:t>
      </w:r>
    </w:p>
    <w:p w14:paraId="267E235B" w14:textId="77777777" w:rsidR="00BE0B87" w:rsidRPr="00933207" w:rsidRDefault="00BE0B87" w:rsidP="00933207">
      <w:pPr>
        <w:pStyle w:val="ListParagraph"/>
        <w:numPr>
          <w:ilvl w:val="1"/>
          <w:numId w:val="1"/>
        </w:numPr>
        <w:spacing w:before="240" w:after="240" w:line="360" w:lineRule="auto"/>
        <w:contextualSpacing w:val="0"/>
        <w:rPr>
          <w:rFonts w:cstheme="minorHAnsi"/>
        </w:rPr>
      </w:pPr>
      <w:r w:rsidRPr="00933207">
        <w:rPr>
          <w:rFonts w:cstheme="minorHAnsi"/>
        </w:rPr>
        <w:t>That act, or other event constitutes an offence under the law in force in that country or territory;</w:t>
      </w:r>
    </w:p>
    <w:p w14:paraId="501F22BD" w14:textId="77777777" w:rsidR="00BE0B87" w:rsidRPr="00933207" w:rsidRDefault="00BE0B87" w:rsidP="00933207">
      <w:pPr>
        <w:pStyle w:val="ListParagraph"/>
        <w:numPr>
          <w:ilvl w:val="2"/>
          <w:numId w:val="1"/>
        </w:numPr>
        <w:spacing w:before="240" w:after="240" w:line="360" w:lineRule="auto"/>
        <w:contextualSpacing w:val="0"/>
        <w:rPr>
          <w:rFonts w:cstheme="minorHAnsi"/>
          <w:color w:val="FF0000"/>
        </w:rPr>
      </w:pPr>
      <w:r w:rsidRPr="00933207">
        <w:rPr>
          <w:rFonts w:cstheme="minorHAnsi"/>
          <w:b/>
          <w:color w:val="FF0000"/>
        </w:rPr>
        <w:t xml:space="preserve">Will need OFI </w:t>
      </w:r>
      <w:proofErr w:type="gramStart"/>
      <w:r w:rsidRPr="00933207">
        <w:rPr>
          <w:rFonts w:cstheme="minorHAnsi"/>
          <w:b/>
          <w:color w:val="FF0000"/>
        </w:rPr>
        <w:t>details..</w:t>
      </w:r>
      <w:proofErr w:type="gramEnd"/>
    </w:p>
    <w:p w14:paraId="55848DD7" w14:textId="77777777" w:rsidR="00BE0B87" w:rsidRPr="00933207" w:rsidRDefault="00BE0B87" w:rsidP="00933207">
      <w:pPr>
        <w:pStyle w:val="ListParagraph"/>
        <w:numPr>
          <w:ilvl w:val="1"/>
          <w:numId w:val="1"/>
        </w:numPr>
        <w:spacing w:before="240" w:after="240" w:line="360" w:lineRule="auto"/>
        <w:contextualSpacing w:val="0"/>
        <w:rPr>
          <w:rFonts w:cstheme="minorHAnsi"/>
        </w:rPr>
      </w:pPr>
      <w:r w:rsidRPr="00933207">
        <w:rPr>
          <w:rFonts w:cstheme="minorHAnsi"/>
        </w:rPr>
        <w:lastRenderedPageBreak/>
        <w:t>The agreement would fall within the statutory requirements for establishing conspiracy as an agreement relating to the commission of an offence but for the fact that the offence would not be an offence triable in England and Wales if committed in accordance with the parties' intentions; and</w:t>
      </w:r>
    </w:p>
    <w:p w14:paraId="5942617F" w14:textId="77777777" w:rsidR="00BE0B87" w:rsidRPr="00933207" w:rsidRDefault="00BE0B87" w:rsidP="00933207">
      <w:pPr>
        <w:pStyle w:val="ListParagraph"/>
        <w:numPr>
          <w:ilvl w:val="2"/>
          <w:numId w:val="1"/>
        </w:numPr>
        <w:spacing w:before="240" w:after="240" w:line="360" w:lineRule="auto"/>
        <w:contextualSpacing w:val="0"/>
        <w:rPr>
          <w:rFonts w:cstheme="minorHAnsi"/>
        </w:rPr>
      </w:pPr>
      <w:r w:rsidRPr="00933207">
        <w:rPr>
          <w:rFonts w:cstheme="minorHAnsi"/>
        </w:rPr>
        <w:t>The offence is in relation to the French property and so would not be triable here. However, if the facts were the same it would an offence under…</w:t>
      </w:r>
      <w:r w:rsidRPr="00933207">
        <w:rPr>
          <w:rFonts w:cstheme="minorHAnsi"/>
          <w:color w:val="FF0000"/>
        </w:rPr>
        <w:t xml:space="preserve"> </w:t>
      </w:r>
      <w:r w:rsidRPr="00933207">
        <w:rPr>
          <w:rFonts w:cstheme="minorHAnsi"/>
          <w:b/>
          <w:color w:val="FF0000"/>
        </w:rPr>
        <w:t>Need to look up tax fraud etc</w:t>
      </w:r>
    </w:p>
    <w:p w14:paraId="62A330A8" w14:textId="77777777" w:rsidR="00BE0B87" w:rsidRPr="00933207" w:rsidRDefault="00BE0B87" w:rsidP="00933207">
      <w:pPr>
        <w:pStyle w:val="ListParagraph"/>
        <w:numPr>
          <w:ilvl w:val="1"/>
          <w:numId w:val="1"/>
        </w:numPr>
        <w:spacing w:before="240" w:after="240" w:line="360" w:lineRule="auto"/>
        <w:contextualSpacing w:val="0"/>
        <w:rPr>
          <w:rFonts w:cstheme="minorHAnsi"/>
        </w:rPr>
      </w:pPr>
      <w:r w:rsidRPr="00933207">
        <w:rPr>
          <w:rFonts w:cstheme="minorHAnsi"/>
        </w:rPr>
        <w:t>A party to the agreement, or a party's agent, did anything in England and Wales in relation to the agreement before its formation; or a party to the agreement became a party in England and Wales (by joining it either in person or through an agent); or a party to the agreement, or a party's agent, did or omitted anything in England and Wales in pursuance of the agreement.</w:t>
      </w:r>
    </w:p>
    <w:p w14:paraId="298E8FF9" w14:textId="77777777" w:rsidR="00BE0B87" w:rsidRPr="00933207" w:rsidRDefault="00BE0B87" w:rsidP="00933207">
      <w:pPr>
        <w:pStyle w:val="ListParagraph"/>
        <w:numPr>
          <w:ilvl w:val="2"/>
          <w:numId w:val="1"/>
        </w:numPr>
        <w:spacing w:before="240" w:after="240" w:line="360" w:lineRule="auto"/>
        <w:contextualSpacing w:val="0"/>
        <w:rPr>
          <w:rFonts w:cstheme="minorHAnsi"/>
        </w:rPr>
      </w:pPr>
      <w:r w:rsidRPr="00933207">
        <w:rPr>
          <w:rFonts w:cstheme="minorHAnsi"/>
        </w:rPr>
        <w:t xml:space="preserve">The deal was agreed in London by Barclays. This condition is satisfied. </w:t>
      </w:r>
    </w:p>
    <w:p w14:paraId="6A2C932D" w14:textId="77777777" w:rsidR="00BE0B87" w:rsidRPr="00933207" w:rsidRDefault="00BE0B87" w:rsidP="007D3F50">
      <w:pPr>
        <w:spacing w:before="240" w:after="240" w:line="360" w:lineRule="auto"/>
        <w:rPr>
          <w:rFonts w:cstheme="minorHAnsi"/>
          <w:u w:val="single"/>
        </w:rPr>
      </w:pPr>
    </w:p>
    <w:p w14:paraId="683CCB81" w14:textId="77777777" w:rsidR="00D45A71" w:rsidRPr="00933207" w:rsidRDefault="00D45A71">
      <w:pPr>
        <w:rPr>
          <w:rFonts w:cstheme="minorHAnsi"/>
        </w:rPr>
      </w:pPr>
    </w:p>
    <w:sectPr w:rsidR="00D45A71" w:rsidRPr="009332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FCC439" w14:textId="77777777" w:rsidR="007D3F50" w:rsidRDefault="007D3F50" w:rsidP="007D3F50">
      <w:pPr>
        <w:spacing w:after="0" w:line="240" w:lineRule="auto"/>
      </w:pPr>
      <w:r>
        <w:separator/>
      </w:r>
    </w:p>
  </w:endnote>
  <w:endnote w:type="continuationSeparator" w:id="0">
    <w:p w14:paraId="7653FEAE" w14:textId="77777777" w:rsidR="007D3F50" w:rsidRDefault="007D3F50" w:rsidP="007D3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7A5861" w14:textId="77777777" w:rsidR="007D3F50" w:rsidRDefault="007D3F50" w:rsidP="007D3F50">
      <w:pPr>
        <w:spacing w:after="0" w:line="240" w:lineRule="auto"/>
      </w:pPr>
      <w:r>
        <w:separator/>
      </w:r>
    </w:p>
  </w:footnote>
  <w:footnote w:type="continuationSeparator" w:id="0">
    <w:p w14:paraId="7DE0D0F6" w14:textId="77777777" w:rsidR="007D3F50" w:rsidRDefault="007D3F50" w:rsidP="007D3F50">
      <w:pPr>
        <w:spacing w:after="0" w:line="240" w:lineRule="auto"/>
      </w:pPr>
      <w:r>
        <w:continuationSeparator/>
      </w:r>
    </w:p>
  </w:footnote>
  <w:footnote w:id="1">
    <w:p w14:paraId="4AD2F530" w14:textId="77777777" w:rsidR="00933207" w:rsidRPr="00FD2C85" w:rsidRDefault="00933207" w:rsidP="00933207">
      <w:pPr>
        <w:pStyle w:val="FootnoteText"/>
        <w:rPr>
          <w:rFonts w:ascii="Arial" w:hAnsi="Arial" w:cs="Arial"/>
          <w:sz w:val="18"/>
          <w:szCs w:val="18"/>
        </w:rPr>
      </w:pPr>
      <w:r w:rsidRPr="00FD2C85">
        <w:rPr>
          <w:rStyle w:val="FootnoteReference"/>
          <w:rFonts w:ascii="Arial" w:hAnsi="Arial" w:cs="Arial"/>
          <w:color w:val="000000" w:themeColor="text1"/>
          <w:sz w:val="18"/>
          <w:szCs w:val="18"/>
        </w:rPr>
        <w:footnoteRef/>
      </w:r>
      <w:r w:rsidRPr="00FD2C85">
        <w:rPr>
          <w:rFonts w:ascii="Arial" w:hAnsi="Arial" w:cs="Arial"/>
          <w:color w:val="000000" w:themeColor="text1"/>
          <w:sz w:val="18"/>
          <w:szCs w:val="18"/>
        </w:rPr>
        <w:t xml:space="preserve"> </w:t>
      </w:r>
      <w:r w:rsidRPr="00FD2C85">
        <w:rPr>
          <w:rFonts w:ascii="Arial" w:hAnsi="Arial" w:cs="Arial"/>
          <w:color w:val="000000" w:themeColor="text1"/>
          <w:sz w:val="18"/>
          <w:szCs w:val="18"/>
          <w:bdr w:val="none" w:sz="0" w:space="0" w:color="auto" w:frame="1"/>
          <w:shd w:val="clear" w:color="auto" w:fill="FFFFFF"/>
        </w:rPr>
        <w:t>Criminal Justice Act 1993 s 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AC61EC"/>
    <w:multiLevelType w:val="hybridMultilevel"/>
    <w:tmpl w:val="F8EAC6E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6C71AA9"/>
    <w:multiLevelType w:val="hybridMultilevel"/>
    <w:tmpl w:val="DBAE54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9DF648F"/>
    <w:multiLevelType w:val="hybridMultilevel"/>
    <w:tmpl w:val="3B94E7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781A43BB"/>
    <w:multiLevelType w:val="hybridMultilevel"/>
    <w:tmpl w:val="6CD49EA4"/>
    <w:lvl w:ilvl="0" w:tplc="0809000F">
      <w:start w:val="1"/>
      <w:numFmt w:val="decimal"/>
      <w:lvlText w:val="%1."/>
      <w:lvlJc w:val="left"/>
      <w:pPr>
        <w:ind w:left="360" w:hanging="360"/>
      </w:pPr>
    </w:lvl>
    <w:lvl w:ilvl="1" w:tplc="0809001B">
      <w:start w:val="1"/>
      <w:numFmt w:val="lowerRoman"/>
      <w:lvlText w:val="%2."/>
      <w:lvlJc w:val="right"/>
      <w:pPr>
        <w:ind w:left="1440" w:hanging="360"/>
      </w:pPr>
    </w:lvl>
    <w:lvl w:ilvl="2" w:tplc="08090019">
      <w:start w:val="1"/>
      <w:numFmt w:val="lowerLetter"/>
      <w:lvlText w:val="%3."/>
      <w:lvlJc w:val="left"/>
      <w:pPr>
        <w:ind w:left="2160" w:hanging="180"/>
      </w:pPr>
    </w:lvl>
    <w:lvl w:ilvl="3" w:tplc="0809001B">
      <w:start w:val="1"/>
      <w:numFmt w:val="lowerRoman"/>
      <w:lvlText w:val="%4."/>
      <w:lvlJc w:val="righ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87"/>
    <w:rsid w:val="00413BA1"/>
    <w:rsid w:val="007D3F50"/>
    <w:rsid w:val="00933207"/>
    <w:rsid w:val="00A63C99"/>
    <w:rsid w:val="00BE0B87"/>
    <w:rsid w:val="00D45A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7096B"/>
  <w15:chartTrackingRefBased/>
  <w15:docId w15:val="{688B23CF-4BF6-4033-BDB1-BE25E4DD0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8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E0B87"/>
    <w:pPr>
      <w:ind w:left="720"/>
      <w:contextualSpacing/>
    </w:pPr>
  </w:style>
  <w:style w:type="character" w:styleId="Emphasis">
    <w:name w:val="Emphasis"/>
    <w:basedOn w:val="DefaultParagraphFont"/>
    <w:uiPriority w:val="20"/>
    <w:qFormat/>
    <w:rsid w:val="007D3F50"/>
    <w:rPr>
      <w:i/>
      <w:iCs/>
    </w:rPr>
  </w:style>
  <w:style w:type="paragraph" w:styleId="FootnoteText">
    <w:name w:val="footnote text"/>
    <w:basedOn w:val="Normal"/>
    <w:link w:val="FootnoteTextChar"/>
    <w:uiPriority w:val="99"/>
    <w:semiHidden/>
    <w:unhideWhenUsed/>
    <w:rsid w:val="007D3F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D3F50"/>
    <w:rPr>
      <w:sz w:val="20"/>
      <w:szCs w:val="20"/>
    </w:rPr>
  </w:style>
  <w:style w:type="character" w:styleId="FootnoteReference">
    <w:name w:val="footnote reference"/>
    <w:basedOn w:val="DefaultParagraphFont"/>
    <w:uiPriority w:val="99"/>
    <w:semiHidden/>
    <w:unhideWhenUsed/>
    <w:rsid w:val="007D3F50"/>
    <w:rPr>
      <w:vertAlign w:val="superscript"/>
    </w:rPr>
  </w:style>
  <w:style w:type="paragraph" w:styleId="NormalWeb">
    <w:name w:val="Normal (Web)"/>
    <w:basedOn w:val="Normal"/>
    <w:uiPriority w:val="99"/>
    <w:unhideWhenUsed/>
    <w:rsid w:val="007D3F50"/>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www.lexisnexis.com/uk/legal/#ref68616C735F6372696D6C61775F313030_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2018-07-18T15:25:00Z</dcterms:created>
  <dcterms:modified xsi:type="dcterms:W3CDTF">2018-07-18T15:56:00Z</dcterms:modified>
</cp:coreProperties>
</file>