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3C386" w14:textId="77777777" w:rsidR="0091491C" w:rsidRDefault="0091491C" w:rsidP="0091491C">
      <w:pPr>
        <w:rPr>
          <w:rFonts w:cstheme="minorHAnsi"/>
        </w:rPr>
      </w:pPr>
      <w:r>
        <w:rPr>
          <w:rFonts w:cstheme="minorHAnsi"/>
        </w:rPr>
        <w:t xml:space="preserve">WRM to list points in draft Denton's letter not yet addressed. </w:t>
      </w:r>
    </w:p>
    <w:p w14:paraId="72A0AA04" w14:textId="77777777" w:rsidR="0091491C" w:rsidRDefault="0091491C" w:rsidP="0091491C">
      <w:pPr>
        <w:ind w:left="720" w:hanging="360"/>
        <w:rPr>
          <w:b/>
          <w:bCs/>
          <w:u w:val="single"/>
        </w:rPr>
      </w:pPr>
    </w:p>
    <w:p w14:paraId="18A76074" w14:textId="77777777" w:rsidR="0091491C" w:rsidRDefault="0091491C" w:rsidP="0091491C">
      <w:pPr>
        <w:ind w:left="720" w:hanging="360"/>
        <w:rPr>
          <w:b/>
          <w:bCs/>
          <w:u w:val="single"/>
        </w:rPr>
      </w:pPr>
      <w:r>
        <w:rPr>
          <w:b/>
          <w:bCs/>
          <w:u w:val="single"/>
        </w:rPr>
        <w:t>Issue with Barclays Letter (20 June 2019)</w:t>
      </w:r>
    </w:p>
    <w:p w14:paraId="682C0580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We are not a party to legal proceedings in France</w:t>
      </w:r>
    </w:p>
    <w:p w14:paraId="7BDBE4A6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91919"/>
        </w:rPr>
        <w:t>the proceedings in France do not affect our rights in relation to the Property</w:t>
      </w:r>
    </w:p>
    <w:p w14:paraId="3DDFBCC0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91919"/>
        </w:rPr>
        <w:t>important not to conflate two separate issues</w:t>
      </w:r>
    </w:p>
    <w:p w14:paraId="4B58E2BF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91919"/>
        </w:rPr>
        <w:t xml:space="preserve">The transaction was not an </w:t>
      </w:r>
      <w:r>
        <w:rPr>
          <w:rFonts w:cstheme="minorHAnsi"/>
          <w:i/>
          <w:iCs/>
          <w:color w:val="3D3D3D"/>
        </w:rPr>
        <w:t>"</w:t>
      </w:r>
      <w:r>
        <w:rPr>
          <w:rFonts w:cstheme="minorHAnsi"/>
          <w:i/>
          <w:iCs/>
          <w:color w:val="191919"/>
        </w:rPr>
        <w:t>equity release</w:t>
      </w:r>
      <w:r>
        <w:rPr>
          <w:rFonts w:cstheme="minorHAnsi"/>
          <w:i/>
          <w:iCs/>
          <w:color w:val="3D3D3D"/>
        </w:rPr>
        <w:t>"</w:t>
      </w:r>
    </w:p>
    <w:p w14:paraId="2BFFA0CA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91919"/>
        </w:rPr>
        <w:t>We advanced funds to the Company</w:t>
      </w:r>
    </w:p>
    <w:p w14:paraId="08C83256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41414"/>
        </w:rPr>
        <w:t xml:space="preserve">The </w:t>
      </w:r>
      <w:r>
        <w:rPr>
          <w:rFonts w:cstheme="minorHAnsi"/>
          <w:color w:val="232323"/>
        </w:rPr>
        <w:t xml:space="preserve">transaction </w:t>
      </w:r>
      <w:r>
        <w:rPr>
          <w:rFonts w:cstheme="minorHAnsi"/>
          <w:color w:val="141414"/>
        </w:rPr>
        <w:t xml:space="preserve">was a simple </w:t>
      </w:r>
      <w:r>
        <w:rPr>
          <w:rFonts w:cstheme="minorHAnsi"/>
          <w:color w:val="232323"/>
        </w:rPr>
        <w:t xml:space="preserve">refinance </w:t>
      </w:r>
      <w:r>
        <w:rPr>
          <w:rFonts w:cstheme="minorHAnsi"/>
          <w:color w:val="141414"/>
        </w:rPr>
        <w:t>and not an "equity release</w:t>
      </w:r>
    </w:p>
    <w:p w14:paraId="033FD5A1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41414"/>
        </w:rPr>
        <w:t>at all material times</w:t>
      </w:r>
      <w:r>
        <w:rPr>
          <w:rFonts w:cstheme="minorHAnsi"/>
          <w:color w:val="535353"/>
        </w:rPr>
        <w:t xml:space="preserve">, </w:t>
      </w:r>
      <w:r>
        <w:rPr>
          <w:rFonts w:cstheme="minorHAnsi"/>
          <w:color w:val="141414"/>
        </w:rPr>
        <w:t xml:space="preserve">Ms. Johnson was aware of </w:t>
      </w:r>
      <w:r>
        <w:rPr>
          <w:rFonts w:cstheme="minorHAnsi"/>
          <w:color w:val="232323"/>
        </w:rPr>
        <w:t xml:space="preserve">the </w:t>
      </w:r>
      <w:r>
        <w:rPr>
          <w:rFonts w:cstheme="minorHAnsi"/>
          <w:color w:val="141414"/>
        </w:rPr>
        <w:t xml:space="preserve">application </w:t>
      </w:r>
      <w:r>
        <w:rPr>
          <w:rFonts w:cstheme="minorHAnsi"/>
          <w:color w:val="232323"/>
        </w:rPr>
        <w:t xml:space="preserve">of </w:t>
      </w:r>
      <w:r>
        <w:rPr>
          <w:rFonts w:cstheme="minorHAnsi"/>
          <w:color w:val="141414"/>
        </w:rPr>
        <w:t>the Charge (discovery of fraud)</w:t>
      </w:r>
    </w:p>
    <w:p w14:paraId="42F3206F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41414"/>
        </w:rPr>
        <w:t>Ms Johnson vacated that notice following receipt of independent legal advice</w:t>
      </w:r>
    </w:p>
    <w:p w14:paraId="04301CD8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Ms Johnson's claim that the amount under the Charge should only be deducted from Mr Takieddine's share expressly, if not impliedly, acknowledged the validity of the Charge.</w:t>
      </w:r>
    </w:p>
    <w:p w14:paraId="44CF3EC5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41414"/>
        </w:rPr>
        <w:t xml:space="preserve">Ms Johnson had no obvious legal </w:t>
      </w:r>
      <w:r>
        <w:rPr>
          <w:rFonts w:cstheme="minorHAnsi"/>
          <w:color w:val="232323"/>
        </w:rPr>
        <w:t xml:space="preserve">or beneficial </w:t>
      </w:r>
      <w:r>
        <w:rPr>
          <w:rFonts w:cstheme="minorHAnsi"/>
          <w:color w:val="141414"/>
        </w:rPr>
        <w:t xml:space="preserve">interest in </w:t>
      </w:r>
      <w:r>
        <w:rPr>
          <w:rFonts w:cstheme="minorHAnsi"/>
          <w:color w:val="232323"/>
        </w:rPr>
        <w:t xml:space="preserve">the </w:t>
      </w:r>
      <w:r>
        <w:rPr>
          <w:rFonts w:cstheme="minorHAnsi"/>
          <w:color w:val="141414"/>
        </w:rPr>
        <w:t>Property</w:t>
      </w:r>
      <w:r>
        <w:rPr>
          <w:rFonts w:cstheme="minorHAnsi"/>
          <w:color w:val="535353"/>
        </w:rPr>
        <w:t xml:space="preserve">, </w:t>
      </w:r>
      <w:r>
        <w:rPr>
          <w:rFonts w:cstheme="minorHAnsi"/>
          <w:color w:val="141414"/>
        </w:rPr>
        <w:t xml:space="preserve">was not in </w:t>
      </w:r>
      <w:r>
        <w:rPr>
          <w:rFonts w:cstheme="minorHAnsi"/>
          <w:color w:val="232323"/>
        </w:rPr>
        <w:t xml:space="preserve">actual occupation </w:t>
      </w:r>
      <w:r>
        <w:rPr>
          <w:rFonts w:cstheme="minorHAnsi"/>
          <w:color w:val="141414"/>
        </w:rPr>
        <w:t xml:space="preserve">and, following receipt of independent legal advice, had withdrawn her matrimonial notice </w:t>
      </w:r>
      <w:r>
        <w:rPr>
          <w:rFonts w:cstheme="minorHAnsi"/>
          <w:color w:val="232323"/>
        </w:rPr>
        <w:t xml:space="preserve">at </w:t>
      </w:r>
      <w:r>
        <w:rPr>
          <w:rFonts w:cstheme="minorHAnsi"/>
          <w:color w:val="141414"/>
        </w:rPr>
        <w:t xml:space="preserve">HMLR to enable the </w:t>
      </w:r>
      <w:r>
        <w:rPr>
          <w:rFonts w:cstheme="minorHAnsi"/>
          <w:color w:val="232323"/>
        </w:rPr>
        <w:t xml:space="preserve">Charge </w:t>
      </w:r>
      <w:r>
        <w:rPr>
          <w:rFonts w:cstheme="minorHAnsi"/>
          <w:color w:val="141414"/>
        </w:rPr>
        <w:t xml:space="preserve">to </w:t>
      </w:r>
      <w:r>
        <w:rPr>
          <w:rFonts w:cstheme="minorHAnsi"/>
          <w:color w:val="232323"/>
        </w:rPr>
        <w:t>complete.</w:t>
      </w:r>
    </w:p>
    <w:p w14:paraId="5DA7DD29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41414"/>
        </w:rPr>
        <w:t xml:space="preserve">the </w:t>
      </w:r>
      <w:r>
        <w:rPr>
          <w:rFonts w:cstheme="minorHAnsi"/>
          <w:color w:val="232323"/>
        </w:rPr>
        <w:t xml:space="preserve">refinance in </w:t>
      </w:r>
      <w:r>
        <w:rPr>
          <w:rFonts w:cstheme="minorHAnsi"/>
          <w:color w:val="141414"/>
        </w:rPr>
        <w:t xml:space="preserve">February 2009 </w:t>
      </w:r>
      <w:r>
        <w:rPr>
          <w:rFonts w:cstheme="minorHAnsi"/>
          <w:color w:val="232323"/>
        </w:rPr>
        <w:t xml:space="preserve">was </w:t>
      </w:r>
      <w:r>
        <w:rPr>
          <w:rFonts w:cstheme="minorHAnsi"/>
          <w:color w:val="141414"/>
        </w:rPr>
        <w:t xml:space="preserve">a bona </w:t>
      </w:r>
      <w:r>
        <w:rPr>
          <w:rFonts w:cstheme="minorHAnsi"/>
          <w:color w:val="232323"/>
        </w:rPr>
        <w:t>fide arm's</w:t>
      </w:r>
      <w:r>
        <w:rPr>
          <w:rFonts w:cstheme="minorHAnsi"/>
          <w:color w:val="141414"/>
        </w:rPr>
        <w:t xml:space="preserve"> length </w:t>
      </w:r>
      <w:r>
        <w:rPr>
          <w:rFonts w:cstheme="minorHAnsi"/>
          <w:color w:val="232323"/>
        </w:rPr>
        <w:t xml:space="preserve">transaction under </w:t>
      </w:r>
      <w:r>
        <w:rPr>
          <w:rFonts w:cstheme="minorHAnsi"/>
          <w:color w:val="141414"/>
        </w:rPr>
        <w:t xml:space="preserve">which we </w:t>
      </w:r>
      <w:r>
        <w:rPr>
          <w:rFonts w:cstheme="minorHAnsi"/>
          <w:color w:val="232323"/>
        </w:rPr>
        <w:t xml:space="preserve">advanced our </w:t>
      </w:r>
      <w:r>
        <w:rPr>
          <w:rFonts w:cstheme="minorHAnsi"/>
          <w:color w:val="141414"/>
        </w:rPr>
        <w:t xml:space="preserve">own funds </w:t>
      </w:r>
      <w:r>
        <w:rPr>
          <w:rFonts w:cstheme="minorHAnsi"/>
          <w:color w:val="232323"/>
        </w:rPr>
        <w:t xml:space="preserve">to </w:t>
      </w:r>
      <w:r>
        <w:rPr>
          <w:rFonts w:cstheme="minorHAnsi"/>
          <w:color w:val="141414"/>
        </w:rPr>
        <w:t xml:space="preserve">enable the </w:t>
      </w:r>
      <w:r>
        <w:rPr>
          <w:rFonts w:cstheme="minorHAnsi"/>
          <w:color w:val="232323"/>
        </w:rPr>
        <w:t xml:space="preserve">Company </w:t>
      </w:r>
      <w:r>
        <w:rPr>
          <w:rFonts w:cstheme="minorHAnsi"/>
          <w:color w:val="141414"/>
        </w:rPr>
        <w:t xml:space="preserve">to repay an existing debt to </w:t>
      </w:r>
      <w:r>
        <w:rPr>
          <w:rFonts w:cstheme="minorHAnsi"/>
          <w:color w:val="232323"/>
        </w:rPr>
        <w:t xml:space="preserve">Standard </w:t>
      </w:r>
      <w:r>
        <w:rPr>
          <w:rFonts w:cstheme="minorHAnsi"/>
          <w:color w:val="141414"/>
        </w:rPr>
        <w:t xml:space="preserve">Bank. </w:t>
      </w:r>
      <w:r>
        <w:rPr>
          <w:rFonts w:cstheme="minorHAnsi"/>
          <w:color w:val="232323"/>
        </w:rPr>
        <w:t xml:space="preserve">All </w:t>
      </w:r>
      <w:r>
        <w:rPr>
          <w:rFonts w:cstheme="minorHAnsi"/>
          <w:color w:val="141414"/>
        </w:rPr>
        <w:t xml:space="preserve">parties had </w:t>
      </w:r>
      <w:r>
        <w:rPr>
          <w:rFonts w:cstheme="minorHAnsi"/>
          <w:color w:val="232323"/>
        </w:rPr>
        <w:t xml:space="preserve">separate </w:t>
      </w:r>
      <w:r>
        <w:rPr>
          <w:rFonts w:cstheme="minorHAnsi"/>
          <w:color w:val="141414"/>
        </w:rPr>
        <w:t xml:space="preserve">legal </w:t>
      </w:r>
      <w:r>
        <w:rPr>
          <w:rFonts w:cstheme="minorHAnsi"/>
          <w:color w:val="232323"/>
        </w:rPr>
        <w:t>representation.</w:t>
      </w:r>
    </w:p>
    <w:p w14:paraId="0BDC66AF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81818"/>
        </w:rPr>
        <w:t>It is incorrect that there was any form of fraud in relation to the refinance of the Property and indeed it did not involve an "equ</w:t>
      </w:r>
      <w:r>
        <w:rPr>
          <w:rFonts w:cstheme="minorHAnsi"/>
          <w:color w:val="373737"/>
        </w:rPr>
        <w:t>i</w:t>
      </w:r>
      <w:r>
        <w:rPr>
          <w:rFonts w:cstheme="minorHAnsi"/>
          <w:color w:val="181818"/>
        </w:rPr>
        <w:t>ty release" as Ms Johnson contends</w:t>
      </w:r>
      <w:r>
        <w:rPr>
          <w:rFonts w:cstheme="minorHAnsi"/>
          <w:color w:val="4B4B4B"/>
        </w:rPr>
        <w:t>.</w:t>
      </w:r>
    </w:p>
    <w:p w14:paraId="215BF38F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81818"/>
        </w:rPr>
        <w:t>We are not a party to any proceedings in France relating to Mr Takieddine and so far as we are aware</w:t>
      </w:r>
      <w:r>
        <w:rPr>
          <w:rFonts w:cstheme="minorHAnsi"/>
          <w:color w:val="373737"/>
        </w:rPr>
        <w:t xml:space="preserve">, </w:t>
      </w:r>
      <w:r>
        <w:rPr>
          <w:rFonts w:cstheme="minorHAnsi"/>
          <w:color w:val="181818"/>
        </w:rPr>
        <w:t>have not been named in those proceedings</w:t>
      </w:r>
      <w:r>
        <w:rPr>
          <w:rFonts w:cstheme="minorHAnsi"/>
          <w:color w:val="4B4B4B"/>
        </w:rPr>
        <w:t>.</w:t>
      </w:r>
    </w:p>
    <w:p w14:paraId="5F9B8053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81818"/>
        </w:rPr>
        <w:t>At the time of the loan</w:t>
      </w:r>
      <w:r>
        <w:rPr>
          <w:rFonts w:cstheme="minorHAnsi"/>
          <w:color w:val="373737"/>
        </w:rPr>
        <w:t xml:space="preserve">, </w:t>
      </w:r>
      <w:r>
        <w:rPr>
          <w:rFonts w:cstheme="minorHAnsi"/>
          <w:color w:val="181818"/>
        </w:rPr>
        <w:t>it was not public knowledge that Mr Takieddine was under investigation for any criminal matters</w:t>
      </w:r>
      <w:r>
        <w:rPr>
          <w:rFonts w:cstheme="minorHAnsi"/>
          <w:color w:val="373737"/>
        </w:rPr>
        <w:t>.</w:t>
      </w:r>
    </w:p>
    <w:p w14:paraId="6B96E603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81818"/>
        </w:rPr>
        <w:t>Ms Johnson</w:t>
      </w:r>
      <w:r>
        <w:rPr>
          <w:rFonts w:cstheme="minorHAnsi"/>
          <w:color w:val="4B4B4B"/>
        </w:rPr>
        <w:t>'</w:t>
      </w:r>
      <w:r>
        <w:rPr>
          <w:rFonts w:cstheme="minorHAnsi"/>
          <w:color w:val="181818"/>
        </w:rPr>
        <w:t>s position in relation to the Property was not impacted by the loan or the Charge.</w:t>
      </w:r>
    </w:p>
    <w:p w14:paraId="1702F695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81818"/>
        </w:rPr>
        <w:t>Ms</w:t>
      </w:r>
      <w:r>
        <w:rPr>
          <w:rFonts w:cstheme="minorHAnsi"/>
          <w:color w:val="373737"/>
        </w:rPr>
        <w:t xml:space="preserve">. </w:t>
      </w:r>
      <w:r>
        <w:rPr>
          <w:rFonts w:cstheme="minorHAnsi"/>
          <w:color w:val="181818"/>
        </w:rPr>
        <w:t>Johnson was aware of the refinancing transaction and</w:t>
      </w:r>
      <w:r>
        <w:rPr>
          <w:rFonts w:cstheme="minorHAnsi"/>
          <w:color w:val="4B4B4B"/>
        </w:rPr>
        <w:t xml:space="preserve">, </w:t>
      </w:r>
      <w:r>
        <w:rPr>
          <w:rFonts w:cstheme="minorHAnsi"/>
          <w:color w:val="181818"/>
        </w:rPr>
        <w:t>along with other relevant part</w:t>
      </w:r>
      <w:r>
        <w:rPr>
          <w:rFonts w:cstheme="minorHAnsi"/>
          <w:color w:val="373737"/>
        </w:rPr>
        <w:t>i</w:t>
      </w:r>
      <w:r>
        <w:rPr>
          <w:rFonts w:cstheme="minorHAnsi"/>
          <w:color w:val="181818"/>
        </w:rPr>
        <w:t>es</w:t>
      </w:r>
      <w:r>
        <w:rPr>
          <w:rFonts w:cstheme="minorHAnsi"/>
          <w:color w:val="4B4B4B"/>
        </w:rPr>
        <w:t xml:space="preserve">, </w:t>
      </w:r>
      <w:r>
        <w:rPr>
          <w:rFonts w:cstheme="minorHAnsi"/>
          <w:color w:val="181818"/>
        </w:rPr>
        <w:t>received independent legal adv</w:t>
      </w:r>
      <w:r>
        <w:rPr>
          <w:rFonts w:cstheme="minorHAnsi"/>
          <w:color w:val="373737"/>
        </w:rPr>
        <w:t>i</w:t>
      </w:r>
      <w:r>
        <w:rPr>
          <w:rFonts w:cstheme="minorHAnsi"/>
          <w:color w:val="181818"/>
        </w:rPr>
        <w:t>ce.</w:t>
      </w:r>
    </w:p>
    <w:p w14:paraId="67BA5E69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i/>
          <w:iCs/>
          <w:color w:val="181818"/>
        </w:rPr>
        <w:t xml:space="preserve">"to discharge any </w:t>
      </w:r>
      <w:r>
        <w:rPr>
          <w:rFonts w:cstheme="minorHAnsi"/>
          <w:color w:val="181818"/>
        </w:rPr>
        <w:t>sum</w:t>
      </w:r>
      <w:r>
        <w:rPr>
          <w:rFonts w:cstheme="minorHAnsi"/>
          <w:color w:val="373737"/>
        </w:rPr>
        <w:t xml:space="preserve">s </w:t>
      </w:r>
      <w:r>
        <w:rPr>
          <w:rFonts w:cstheme="minorHAnsi"/>
          <w:i/>
          <w:iCs/>
          <w:color w:val="181818"/>
        </w:rPr>
        <w:t>payable under the mortgage [the Charg</w:t>
      </w:r>
      <w:r>
        <w:rPr>
          <w:rFonts w:cstheme="minorHAnsi"/>
          <w:i/>
          <w:iCs/>
          <w:color w:val="373737"/>
        </w:rPr>
        <w:t>e</w:t>
      </w:r>
      <w:r>
        <w:rPr>
          <w:rFonts w:cstheme="minorHAnsi"/>
          <w:i/>
          <w:iCs/>
          <w:color w:val="181818"/>
        </w:rPr>
        <w:t>] in favour of Bar</w:t>
      </w:r>
      <w:r>
        <w:rPr>
          <w:rFonts w:cstheme="minorHAnsi"/>
          <w:i/>
          <w:iCs/>
          <w:color w:val="373737"/>
        </w:rPr>
        <w:t>c</w:t>
      </w:r>
      <w:r>
        <w:rPr>
          <w:rFonts w:cstheme="minorHAnsi"/>
          <w:i/>
          <w:iCs/>
          <w:color w:val="181818"/>
        </w:rPr>
        <w:t>l</w:t>
      </w:r>
      <w:r>
        <w:rPr>
          <w:rFonts w:cstheme="minorHAnsi"/>
          <w:i/>
          <w:iCs/>
          <w:color w:val="373737"/>
        </w:rPr>
        <w:t>a</w:t>
      </w:r>
      <w:r>
        <w:rPr>
          <w:rFonts w:cstheme="minorHAnsi"/>
          <w:i/>
          <w:iCs/>
          <w:color w:val="181818"/>
        </w:rPr>
        <w:t>ys</w:t>
      </w:r>
      <w:r>
        <w:rPr>
          <w:rFonts w:cstheme="minorHAnsi"/>
          <w:i/>
          <w:iCs/>
          <w:color w:val="4B4B4B"/>
        </w:rPr>
        <w:t>.</w:t>
      </w:r>
      <w:r>
        <w:rPr>
          <w:rFonts w:cstheme="minorHAnsi"/>
          <w:i/>
          <w:iCs/>
          <w:color w:val="181818"/>
        </w:rPr>
        <w:t>"</w:t>
      </w:r>
    </w:p>
    <w:p w14:paraId="73C4C965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i/>
          <w:iCs/>
          <w:color w:val="181818"/>
        </w:rPr>
        <w:t xml:space="preserve">We </w:t>
      </w:r>
      <w:r>
        <w:rPr>
          <w:rFonts w:cstheme="minorHAnsi"/>
          <w:color w:val="181818"/>
        </w:rPr>
        <w:t>are not preventing the Property from being sold</w:t>
      </w:r>
      <w:r>
        <w:rPr>
          <w:rFonts w:cstheme="minorHAnsi"/>
          <w:color w:val="5D5D5D"/>
        </w:rPr>
        <w:t xml:space="preserve">. (double edged sword) </w:t>
      </w:r>
    </w:p>
    <w:p w14:paraId="5F6F0D11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81818"/>
        </w:rPr>
        <w:t>we do not consider that we have acted unfairly towards Ms Johnson</w:t>
      </w:r>
      <w:r>
        <w:rPr>
          <w:rFonts w:cstheme="minorHAnsi"/>
          <w:color w:val="4B4B4B"/>
        </w:rPr>
        <w:t>.</w:t>
      </w:r>
    </w:p>
    <w:p w14:paraId="42553C3D" w14:textId="77777777" w:rsidR="0091491C" w:rsidRDefault="0091491C" w:rsidP="0091491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181818"/>
        </w:rPr>
        <w:t>we would prefer to achieve a consensual solution</w:t>
      </w:r>
      <w:r>
        <w:rPr>
          <w:rFonts w:cstheme="minorHAnsi"/>
        </w:rPr>
        <w:t>.</w:t>
      </w:r>
    </w:p>
    <w:p w14:paraId="5AF4BBB0" w14:textId="77777777" w:rsidR="0091491C" w:rsidRDefault="0091491C" w:rsidP="0091491C">
      <w:pPr>
        <w:rPr>
          <w:rFonts w:cstheme="minorHAnsi"/>
        </w:rPr>
      </w:pPr>
    </w:p>
    <w:p w14:paraId="79D12C5F" w14:textId="77777777" w:rsidR="0091491C" w:rsidRDefault="0091491C" w:rsidP="0091491C">
      <w:pPr>
        <w:rPr>
          <w:rFonts w:cstheme="minorHAnsi"/>
        </w:rPr>
      </w:pPr>
      <w:r>
        <w:rPr>
          <w:rFonts w:cstheme="minorHAnsi"/>
        </w:rPr>
        <w:t>Things that are said with the most force might be the things they are most of, they are:</w:t>
      </w:r>
    </w:p>
    <w:p w14:paraId="68A025C1" w14:textId="77777777" w:rsidR="0091491C" w:rsidRDefault="0091491C" w:rsidP="009149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France</w:t>
      </w:r>
    </w:p>
    <w:p w14:paraId="62D55705" w14:textId="77777777" w:rsidR="0091491C" w:rsidRDefault="0091491C" w:rsidP="009149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Equity release</w:t>
      </w:r>
    </w:p>
    <w:p w14:paraId="2D7848F6" w14:textId="77777777" w:rsidR="0091491C" w:rsidRDefault="0091491C" w:rsidP="009149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Advice</w:t>
      </w:r>
    </w:p>
    <w:p w14:paraId="7A93DFA7" w14:textId="77777777" w:rsidR="0091491C" w:rsidRDefault="0091491C" w:rsidP="009149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Court Order (Divorce England)</w:t>
      </w:r>
    </w:p>
    <w:p w14:paraId="15F80527" w14:textId="77777777" w:rsidR="0091491C" w:rsidRDefault="0091491C" w:rsidP="0091491C">
      <w:pPr>
        <w:rPr>
          <w:rFonts w:cstheme="minorHAnsi"/>
        </w:rPr>
      </w:pPr>
      <w:r>
        <w:rPr>
          <w:rFonts w:cstheme="minorHAnsi"/>
        </w:rPr>
        <w:t>Knowingly ducked:</w:t>
      </w:r>
    </w:p>
    <w:p w14:paraId="66EA69D4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Bank knew my husband had filed for divorce</w:t>
      </w:r>
    </w:p>
    <w:p w14:paraId="49EAE0DA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Purpose was to defraud</w:t>
      </w:r>
    </w:p>
    <w:p w14:paraId="52C0E82E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Barclays fully aware</w:t>
      </w:r>
    </w:p>
    <w:p w14:paraId="4D981682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lastRenderedPageBreak/>
        <w:t>Public Knowledge under investigation for tax evasion</w:t>
      </w:r>
    </w:p>
    <w:p w14:paraId="5EA46559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PEP – knew who they were dealing with</w:t>
      </w:r>
    </w:p>
    <w:p w14:paraId="63D0E54A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seeking to profit from Mr Takieddine’s links with the Libyan regime</w:t>
      </w:r>
    </w:p>
    <w:p w14:paraId="5FF93F8B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illegal financing for Nicolas Sarkozy</w:t>
      </w:r>
    </w:p>
    <w:p w14:paraId="78079467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weapons to a convicted terrorist</w:t>
      </w:r>
    </w:p>
    <w:p w14:paraId="55D53C9C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illegal arms contract</w:t>
      </w:r>
    </w:p>
    <w:p w14:paraId="70831CFD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complicity in acts of torture</w:t>
      </w:r>
    </w:p>
    <w:p w14:paraId="70FBFA76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perversion of the course</w:t>
      </w:r>
    </w:p>
    <w:p w14:paraId="0DC47815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5" w:hAnsi="CIDFont+F5" w:cs="CIDFont+F5"/>
        </w:rPr>
        <w:t xml:space="preserve">"abandon de </w:t>
      </w:r>
      <w:proofErr w:type="spellStart"/>
      <w:r>
        <w:rPr>
          <w:rFonts w:ascii="CIDFont+F5" w:hAnsi="CIDFont+F5" w:cs="CIDFont+F5"/>
        </w:rPr>
        <w:t>famille</w:t>
      </w:r>
      <w:proofErr w:type="spellEnd"/>
      <w:r>
        <w:rPr>
          <w:rFonts w:ascii="CIDFont+F5" w:hAnsi="CIDFont+F5" w:cs="CIDFont+F5"/>
        </w:rPr>
        <w:t>"</w:t>
      </w:r>
    </w:p>
    <w:p w14:paraId="453F70CE" w14:textId="77777777" w:rsidR="0091491C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Mortgage redemption statement</w:t>
      </w:r>
    </w:p>
    <w:p w14:paraId="2DD76B00" w14:textId="334937FC" w:rsidR="0091491C" w:rsidRPr="0039543F" w:rsidRDefault="0091491C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>lost or destroyed some of its records</w:t>
      </w:r>
    </w:p>
    <w:p w14:paraId="1AF59431" w14:textId="0E760739" w:rsidR="0039543F" w:rsidRDefault="0039543F" w:rsidP="0091491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="CIDFont+F4" w:hAnsi="CIDFont+F4" w:cs="CIDFont+F4"/>
        </w:rPr>
        <w:t xml:space="preserve">ZT's hostility to wife (evidence that shows his intention) – homeless, penniless, behind bars. </w:t>
      </w:r>
      <w:bookmarkStart w:id="0" w:name="_GoBack"/>
      <w:bookmarkEnd w:id="0"/>
    </w:p>
    <w:p w14:paraId="3C30A283" w14:textId="77777777" w:rsidR="0091491C" w:rsidRDefault="0091491C" w:rsidP="0091491C">
      <w:pPr>
        <w:rPr>
          <w:rFonts w:cstheme="minorHAnsi"/>
        </w:rPr>
      </w:pPr>
    </w:p>
    <w:p w14:paraId="30D74851" w14:textId="77777777" w:rsidR="0091491C" w:rsidRDefault="0091491C" w:rsidP="0091491C">
      <w:pPr>
        <w:rPr>
          <w:rFonts w:cstheme="minorHAnsi"/>
        </w:rPr>
      </w:pPr>
      <w:r>
        <w:rPr>
          <w:rFonts w:cstheme="minorHAnsi"/>
        </w:rPr>
        <w:t xml:space="preserve">Disclosure: </w:t>
      </w:r>
    </w:p>
    <w:p w14:paraId="4DFE2544" w14:textId="77777777" w:rsidR="0091491C" w:rsidRDefault="0091491C" w:rsidP="0091491C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Circumstances of Hartford's departure</w:t>
      </w:r>
    </w:p>
    <w:p w14:paraId="29E87360" w14:textId="77777777" w:rsidR="0091491C" w:rsidRDefault="0091491C" w:rsidP="0091491C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Role of John Hall </w:t>
      </w:r>
    </w:p>
    <w:p w14:paraId="559F0343" w14:textId="77777777" w:rsidR="0091491C" w:rsidRDefault="0091491C" w:rsidP="0091491C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PEP</w:t>
      </w:r>
    </w:p>
    <w:p w14:paraId="089EB89E" w14:textId="77777777" w:rsidR="00271D19" w:rsidRDefault="00271D19"/>
    <w:sectPr w:rsidR="00271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3458A"/>
    <w:multiLevelType w:val="hybridMultilevel"/>
    <w:tmpl w:val="038432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02811"/>
    <w:multiLevelType w:val="hybridMultilevel"/>
    <w:tmpl w:val="9920F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A7267"/>
    <w:multiLevelType w:val="hybridMultilevel"/>
    <w:tmpl w:val="33AE0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26B96"/>
    <w:multiLevelType w:val="hybridMultilevel"/>
    <w:tmpl w:val="697E7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A0486"/>
    <w:multiLevelType w:val="hybridMultilevel"/>
    <w:tmpl w:val="68B69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1C"/>
    <w:rsid w:val="00271D19"/>
    <w:rsid w:val="0039543F"/>
    <w:rsid w:val="0091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2B03"/>
  <w15:chartTrackingRefBased/>
  <w15:docId w15:val="{ABBF2091-0DEB-4A97-9A87-41263BB0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91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4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2019-07-12T15:52:00Z</dcterms:created>
  <dcterms:modified xsi:type="dcterms:W3CDTF">2019-07-12T15:56:00Z</dcterms:modified>
</cp:coreProperties>
</file>