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D56A1A" w14:textId="77777777" w:rsidR="00A72D82" w:rsidRPr="00A72D82" w:rsidRDefault="00A72D82" w:rsidP="00514C43">
      <w:pPr>
        <w:shd w:val="clear" w:color="auto" w:fill="FFFFFF"/>
        <w:spacing w:after="120" w:line="360" w:lineRule="atLeast"/>
        <w:rPr>
          <w:rFonts w:ascii="Arial" w:eastAsia="Times New Roman" w:hAnsi="Arial" w:cs="Arial"/>
          <w:b/>
          <w:color w:val="000000"/>
          <w:sz w:val="19"/>
          <w:szCs w:val="19"/>
          <w:u w:val="single"/>
          <w:lang w:eastAsia="en-GB"/>
        </w:rPr>
      </w:pPr>
      <w:bookmarkStart w:id="0" w:name="_GoBack"/>
      <w:bookmarkEnd w:id="0"/>
      <w:r w:rsidRPr="00A72D82">
        <w:rPr>
          <w:rFonts w:ascii="Arial" w:eastAsia="Times New Roman" w:hAnsi="Arial" w:cs="Arial"/>
          <w:b/>
          <w:color w:val="000000"/>
          <w:sz w:val="19"/>
          <w:szCs w:val="19"/>
          <w:u w:val="single"/>
          <w:lang w:eastAsia="en-GB"/>
        </w:rPr>
        <w:t xml:space="preserve">s.340 (11) </w:t>
      </w:r>
    </w:p>
    <w:p w14:paraId="771545BB" w14:textId="7F3E8085" w:rsidR="00514C43" w:rsidRPr="00514C43" w:rsidRDefault="00514C43" w:rsidP="00514C43">
      <w:pPr>
        <w:shd w:val="clear" w:color="auto" w:fill="FFFFFF"/>
        <w:spacing w:after="120" w:line="360" w:lineRule="atLeast"/>
        <w:rPr>
          <w:rFonts w:ascii="Arial" w:eastAsia="Times New Roman" w:hAnsi="Arial" w:cs="Arial"/>
          <w:color w:val="000000"/>
          <w:sz w:val="19"/>
          <w:szCs w:val="19"/>
          <w:lang w:eastAsia="en-GB"/>
        </w:rPr>
      </w:pPr>
      <w:r w:rsidRPr="00514C43">
        <w:rPr>
          <w:rFonts w:ascii="Arial" w:eastAsia="Times New Roman" w:hAnsi="Arial" w:cs="Arial"/>
          <w:color w:val="000000"/>
          <w:sz w:val="19"/>
          <w:szCs w:val="19"/>
          <w:lang w:eastAsia="en-GB"/>
        </w:rPr>
        <w:t>Money laundering is an act which—</w:t>
      </w:r>
    </w:p>
    <w:p w14:paraId="06210B3A" w14:textId="77777777" w:rsidR="00514C43" w:rsidRPr="00514C43" w:rsidRDefault="00514C43" w:rsidP="00A72D82">
      <w:pPr>
        <w:shd w:val="clear" w:color="auto" w:fill="FFFFFF"/>
        <w:spacing w:after="120" w:line="360" w:lineRule="atLeast"/>
        <w:ind w:left="720"/>
        <w:rPr>
          <w:rFonts w:ascii="Arial" w:eastAsia="Times New Roman" w:hAnsi="Arial" w:cs="Arial"/>
          <w:color w:val="000000"/>
          <w:sz w:val="19"/>
          <w:szCs w:val="19"/>
          <w:lang w:eastAsia="en-GB"/>
        </w:rPr>
      </w:pPr>
      <w:r w:rsidRPr="00514C43">
        <w:rPr>
          <w:rFonts w:ascii="Arial" w:eastAsia="Times New Roman" w:hAnsi="Arial" w:cs="Arial"/>
          <w:color w:val="000000"/>
          <w:sz w:val="19"/>
          <w:szCs w:val="19"/>
          <w:lang w:eastAsia="en-GB"/>
        </w:rPr>
        <w:t>(a)constitutes an offence under section 327, 328 or 329,</w:t>
      </w:r>
    </w:p>
    <w:p w14:paraId="3CB85FF3" w14:textId="77777777" w:rsidR="00514C43" w:rsidRPr="00514C43" w:rsidRDefault="00514C43" w:rsidP="00A72D82">
      <w:pPr>
        <w:shd w:val="clear" w:color="auto" w:fill="FFFFFF"/>
        <w:spacing w:after="120" w:line="360" w:lineRule="atLeast"/>
        <w:ind w:left="720"/>
        <w:rPr>
          <w:rFonts w:ascii="Arial" w:eastAsia="Times New Roman" w:hAnsi="Arial" w:cs="Arial"/>
          <w:color w:val="000000"/>
          <w:sz w:val="19"/>
          <w:szCs w:val="19"/>
          <w:lang w:eastAsia="en-GB"/>
        </w:rPr>
      </w:pPr>
      <w:r w:rsidRPr="00514C43">
        <w:rPr>
          <w:rFonts w:ascii="Arial" w:eastAsia="Times New Roman" w:hAnsi="Arial" w:cs="Arial"/>
          <w:color w:val="000000"/>
          <w:sz w:val="19"/>
          <w:szCs w:val="19"/>
          <w:lang w:eastAsia="en-GB"/>
        </w:rPr>
        <w:t>(b)constitutes an attempt, conspiracy or incitement to commit an offence specified in paragraph (a),</w:t>
      </w:r>
    </w:p>
    <w:p w14:paraId="0845C9BE" w14:textId="77777777" w:rsidR="00514C43" w:rsidRPr="00514C43" w:rsidRDefault="00514C43" w:rsidP="00A72D82">
      <w:pPr>
        <w:shd w:val="clear" w:color="auto" w:fill="FFFFFF"/>
        <w:spacing w:after="120" w:line="360" w:lineRule="atLeast"/>
        <w:ind w:left="720"/>
        <w:rPr>
          <w:rFonts w:ascii="Arial" w:eastAsia="Times New Roman" w:hAnsi="Arial" w:cs="Arial"/>
          <w:color w:val="000000"/>
          <w:sz w:val="19"/>
          <w:szCs w:val="19"/>
          <w:lang w:eastAsia="en-GB"/>
        </w:rPr>
      </w:pPr>
      <w:r w:rsidRPr="00514C43">
        <w:rPr>
          <w:rFonts w:ascii="Arial" w:eastAsia="Times New Roman" w:hAnsi="Arial" w:cs="Arial"/>
          <w:color w:val="000000"/>
          <w:sz w:val="19"/>
          <w:szCs w:val="19"/>
          <w:lang w:eastAsia="en-GB"/>
        </w:rPr>
        <w:t>(c)constitutes aiding, abetting, counselling or procuring the commission of an offence specified in paragraph (a), or</w:t>
      </w:r>
    </w:p>
    <w:p w14:paraId="7859370A" w14:textId="77777777" w:rsidR="00514C43" w:rsidRPr="00514C43" w:rsidRDefault="00514C43" w:rsidP="00A72D82">
      <w:pPr>
        <w:shd w:val="clear" w:color="auto" w:fill="FFFFFF"/>
        <w:spacing w:after="120" w:line="360" w:lineRule="atLeast"/>
        <w:ind w:left="720"/>
        <w:rPr>
          <w:rFonts w:ascii="Arial" w:eastAsia="Times New Roman" w:hAnsi="Arial" w:cs="Arial"/>
          <w:color w:val="000000"/>
          <w:sz w:val="19"/>
          <w:szCs w:val="19"/>
          <w:lang w:eastAsia="en-GB"/>
        </w:rPr>
      </w:pPr>
      <w:r w:rsidRPr="00514C43">
        <w:rPr>
          <w:rFonts w:ascii="Arial" w:eastAsia="Times New Roman" w:hAnsi="Arial" w:cs="Arial"/>
          <w:color w:val="000000"/>
          <w:sz w:val="19"/>
          <w:szCs w:val="19"/>
          <w:lang w:eastAsia="en-GB"/>
        </w:rPr>
        <w:t>(d)would constitute an offence specified in paragraph (a), (b) or (c) if done in the United Kingdom.</w:t>
      </w:r>
    </w:p>
    <w:p w14:paraId="08328124" w14:textId="77777777" w:rsidR="00514C43" w:rsidRDefault="00514C43" w:rsidP="0040216E">
      <w:pPr>
        <w:shd w:val="clear" w:color="auto" w:fill="FFFFFF"/>
        <w:spacing w:after="0" w:line="360" w:lineRule="auto"/>
        <w:rPr>
          <w:rFonts w:ascii="Arial" w:eastAsia="Times New Roman" w:hAnsi="Arial" w:cs="Arial"/>
          <w:b/>
          <w:i/>
          <w:iCs/>
          <w:color w:val="000000"/>
          <w:sz w:val="19"/>
          <w:szCs w:val="19"/>
          <w:lang w:eastAsia="en-GB"/>
        </w:rPr>
      </w:pPr>
    </w:p>
    <w:p w14:paraId="028F1800" w14:textId="7B65B736" w:rsidR="0040216E" w:rsidRDefault="0040216E" w:rsidP="0040216E">
      <w:pPr>
        <w:shd w:val="clear" w:color="auto" w:fill="FFFFFF"/>
        <w:spacing w:after="0" w:line="360" w:lineRule="auto"/>
        <w:rPr>
          <w:rFonts w:ascii="Arial" w:eastAsia="Times New Roman" w:hAnsi="Arial" w:cs="Arial"/>
          <w:color w:val="000000"/>
          <w:sz w:val="19"/>
          <w:szCs w:val="19"/>
          <w:lang w:eastAsia="en-GB"/>
        </w:rPr>
      </w:pPr>
      <w:hyperlink r:id="rId5" w:history="1">
        <w:r w:rsidRPr="0040216E">
          <w:rPr>
            <w:rFonts w:ascii="Arial" w:eastAsia="Times New Roman" w:hAnsi="Arial" w:cs="Arial"/>
            <w:b/>
            <w:i/>
            <w:iCs/>
            <w:color w:val="2790C4"/>
            <w:sz w:val="18"/>
            <w:szCs w:val="18"/>
            <w:lang w:eastAsia="en-GB"/>
          </w:rPr>
          <w:t>Section 327</w:t>
        </w:r>
      </w:hyperlink>
      <w:r w:rsidRPr="0040216E">
        <w:rPr>
          <w:rFonts w:ascii="Arial" w:eastAsia="Times New Roman" w:hAnsi="Arial" w:cs="Arial"/>
          <w:b/>
          <w:color w:val="000000"/>
          <w:sz w:val="19"/>
          <w:szCs w:val="19"/>
          <w:lang w:eastAsia="en-GB"/>
        </w:rPr>
        <w:t> </w:t>
      </w:r>
      <w:r w:rsidRPr="0040216E">
        <w:rPr>
          <w:rFonts w:ascii="Arial" w:eastAsia="Times New Roman" w:hAnsi="Arial" w:cs="Arial"/>
          <w:color w:val="000000"/>
          <w:sz w:val="19"/>
          <w:szCs w:val="19"/>
          <w:lang w:eastAsia="en-GB"/>
        </w:rPr>
        <w:t>creates one of three principal money laundering offences. The other two are to be found in </w:t>
      </w:r>
      <w:hyperlink r:id="rId6" w:history="1">
        <w:r w:rsidRPr="0040216E">
          <w:rPr>
            <w:rFonts w:ascii="Arial" w:eastAsia="Times New Roman" w:hAnsi="Arial" w:cs="Arial"/>
            <w:b/>
            <w:i/>
            <w:iCs/>
            <w:color w:val="2790C4"/>
            <w:sz w:val="18"/>
            <w:szCs w:val="18"/>
            <w:lang w:eastAsia="en-GB"/>
          </w:rPr>
          <w:t>sections 328</w:t>
        </w:r>
      </w:hyperlink>
      <w:r w:rsidRPr="0040216E">
        <w:rPr>
          <w:rFonts w:ascii="Arial" w:eastAsia="Times New Roman" w:hAnsi="Arial" w:cs="Arial"/>
          <w:color w:val="000000"/>
          <w:sz w:val="19"/>
          <w:szCs w:val="19"/>
          <w:lang w:eastAsia="en-GB"/>
        </w:rPr>
        <w:t> and</w:t>
      </w:r>
      <w:r w:rsidRPr="0040216E">
        <w:rPr>
          <w:rFonts w:ascii="Arial" w:eastAsia="Times New Roman" w:hAnsi="Arial" w:cs="Arial"/>
          <w:i/>
          <w:iCs/>
          <w:color w:val="000000"/>
          <w:sz w:val="19"/>
          <w:szCs w:val="19"/>
          <w:lang w:eastAsia="en-GB"/>
        </w:rPr>
        <w:t> </w:t>
      </w:r>
      <w:hyperlink r:id="rId7" w:history="1">
        <w:r w:rsidRPr="0040216E">
          <w:rPr>
            <w:rFonts w:ascii="Arial" w:eastAsia="Times New Roman" w:hAnsi="Arial" w:cs="Arial"/>
            <w:b/>
            <w:i/>
            <w:iCs/>
            <w:color w:val="2790C4"/>
            <w:sz w:val="18"/>
            <w:szCs w:val="18"/>
            <w:lang w:eastAsia="en-GB"/>
          </w:rPr>
          <w:t>329</w:t>
        </w:r>
      </w:hyperlink>
      <w:r w:rsidRPr="0040216E">
        <w:rPr>
          <w:rFonts w:ascii="Arial" w:eastAsia="Times New Roman" w:hAnsi="Arial" w:cs="Arial"/>
          <w:i/>
          <w:iCs/>
          <w:color w:val="000000"/>
          <w:sz w:val="19"/>
          <w:szCs w:val="19"/>
          <w:lang w:eastAsia="en-GB"/>
        </w:rPr>
        <w:t>.</w:t>
      </w:r>
      <w:r w:rsidRPr="0040216E">
        <w:rPr>
          <w:rFonts w:ascii="Arial" w:eastAsia="Times New Roman" w:hAnsi="Arial" w:cs="Arial"/>
          <w:color w:val="000000"/>
          <w:sz w:val="19"/>
          <w:szCs w:val="19"/>
          <w:lang w:eastAsia="en-GB"/>
        </w:rPr>
        <w:t> Because of the definition of criminal property at </w:t>
      </w:r>
      <w:hyperlink r:id="rId8" w:history="1">
        <w:r w:rsidRPr="0040216E">
          <w:rPr>
            <w:rFonts w:ascii="Arial" w:eastAsia="Times New Roman" w:hAnsi="Arial" w:cs="Arial"/>
            <w:b/>
            <w:i/>
            <w:iCs/>
            <w:color w:val="2790C4"/>
            <w:sz w:val="18"/>
            <w:szCs w:val="18"/>
            <w:lang w:eastAsia="en-GB"/>
          </w:rPr>
          <w:t>section 340</w:t>
        </w:r>
      </w:hyperlink>
      <w:r w:rsidRPr="0040216E">
        <w:rPr>
          <w:rFonts w:ascii="Arial" w:eastAsia="Times New Roman" w:hAnsi="Arial" w:cs="Arial"/>
          <w:color w:val="000000"/>
          <w:sz w:val="19"/>
          <w:szCs w:val="19"/>
          <w:lang w:eastAsia="en-GB"/>
        </w:rPr>
        <w:t>, all three principal money laundering offences now apply to the laundering of an offender’s own proceeds of crime as well as those of someone else.</w:t>
      </w:r>
    </w:p>
    <w:p w14:paraId="2D3CE634" w14:textId="77777777" w:rsidR="0040216E" w:rsidRPr="0040216E" w:rsidRDefault="0040216E" w:rsidP="00534961">
      <w:pPr>
        <w:shd w:val="clear" w:color="auto" w:fill="FFFFFF"/>
        <w:spacing w:after="0" w:line="360" w:lineRule="auto"/>
        <w:rPr>
          <w:rFonts w:ascii="Arial" w:eastAsia="Times New Roman" w:hAnsi="Arial" w:cs="Arial"/>
          <w:color w:val="000000"/>
          <w:sz w:val="19"/>
          <w:szCs w:val="19"/>
          <w:lang w:eastAsia="en-GB"/>
        </w:rPr>
      </w:pPr>
    </w:p>
    <w:p w14:paraId="24699957" w14:textId="1C87031C" w:rsidR="00271D19" w:rsidRPr="0040216E" w:rsidRDefault="0040216E" w:rsidP="00534961">
      <w:pPr>
        <w:shd w:val="clear" w:color="auto" w:fill="FFFFFF"/>
        <w:spacing w:before="120" w:after="120" w:line="360" w:lineRule="auto"/>
        <w:outlineLvl w:val="4"/>
        <w:rPr>
          <w:rFonts w:ascii="Arial" w:eastAsia="Times New Roman" w:hAnsi="Arial" w:cs="Arial"/>
          <w:b/>
          <w:bCs/>
          <w:color w:val="000000"/>
          <w:sz w:val="18"/>
          <w:szCs w:val="18"/>
          <w:u w:val="single"/>
          <w:lang w:eastAsia="en-GB"/>
        </w:rPr>
      </w:pPr>
      <w:hyperlink r:id="rId9" w:history="1">
        <w:r w:rsidRPr="0040216E">
          <w:rPr>
            <w:rFonts w:ascii="Arial" w:eastAsia="Times New Roman" w:hAnsi="Arial" w:cs="Arial"/>
            <w:b/>
            <w:bCs/>
            <w:color w:val="2790C4"/>
            <w:sz w:val="18"/>
            <w:szCs w:val="18"/>
            <w:u w:val="single"/>
            <w:lang w:eastAsia="en-GB"/>
          </w:rPr>
          <w:t>Section 327</w:t>
        </w:r>
      </w:hyperlink>
      <w:r w:rsidRPr="0040216E">
        <w:rPr>
          <w:rFonts w:ascii="Arial" w:eastAsia="Times New Roman" w:hAnsi="Arial" w:cs="Arial"/>
          <w:b/>
          <w:bCs/>
          <w:color w:val="000000"/>
          <w:sz w:val="18"/>
          <w:szCs w:val="18"/>
          <w:u w:val="single"/>
          <w:lang w:eastAsia="en-GB"/>
        </w:rPr>
        <w:t>: Concealing </w:t>
      </w:r>
      <w:r w:rsidRPr="0040216E">
        <w:rPr>
          <w:rFonts w:ascii="Arial" w:eastAsia="Times New Roman" w:hAnsi="Arial" w:cs="Arial"/>
          <w:b/>
          <w:bCs/>
          <w:color w:val="000000"/>
          <w:sz w:val="18"/>
          <w:szCs w:val="18"/>
          <w:u w:val="single"/>
          <w:lang w:val="la-Latn" w:eastAsia="en-GB"/>
        </w:rPr>
        <w:t>etc.</w:t>
      </w:r>
    </w:p>
    <w:p w14:paraId="1468BB16" w14:textId="493F3114" w:rsidR="0040216E" w:rsidRDefault="0040216E" w:rsidP="00534961">
      <w:pPr>
        <w:spacing w:line="360" w:lineRule="auto"/>
        <w:rPr>
          <w:rFonts w:ascii="Arial" w:hAnsi="Arial" w:cs="Arial"/>
          <w:color w:val="000000"/>
          <w:sz w:val="18"/>
          <w:szCs w:val="18"/>
          <w:shd w:val="clear" w:color="auto" w:fill="FFFFFF"/>
        </w:rPr>
      </w:pPr>
      <w:r w:rsidRPr="0040216E">
        <w:rPr>
          <w:rFonts w:ascii="Arial" w:hAnsi="Arial" w:cs="Arial"/>
          <w:color w:val="000000"/>
          <w:sz w:val="18"/>
          <w:szCs w:val="18"/>
          <w:shd w:val="clear" w:color="auto" w:fill="FFFFFF"/>
        </w:rPr>
        <w:t>The </w:t>
      </w:r>
      <w:hyperlink r:id="rId10" w:history="1">
        <w:r w:rsidRPr="000A2ADC">
          <w:rPr>
            <w:rStyle w:val="Hyperlink"/>
            <w:rFonts w:ascii="Arial" w:hAnsi="Arial" w:cs="Arial"/>
            <w:b/>
            <w:i/>
            <w:iCs/>
            <w:color w:val="2790C4"/>
            <w:sz w:val="18"/>
            <w:szCs w:val="18"/>
            <w:u w:val="none"/>
            <w:shd w:val="clear" w:color="auto" w:fill="FFFFFF"/>
          </w:rPr>
          <w:t>section 327</w:t>
        </w:r>
      </w:hyperlink>
      <w:r w:rsidRPr="000A2ADC">
        <w:rPr>
          <w:rFonts w:ascii="Arial" w:hAnsi="Arial" w:cs="Arial"/>
          <w:b/>
          <w:color w:val="000000"/>
          <w:sz w:val="18"/>
          <w:szCs w:val="18"/>
          <w:shd w:val="clear" w:color="auto" w:fill="FFFFFF"/>
        </w:rPr>
        <w:t> </w:t>
      </w:r>
      <w:r w:rsidRPr="0040216E">
        <w:rPr>
          <w:rFonts w:ascii="Arial" w:hAnsi="Arial" w:cs="Arial"/>
          <w:color w:val="000000"/>
          <w:sz w:val="18"/>
          <w:szCs w:val="18"/>
          <w:shd w:val="clear" w:color="auto" w:fill="FFFFFF"/>
        </w:rPr>
        <w:t xml:space="preserve">offence would be committed where a person concealed, disguised, converted, transferred or removed from the jurisdiction criminal property. </w:t>
      </w:r>
    </w:p>
    <w:p w14:paraId="184AB6E4" w14:textId="748884BC" w:rsidR="0040216E" w:rsidRDefault="0040216E" w:rsidP="00534961">
      <w:pPr>
        <w:spacing w:line="36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Concealing or disguising criminal property includes concealing or disguising its nature, source, location, disposition, movement or ownership or any rights with respect to it (</w:t>
      </w:r>
      <w:r w:rsidRPr="000A2ADC">
        <w:rPr>
          <w:rFonts w:ascii="Arial" w:hAnsi="Arial" w:cs="Arial"/>
          <w:b/>
          <w:color w:val="5B9BD5" w:themeColor="accent5"/>
          <w:sz w:val="18"/>
          <w:szCs w:val="18"/>
          <w:shd w:val="clear" w:color="auto" w:fill="FFFFFF"/>
        </w:rPr>
        <w:t>s. 327 (</w:t>
      </w:r>
      <w:r w:rsidR="000A2ADC" w:rsidRPr="000A2ADC">
        <w:rPr>
          <w:rFonts w:ascii="Arial" w:hAnsi="Arial" w:cs="Arial"/>
          <w:b/>
          <w:color w:val="5B9BD5" w:themeColor="accent5"/>
          <w:sz w:val="18"/>
          <w:szCs w:val="18"/>
          <w:shd w:val="clear" w:color="auto" w:fill="FFFFFF"/>
        </w:rPr>
        <w:t>c</w:t>
      </w:r>
      <w:r w:rsidRPr="000A2ADC">
        <w:rPr>
          <w:rFonts w:ascii="Arial" w:hAnsi="Arial" w:cs="Arial"/>
          <w:b/>
          <w:color w:val="5B9BD5" w:themeColor="accent5"/>
          <w:sz w:val="18"/>
          <w:szCs w:val="18"/>
          <w:shd w:val="clear" w:color="auto" w:fill="FFFFFF"/>
        </w:rPr>
        <w:t>)</w:t>
      </w:r>
      <w:r w:rsidR="000A2ADC" w:rsidRPr="000A2ADC">
        <w:rPr>
          <w:rFonts w:ascii="Arial" w:hAnsi="Arial" w:cs="Arial"/>
          <w:b/>
          <w:color w:val="5B9BD5" w:themeColor="accent5"/>
          <w:sz w:val="18"/>
          <w:szCs w:val="18"/>
          <w:shd w:val="clear" w:color="auto" w:fill="FFFFFF"/>
        </w:rPr>
        <w:t>)</w:t>
      </w:r>
    </w:p>
    <w:p w14:paraId="1F2C0044" w14:textId="10DDF43E" w:rsidR="0040216E" w:rsidRDefault="0040216E" w:rsidP="00534961">
      <w:pPr>
        <w:spacing w:line="360" w:lineRule="auto"/>
        <w:rPr>
          <w:rFonts w:ascii="Arial" w:hAnsi="Arial" w:cs="Arial"/>
          <w:color w:val="000000"/>
          <w:sz w:val="18"/>
          <w:szCs w:val="18"/>
          <w:shd w:val="clear" w:color="auto" w:fill="FFFFFF"/>
        </w:rPr>
      </w:pPr>
      <w:r w:rsidRPr="0040216E">
        <w:rPr>
          <w:rFonts w:ascii="Arial" w:hAnsi="Arial" w:cs="Arial"/>
          <w:color w:val="000000"/>
          <w:sz w:val="18"/>
          <w:szCs w:val="18"/>
          <w:shd w:val="clear" w:color="auto" w:fill="FFFFFF"/>
        </w:rPr>
        <w:t>Criminal property is defined at </w:t>
      </w:r>
      <w:hyperlink r:id="rId11" w:history="1">
        <w:r w:rsidRPr="000A2ADC">
          <w:rPr>
            <w:rStyle w:val="Hyperlink"/>
            <w:rFonts w:ascii="Arial" w:hAnsi="Arial" w:cs="Arial"/>
            <w:b/>
            <w:i/>
            <w:iCs/>
            <w:color w:val="2790C4"/>
            <w:sz w:val="18"/>
            <w:szCs w:val="18"/>
            <w:u w:val="none"/>
            <w:shd w:val="clear" w:color="auto" w:fill="FFFFFF"/>
          </w:rPr>
          <w:t>section 340(3)</w:t>
        </w:r>
      </w:hyperlink>
      <w:r w:rsidRPr="0040216E">
        <w:rPr>
          <w:rFonts w:ascii="Arial" w:hAnsi="Arial" w:cs="Arial"/>
          <w:color w:val="000000"/>
          <w:sz w:val="18"/>
          <w:szCs w:val="18"/>
          <w:shd w:val="clear" w:color="auto" w:fill="FFFFFF"/>
        </w:rPr>
        <w:t> as being property which the alleged offender knows or suspects constitutes or represents benefit from any criminal conduct as defined in </w:t>
      </w:r>
      <w:hyperlink r:id="rId12" w:history="1">
        <w:r w:rsidRPr="0040216E">
          <w:rPr>
            <w:rStyle w:val="Hyperlink"/>
            <w:rFonts w:ascii="Arial" w:hAnsi="Arial" w:cs="Arial"/>
            <w:i/>
            <w:iCs/>
            <w:color w:val="2790C4"/>
            <w:sz w:val="18"/>
            <w:szCs w:val="18"/>
            <w:u w:val="none"/>
            <w:shd w:val="clear" w:color="auto" w:fill="FFFFFF"/>
          </w:rPr>
          <w:t>section 340(2)</w:t>
        </w:r>
      </w:hyperlink>
      <w:r w:rsidRPr="0040216E">
        <w:rPr>
          <w:rFonts w:ascii="Arial" w:hAnsi="Arial" w:cs="Arial"/>
          <w:color w:val="000000"/>
          <w:sz w:val="18"/>
          <w:szCs w:val="18"/>
          <w:shd w:val="clear" w:color="auto" w:fill="FFFFFF"/>
        </w:rPr>
        <w:t>.</w:t>
      </w:r>
    </w:p>
    <w:p w14:paraId="2DEF994F" w14:textId="21589EE6" w:rsidR="0040216E" w:rsidRDefault="0040216E" w:rsidP="00534961">
      <w:pPr>
        <w:spacing w:line="36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Defences against committing the offence:</w:t>
      </w:r>
    </w:p>
    <w:p w14:paraId="5FD4AB07" w14:textId="2F441107" w:rsidR="0040216E" w:rsidRPr="0040216E" w:rsidRDefault="0040216E" w:rsidP="00534961">
      <w:pPr>
        <w:pStyle w:val="ListParagraph"/>
        <w:numPr>
          <w:ilvl w:val="0"/>
          <w:numId w:val="1"/>
        </w:numPr>
        <w:spacing w:line="360" w:lineRule="auto"/>
      </w:pPr>
      <w:r>
        <w:rPr>
          <w:rFonts w:ascii="Arial" w:hAnsi="Arial" w:cs="Arial"/>
          <w:color w:val="000000"/>
          <w:sz w:val="18"/>
          <w:szCs w:val="18"/>
          <w:shd w:val="clear" w:color="auto" w:fill="FFFFFF"/>
        </w:rPr>
        <w:t>he makes an authorised disclosure under section 338 and (if the disclosure is made before he does the act mentioned in subsection (1)) he has the appropriate consent.</w:t>
      </w:r>
    </w:p>
    <w:p w14:paraId="614E14BB" w14:textId="553E6F6A" w:rsidR="0040216E" w:rsidRPr="0040216E" w:rsidRDefault="0040216E" w:rsidP="00534961">
      <w:pPr>
        <w:pStyle w:val="ListParagraph"/>
        <w:numPr>
          <w:ilvl w:val="0"/>
          <w:numId w:val="1"/>
        </w:numPr>
        <w:spacing w:line="360" w:lineRule="auto"/>
      </w:pPr>
      <w:r>
        <w:rPr>
          <w:rFonts w:ascii="Arial" w:hAnsi="Arial" w:cs="Arial"/>
          <w:color w:val="000000"/>
          <w:sz w:val="18"/>
          <w:szCs w:val="18"/>
          <w:shd w:val="clear" w:color="auto" w:fill="FFFFFF"/>
        </w:rPr>
        <w:t>he intended to make such a disclosure but had a reasonable excuse for not doing so;</w:t>
      </w:r>
    </w:p>
    <w:p w14:paraId="57450AC6" w14:textId="643AC1BA" w:rsidR="0040216E" w:rsidRPr="0040216E" w:rsidRDefault="0040216E" w:rsidP="00534961">
      <w:pPr>
        <w:pStyle w:val="ListParagraph"/>
        <w:numPr>
          <w:ilvl w:val="0"/>
          <w:numId w:val="1"/>
        </w:numPr>
        <w:spacing w:line="360" w:lineRule="auto"/>
      </w:pPr>
      <w:r>
        <w:rPr>
          <w:rFonts w:ascii="Arial" w:hAnsi="Arial" w:cs="Arial"/>
          <w:color w:val="000000"/>
          <w:sz w:val="18"/>
          <w:szCs w:val="18"/>
          <w:shd w:val="clear" w:color="auto" w:fill="FFFFFF"/>
        </w:rPr>
        <w:t>the act he does is done in carrying out a function he has relating to the enforcement of any provision of this Act or of any other enactment relating to criminal conduct or benefit from criminal conduct.</w:t>
      </w:r>
    </w:p>
    <w:p w14:paraId="3D26F222" w14:textId="1BBBF8B3" w:rsidR="0040216E" w:rsidRPr="0040216E" w:rsidRDefault="0040216E" w:rsidP="00534961">
      <w:pPr>
        <w:pStyle w:val="ListParagraph"/>
        <w:numPr>
          <w:ilvl w:val="0"/>
          <w:numId w:val="1"/>
        </w:numPr>
        <w:spacing w:line="360" w:lineRule="auto"/>
      </w:pPr>
      <w:r>
        <w:rPr>
          <w:rFonts w:ascii="Arial" w:hAnsi="Arial" w:cs="Arial"/>
          <w:color w:val="000000"/>
          <w:sz w:val="18"/>
          <w:szCs w:val="18"/>
          <w:shd w:val="clear" w:color="auto" w:fill="FFFFFF"/>
        </w:rPr>
        <w:t xml:space="preserve">he knows, or believes on reasonable grounds, that the relevant criminal conduct occurred in a </w:t>
      </w:r>
      <w:proofErr w:type="gramStart"/>
      <w:r>
        <w:rPr>
          <w:rFonts w:ascii="Arial" w:hAnsi="Arial" w:cs="Arial"/>
          <w:color w:val="000000"/>
          <w:sz w:val="18"/>
          <w:szCs w:val="18"/>
          <w:shd w:val="clear" w:color="auto" w:fill="FFFFFF"/>
        </w:rPr>
        <w:t>particular country</w:t>
      </w:r>
      <w:proofErr w:type="gramEnd"/>
      <w:r>
        <w:rPr>
          <w:rFonts w:ascii="Arial" w:hAnsi="Arial" w:cs="Arial"/>
          <w:color w:val="000000"/>
          <w:sz w:val="18"/>
          <w:szCs w:val="18"/>
          <w:shd w:val="clear" w:color="auto" w:fill="FFFFFF"/>
        </w:rPr>
        <w:t xml:space="preserve"> or territory outside the United Kingdom, and the relevant criminal conduct –</w:t>
      </w:r>
    </w:p>
    <w:p w14:paraId="5E457708" w14:textId="4B6760AB" w:rsidR="0040216E" w:rsidRPr="0040216E" w:rsidRDefault="0040216E" w:rsidP="00534961">
      <w:pPr>
        <w:pStyle w:val="ListParagraph"/>
        <w:numPr>
          <w:ilvl w:val="1"/>
          <w:numId w:val="1"/>
        </w:numPr>
        <w:spacing w:line="360" w:lineRule="auto"/>
      </w:pPr>
      <w:r>
        <w:rPr>
          <w:rFonts w:ascii="Arial" w:hAnsi="Arial" w:cs="Arial"/>
          <w:color w:val="000000"/>
          <w:sz w:val="18"/>
          <w:szCs w:val="18"/>
          <w:shd w:val="clear" w:color="auto" w:fill="FFFFFF"/>
        </w:rPr>
        <w:t>was not, at the time it occurred, unlawful under the criminal law then applying in that country or territory, and</w:t>
      </w:r>
    </w:p>
    <w:p w14:paraId="7003F6AB" w14:textId="1AF4C71B" w:rsidR="00534961" w:rsidRPr="00534961" w:rsidRDefault="0040216E" w:rsidP="00534961">
      <w:pPr>
        <w:pStyle w:val="ListParagraph"/>
        <w:numPr>
          <w:ilvl w:val="1"/>
          <w:numId w:val="1"/>
        </w:numPr>
        <w:spacing w:line="360" w:lineRule="auto"/>
      </w:pPr>
      <w:r>
        <w:rPr>
          <w:rFonts w:ascii="Arial" w:hAnsi="Arial" w:cs="Arial"/>
          <w:color w:val="000000"/>
          <w:sz w:val="18"/>
          <w:szCs w:val="18"/>
          <w:shd w:val="clear" w:color="auto" w:fill="FFFFFF"/>
        </w:rPr>
        <w:t>is not of a description prescribed by an order made by the Secretary of State.</w:t>
      </w:r>
    </w:p>
    <w:p w14:paraId="3B871D9E" w14:textId="77777777" w:rsidR="00534961" w:rsidRDefault="00534961" w:rsidP="000A2ADC">
      <w:pPr>
        <w:spacing w:line="360" w:lineRule="auto"/>
      </w:pPr>
    </w:p>
    <w:p w14:paraId="23D574A1" w14:textId="4B659298" w:rsidR="00534961" w:rsidRPr="00534961" w:rsidRDefault="00534961" w:rsidP="00534961">
      <w:pPr>
        <w:pStyle w:val="Heading5"/>
        <w:shd w:val="clear" w:color="auto" w:fill="FFFFFF"/>
        <w:spacing w:before="120" w:beforeAutospacing="0" w:after="120" w:afterAutospacing="0" w:line="360" w:lineRule="auto"/>
        <w:rPr>
          <w:rFonts w:ascii="Arial" w:hAnsi="Arial" w:cs="Arial"/>
          <w:color w:val="000000"/>
          <w:sz w:val="18"/>
          <w:szCs w:val="18"/>
          <w:u w:val="single"/>
        </w:rPr>
      </w:pPr>
      <w:hyperlink r:id="rId13" w:history="1">
        <w:r w:rsidRPr="00534961">
          <w:rPr>
            <w:rStyle w:val="Hyperlink"/>
            <w:rFonts w:ascii="Arial" w:hAnsi="Arial" w:cs="Arial"/>
            <w:color w:val="2790C4"/>
            <w:sz w:val="18"/>
            <w:szCs w:val="18"/>
          </w:rPr>
          <w:t>Section 328</w:t>
        </w:r>
      </w:hyperlink>
      <w:r w:rsidRPr="00534961">
        <w:rPr>
          <w:rFonts w:ascii="Arial" w:hAnsi="Arial" w:cs="Arial"/>
          <w:color w:val="000000"/>
          <w:sz w:val="18"/>
          <w:szCs w:val="18"/>
          <w:u w:val="single"/>
        </w:rPr>
        <w:t>: Arrangements</w:t>
      </w:r>
    </w:p>
    <w:p w14:paraId="40DE7537" w14:textId="498802D3" w:rsidR="00534961" w:rsidRPr="00534961" w:rsidRDefault="00534961" w:rsidP="00534961">
      <w:pPr>
        <w:pStyle w:val="Heading5"/>
        <w:shd w:val="clear" w:color="auto" w:fill="FFFFFF"/>
        <w:spacing w:before="120" w:beforeAutospacing="0" w:after="120" w:afterAutospacing="0" w:line="360" w:lineRule="auto"/>
        <w:rPr>
          <w:rFonts w:ascii="Arial" w:hAnsi="Arial" w:cs="Arial"/>
          <w:b w:val="0"/>
          <w:color w:val="000000"/>
          <w:sz w:val="18"/>
          <w:szCs w:val="18"/>
          <w:shd w:val="clear" w:color="auto" w:fill="FFFFFF"/>
        </w:rPr>
      </w:pPr>
      <w:r w:rsidRPr="00534961">
        <w:rPr>
          <w:rFonts w:ascii="Arial" w:hAnsi="Arial" w:cs="Arial"/>
          <w:b w:val="0"/>
          <w:color w:val="000000"/>
          <w:sz w:val="18"/>
          <w:szCs w:val="18"/>
          <w:shd w:val="clear" w:color="auto" w:fill="FFFFFF"/>
        </w:rPr>
        <w:t xml:space="preserve">To establish an offence under this clause, the prosecutor would need to establish that a person </w:t>
      </w:r>
      <w:r w:rsidRPr="00534961">
        <w:rPr>
          <w:rFonts w:ascii="Arial" w:hAnsi="Arial" w:cs="Arial"/>
          <w:color w:val="000000"/>
          <w:sz w:val="18"/>
          <w:szCs w:val="18"/>
          <w:shd w:val="clear" w:color="auto" w:fill="FFFFFF"/>
        </w:rPr>
        <w:t xml:space="preserve">entered into or became concerned in an arrangement which he knew or suspected would make it easier for another </w:t>
      </w:r>
      <w:r w:rsidRPr="00534961">
        <w:rPr>
          <w:rFonts w:ascii="Arial" w:hAnsi="Arial" w:cs="Arial"/>
          <w:color w:val="000000"/>
          <w:sz w:val="18"/>
          <w:szCs w:val="18"/>
          <w:shd w:val="clear" w:color="auto" w:fill="FFFFFF"/>
        </w:rPr>
        <w:lastRenderedPageBreak/>
        <w:t>person to acquire, retain, use or control criminal property and that the person concerned also knew or suspected that the property constituted or represented benefit from criminal conduct.</w:t>
      </w:r>
      <w:r w:rsidRPr="00534961">
        <w:rPr>
          <w:rFonts w:ascii="Arial" w:hAnsi="Arial" w:cs="Arial"/>
          <w:b w:val="0"/>
          <w:color w:val="000000"/>
          <w:sz w:val="18"/>
          <w:szCs w:val="18"/>
          <w:shd w:val="clear" w:color="auto" w:fill="FFFFFF"/>
        </w:rPr>
        <w:t> </w:t>
      </w:r>
      <w:hyperlink r:id="rId14" w:history="1">
        <w:r w:rsidRPr="000A2ADC">
          <w:rPr>
            <w:rStyle w:val="Hyperlink"/>
            <w:rFonts w:ascii="Arial" w:hAnsi="Arial" w:cs="Arial"/>
            <w:i/>
            <w:iCs/>
            <w:color w:val="2790C4"/>
            <w:sz w:val="18"/>
            <w:szCs w:val="18"/>
            <w:u w:val="none"/>
            <w:shd w:val="clear" w:color="auto" w:fill="FFFFFF"/>
          </w:rPr>
          <w:t>Section</w:t>
        </w:r>
        <w:r w:rsidRPr="00534961">
          <w:rPr>
            <w:rStyle w:val="Hyperlink"/>
            <w:rFonts w:ascii="Arial" w:hAnsi="Arial" w:cs="Arial"/>
            <w:b w:val="0"/>
            <w:i/>
            <w:iCs/>
            <w:color w:val="2790C4"/>
            <w:sz w:val="18"/>
            <w:szCs w:val="18"/>
            <w:u w:val="none"/>
            <w:shd w:val="clear" w:color="auto" w:fill="FFFFFF"/>
          </w:rPr>
          <w:t xml:space="preserve"> </w:t>
        </w:r>
        <w:r w:rsidRPr="000A2ADC">
          <w:rPr>
            <w:rStyle w:val="Hyperlink"/>
            <w:rFonts w:ascii="Arial" w:hAnsi="Arial" w:cs="Arial"/>
            <w:i/>
            <w:iCs/>
            <w:color w:val="2790C4"/>
            <w:sz w:val="18"/>
            <w:szCs w:val="18"/>
            <w:u w:val="none"/>
            <w:shd w:val="clear" w:color="auto" w:fill="FFFFFF"/>
          </w:rPr>
          <w:t>328</w:t>
        </w:r>
      </w:hyperlink>
      <w:r w:rsidRPr="00534961">
        <w:rPr>
          <w:rFonts w:ascii="Arial" w:hAnsi="Arial" w:cs="Arial"/>
          <w:b w:val="0"/>
          <w:color w:val="000000"/>
          <w:sz w:val="18"/>
          <w:szCs w:val="18"/>
          <w:shd w:val="clear" w:color="auto" w:fill="FFFFFF"/>
        </w:rPr>
        <w:t> includes the same defences against committing the offence, as are included in </w:t>
      </w:r>
      <w:hyperlink r:id="rId15" w:history="1">
        <w:r w:rsidRPr="000A2ADC">
          <w:rPr>
            <w:rStyle w:val="Hyperlink"/>
            <w:rFonts w:ascii="Arial" w:hAnsi="Arial" w:cs="Arial"/>
            <w:i/>
            <w:iCs/>
            <w:color w:val="2790C4"/>
            <w:sz w:val="18"/>
            <w:szCs w:val="18"/>
            <w:u w:val="none"/>
            <w:shd w:val="clear" w:color="auto" w:fill="FFFFFF"/>
          </w:rPr>
          <w:t>section 327</w:t>
        </w:r>
      </w:hyperlink>
      <w:r w:rsidRPr="00534961">
        <w:rPr>
          <w:rFonts w:ascii="Arial" w:hAnsi="Arial" w:cs="Arial"/>
          <w:b w:val="0"/>
          <w:color w:val="000000"/>
          <w:sz w:val="18"/>
          <w:szCs w:val="18"/>
          <w:shd w:val="clear" w:color="auto" w:fill="FFFFFF"/>
        </w:rPr>
        <w:t>.</w:t>
      </w:r>
    </w:p>
    <w:p w14:paraId="01E13CFC" w14:textId="77777777" w:rsidR="00534961" w:rsidRPr="00534961" w:rsidRDefault="00534961" w:rsidP="00534961">
      <w:pPr>
        <w:pStyle w:val="Heading5"/>
        <w:shd w:val="clear" w:color="auto" w:fill="FFFFFF"/>
        <w:spacing w:before="120" w:beforeAutospacing="0" w:after="120" w:afterAutospacing="0" w:line="360" w:lineRule="auto"/>
        <w:rPr>
          <w:rFonts w:ascii="Arial" w:hAnsi="Arial" w:cs="Arial"/>
          <w:b w:val="0"/>
          <w:color w:val="000000"/>
          <w:sz w:val="18"/>
          <w:szCs w:val="18"/>
        </w:rPr>
      </w:pPr>
    </w:p>
    <w:p w14:paraId="493B7EAB" w14:textId="4899E1A9" w:rsidR="00534961" w:rsidRPr="00534961" w:rsidRDefault="00534961" w:rsidP="00534961">
      <w:pPr>
        <w:pStyle w:val="Heading5"/>
        <w:shd w:val="clear" w:color="auto" w:fill="FFFFFF"/>
        <w:spacing w:before="120" w:beforeAutospacing="0" w:after="120" w:afterAutospacing="0" w:line="288" w:lineRule="atLeast"/>
        <w:rPr>
          <w:rFonts w:ascii="Arial" w:hAnsi="Arial" w:cs="Arial"/>
          <w:color w:val="000000"/>
          <w:sz w:val="18"/>
          <w:szCs w:val="18"/>
          <w:u w:val="single"/>
        </w:rPr>
      </w:pPr>
      <w:hyperlink r:id="rId16" w:history="1">
        <w:r w:rsidRPr="00534961">
          <w:rPr>
            <w:rStyle w:val="Hyperlink"/>
            <w:rFonts w:ascii="Arial" w:hAnsi="Arial" w:cs="Arial"/>
            <w:color w:val="2790C4"/>
            <w:sz w:val="18"/>
            <w:szCs w:val="18"/>
          </w:rPr>
          <w:t>Section 329</w:t>
        </w:r>
      </w:hyperlink>
      <w:r w:rsidRPr="00534961">
        <w:rPr>
          <w:rFonts w:ascii="Arial" w:hAnsi="Arial" w:cs="Arial"/>
          <w:color w:val="000000"/>
          <w:sz w:val="18"/>
          <w:szCs w:val="18"/>
          <w:u w:val="single"/>
        </w:rPr>
        <w:t>: Acquisition, use and possession</w:t>
      </w:r>
    </w:p>
    <w:p w14:paraId="5272FCF7" w14:textId="3723E85E" w:rsidR="00534961" w:rsidRDefault="00534961" w:rsidP="00534961">
      <w:pPr>
        <w:pStyle w:val="Heading5"/>
        <w:shd w:val="clear" w:color="auto" w:fill="FFFFFF"/>
        <w:spacing w:before="120" w:beforeAutospacing="0" w:after="120" w:afterAutospacing="0" w:line="288" w:lineRule="atLeast"/>
        <w:rPr>
          <w:rFonts w:ascii="Arial" w:hAnsi="Arial" w:cs="Arial"/>
          <w:color w:val="000000"/>
          <w:sz w:val="18"/>
          <w:szCs w:val="18"/>
          <w:shd w:val="clear" w:color="auto" w:fill="FFFFFF"/>
        </w:rPr>
      </w:pPr>
      <w:r w:rsidRPr="00534961">
        <w:rPr>
          <w:rFonts w:ascii="Arial" w:hAnsi="Arial" w:cs="Arial"/>
          <w:b w:val="0"/>
          <w:color w:val="000000"/>
          <w:sz w:val="18"/>
          <w:szCs w:val="18"/>
          <w:shd w:val="clear" w:color="auto" w:fill="FFFFFF"/>
        </w:rPr>
        <w:t>A person commits an offence if he</w:t>
      </w:r>
      <w:r>
        <w:rPr>
          <w:rFonts w:ascii="Arial" w:hAnsi="Arial" w:cs="Arial"/>
          <w:b w:val="0"/>
          <w:color w:val="000000"/>
          <w:sz w:val="18"/>
          <w:szCs w:val="18"/>
          <w:shd w:val="clear" w:color="auto" w:fill="FFFFFF"/>
        </w:rPr>
        <w:t xml:space="preserve"> </w:t>
      </w:r>
      <w:r>
        <w:rPr>
          <w:rFonts w:ascii="Arial" w:hAnsi="Arial" w:cs="Arial"/>
          <w:color w:val="000000"/>
          <w:sz w:val="18"/>
          <w:szCs w:val="18"/>
          <w:shd w:val="clear" w:color="auto" w:fill="FFFFFF"/>
        </w:rPr>
        <w:t>acquires criminal property; uses criminal property; has possession of criminal property.</w:t>
      </w:r>
    </w:p>
    <w:p w14:paraId="77962900" w14:textId="62DDAF3E" w:rsidR="00534961" w:rsidRPr="00534961" w:rsidRDefault="00534961" w:rsidP="00534961">
      <w:pPr>
        <w:pStyle w:val="Heading5"/>
        <w:shd w:val="clear" w:color="auto" w:fill="FFFFFF"/>
        <w:spacing w:before="120" w:beforeAutospacing="0" w:after="120" w:afterAutospacing="0" w:line="288" w:lineRule="atLeast"/>
        <w:rPr>
          <w:rFonts w:ascii="Arial" w:hAnsi="Arial" w:cs="Arial"/>
          <w:b w:val="0"/>
          <w:color w:val="000000"/>
          <w:sz w:val="18"/>
          <w:szCs w:val="18"/>
        </w:rPr>
      </w:pPr>
      <w:r w:rsidRPr="00534961">
        <w:rPr>
          <w:rFonts w:ascii="Arial" w:hAnsi="Arial" w:cs="Arial"/>
          <w:b w:val="0"/>
          <w:color w:val="000000"/>
          <w:sz w:val="18"/>
          <w:szCs w:val="18"/>
          <w:shd w:val="clear" w:color="auto" w:fill="FFFFFF"/>
        </w:rPr>
        <w:t>by reason of </w:t>
      </w:r>
      <w:hyperlink r:id="rId17" w:history="1">
        <w:r w:rsidRPr="000A2ADC">
          <w:rPr>
            <w:rStyle w:val="Hyperlink"/>
            <w:rFonts w:ascii="Arial" w:hAnsi="Arial" w:cs="Arial"/>
            <w:i/>
            <w:iCs/>
            <w:color w:val="2790C4"/>
            <w:sz w:val="18"/>
            <w:szCs w:val="18"/>
            <w:u w:val="none"/>
            <w:shd w:val="clear" w:color="auto" w:fill="FFFFFF"/>
          </w:rPr>
          <w:t>section 340</w:t>
        </w:r>
      </w:hyperlink>
      <w:r w:rsidRPr="00534961">
        <w:rPr>
          <w:rFonts w:ascii="Arial" w:hAnsi="Arial" w:cs="Arial"/>
          <w:b w:val="0"/>
          <w:color w:val="000000"/>
          <w:sz w:val="18"/>
          <w:szCs w:val="18"/>
          <w:shd w:val="clear" w:color="auto" w:fill="FFFFFF"/>
        </w:rPr>
        <w:t>, this offence is only committed where a person knows or suspects that the property which is acquired </w:t>
      </w:r>
      <w:r w:rsidRPr="00534961">
        <w:rPr>
          <w:rFonts w:ascii="Arial" w:hAnsi="Arial" w:cs="Arial"/>
          <w:b w:val="0"/>
          <w:lang w:val="la-Latn"/>
        </w:rPr>
        <w:t>etc</w:t>
      </w:r>
      <w:r w:rsidRPr="00534961">
        <w:rPr>
          <w:rFonts w:ascii="Arial" w:hAnsi="Arial" w:cs="Arial"/>
          <w:b w:val="0"/>
          <w:color w:val="000000"/>
          <w:sz w:val="18"/>
          <w:szCs w:val="18"/>
          <w:shd w:val="clear" w:color="auto" w:fill="FFFFFF"/>
        </w:rPr>
        <w:t> constitutes or represents his own or another’s benefit from criminal conduct.</w:t>
      </w:r>
    </w:p>
    <w:p w14:paraId="19CAD225" w14:textId="387C29E5" w:rsidR="00B26E4F" w:rsidRPr="00B26E4F" w:rsidRDefault="00534961" w:rsidP="00B26E4F">
      <w:pPr>
        <w:spacing w:line="36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Again, the same defences against committing the offence apply as in </w:t>
      </w:r>
      <w:hyperlink r:id="rId18" w:history="1">
        <w:r w:rsidRPr="000A2ADC">
          <w:rPr>
            <w:rStyle w:val="Hyperlink"/>
            <w:rFonts w:ascii="Arial" w:hAnsi="Arial" w:cs="Arial"/>
            <w:b/>
            <w:i/>
            <w:iCs/>
            <w:color w:val="2790C4"/>
            <w:sz w:val="18"/>
            <w:szCs w:val="18"/>
            <w:shd w:val="clear" w:color="auto" w:fill="FFFFFF"/>
          </w:rPr>
          <w:t>sections 327</w:t>
        </w:r>
      </w:hyperlink>
      <w:r>
        <w:rPr>
          <w:rFonts w:ascii="Arial" w:hAnsi="Arial" w:cs="Arial"/>
          <w:color w:val="000000"/>
          <w:sz w:val="18"/>
          <w:szCs w:val="18"/>
          <w:shd w:val="clear" w:color="auto" w:fill="FFFFFF"/>
        </w:rPr>
        <w:t> and </w:t>
      </w:r>
      <w:hyperlink r:id="rId19" w:history="1">
        <w:r w:rsidRPr="000A2ADC">
          <w:rPr>
            <w:rStyle w:val="Hyperlink"/>
            <w:rFonts w:ascii="Arial" w:hAnsi="Arial" w:cs="Arial"/>
            <w:b/>
            <w:i/>
            <w:iCs/>
            <w:color w:val="2790C4"/>
            <w:sz w:val="18"/>
            <w:szCs w:val="18"/>
            <w:shd w:val="clear" w:color="auto" w:fill="FFFFFF"/>
          </w:rPr>
          <w:t>328</w:t>
        </w:r>
      </w:hyperlink>
      <w:r>
        <w:rPr>
          <w:rFonts w:ascii="Arial" w:hAnsi="Arial" w:cs="Arial"/>
          <w:color w:val="000000"/>
          <w:sz w:val="18"/>
          <w:szCs w:val="18"/>
          <w:shd w:val="clear" w:color="auto" w:fill="FFFFFF"/>
        </w:rPr>
        <w:t>.</w:t>
      </w:r>
    </w:p>
    <w:p w14:paraId="73A10387" w14:textId="77777777" w:rsidR="00534961" w:rsidRPr="00534961" w:rsidRDefault="00534961" w:rsidP="00534961">
      <w:pPr>
        <w:pStyle w:val="Heading5"/>
        <w:shd w:val="clear" w:color="auto" w:fill="FFFFFF"/>
        <w:spacing w:before="120" w:beforeAutospacing="0" w:after="120" w:afterAutospacing="0" w:line="288" w:lineRule="atLeast"/>
        <w:rPr>
          <w:rFonts w:ascii="Arial" w:hAnsi="Arial" w:cs="Arial"/>
          <w:color w:val="000000"/>
          <w:sz w:val="18"/>
          <w:szCs w:val="18"/>
          <w:u w:val="single"/>
        </w:rPr>
      </w:pPr>
      <w:hyperlink r:id="rId20" w:history="1">
        <w:r w:rsidRPr="00534961">
          <w:rPr>
            <w:rStyle w:val="Hyperlink"/>
            <w:rFonts w:ascii="Arial" w:hAnsi="Arial" w:cs="Arial"/>
            <w:color w:val="2790C4"/>
            <w:sz w:val="18"/>
            <w:szCs w:val="18"/>
          </w:rPr>
          <w:t>Section 330</w:t>
        </w:r>
      </w:hyperlink>
      <w:r w:rsidRPr="00534961">
        <w:rPr>
          <w:rFonts w:ascii="Arial" w:hAnsi="Arial" w:cs="Arial"/>
          <w:color w:val="000000"/>
          <w:sz w:val="18"/>
          <w:szCs w:val="18"/>
          <w:u w:val="single"/>
        </w:rPr>
        <w:t xml:space="preserve">: Failure to </w:t>
      </w:r>
      <w:proofErr w:type="gramStart"/>
      <w:r w:rsidRPr="00534961">
        <w:rPr>
          <w:rFonts w:ascii="Arial" w:hAnsi="Arial" w:cs="Arial"/>
          <w:color w:val="000000"/>
          <w:sz w:val="18"/>
          <w:szCs w:val="18"/>
          <w:u w:val="single"/>
        </w:rPr>
        <w:t>disclose:</w:t>
      </w:r>
      <w:proofErr w:type="gramEnd"/>
      <w:r w:rsidRPr="00534961">
        <w:rPr>
          <w:rFonts w:ascii="Arial" w:hAnsi="Arial" w:cs="Arial"/>
          <w:color w:val="000000"/>
          <w:sz w:val="18"/>
          <w:szCs w:val="18"/>
          <w:u w:val="single"/>
        </w:rPr>
        <w:t xml:space="preserve"> regulated sector</w:t>
      </w:r>
    </w:p>
    <w:p w14:paraId="2CED0D92" w14:textId="1E8DBA5E" w:rsidR="00534961" w:rsidRPr="008E0D00" w:rsidRDefault="00534961" w:rsidP="00534961">
      <w:pPr>
        <w:spacing w:line="360" w:lineRule="auto"/>
        <w:rPr>
          <w:rFonts w:ascii="Arial" w:hAnsi="Arial" w:cs="Arial"/>
          <w:color w:val="000000"/>
          <w:sz w:val="18"/>
          <w:szCs w:val="18"/>
          <w:shd w:val="clear" w:color="auto" w:fill="FFFFFF"/>
        </w:rPr>
      </w:pPr>
      <w:r w:rsidRPr="008E0D00">
        <w:rPr>
          <w:rFonts w:ascii="Arial" w:hAnsi="Arial" w:cs="Arial"/>
          <w:color w:val="000000"/>
          <w:sz w:val="18"/>
          <w:szCs w:val="18"/>
          <w:shd w:val="clear" w:color="auto" w:fill="FFFFFF"/>
        </w:rPr>
        <w:t>A person commits an offence if:</w:t>
      </w:r>
    </w:p>
    <w:p w14:paraId="3E336344" w14:textId="2145CE1F" w:rsidR="00534961" w:rsidRPr="008E0D00" w:rsidRDefault="00534961" w:rsidP="000A2ADC">
      <w:pPr>
        <w:pStyle w:val="ListParagraph"/>
        <w:numPr>
          <w:ilvl w:val="0"/>
          <w:numId w:val="2"/>
        </w:numPr>
        <w:spacing w:line="360" w:lineRule="auto"/>
      </w:pPr>
      <w:r w:rsidRPr="008E0D00">
        <w:rPr>
          <w:rFonts w:ascii="Arial" w:hAnsi="Arial" w:cs="Arial"/>
          <w:color w:val="000000"/>
          <w:sz w:val="18"/>
          <w:szCs w:val="18"/>
          <w:shd w:val="clear" w:color="auto" w:fill="FFFFFF"/>
        </w:rPr>
        <w:t xml:space="preserve">he knows or suspects, or has reasonable grounds for knowing or suspecting, </w:t>
      </w:r>
      <w:r w:rsidR="009029FB" w:rsidRPr="008E0D00">
        <w:rPr>
          <w:rFonts w:ascii="Arial" w:hAnsi="Arial" w:cs="Arial"/>
          <w:color w:val="000000"/>
          <w:sz w:val="18"/>
          <w:szCs w:val="18"/>
          <w:shd w:val="clear" w:color="auto" w:fill="FFFFFF"/>
        </w:rPr>
        <w:t xml:space="preserve">that another person is engaged in money laundering </w:t>
      </w:r>
      <w:r w:rsidRPr="008E0D00">
        <w:rPr>
          <w:rFonts w:ascii="Arial" w:hAnsi="Arial" w:cs="Arial"/>
          <w:color w:val="000000"/>
          <w:sz w:val="18"/>
          <w:szCs w:val="18"/>
          <w:shd w:val="clear" w:color="auto" w:fill="FFFFFF"/>
        </w:rPr>
        <w:t>(s.330 (2))</w:t>
      </w:r>
      <w:r w:rsidR="009029FB" w:rsidRPr="008E0D00">
        <w:rPr>
          <w:rFonts w:ascii="Arial" w:hAnsi="Arial" w:cs="Arial"/>
          <w:color w:val="000000"/>
          <w:sz w:val="18"/>
          <w:szCs w:val="18"/>
          <w:shd w:val="clear" w:color="auto" w:fill="FFFFFF"/>
        </w:rPr>
        <w:t>.</w:t>
      </w:r>
    </w:p>
    <w:p w14:paraId="04C25C67" w14:textId="475014A6" w:rsidR="009029FB" w:rsidRPr="008E0D00" w:rsidRDefault="009029FB" w:rsidP="000A2ADC">
      <w:pPr>
        <w:pStyle w:val="ListParagraph"/>
        <w:numPr>
          <w:ilvl w:val="0"/>
          <w:numId w:val="2"/>
        </w:numPr>
        <w:spacing w:line="360" w:lineRule="auto"/>
      </w:pPr>
      <w:r w:rsidRPr="008E0D00">
        <w:rPr>
          <w:rFonts w:ascii="Arial" w:hAnsi="Arial" w:cs="Arial"/>
          <w:color w:val="000000"/>
          <w:sz w:val="18"/>
          <w:szCs w:val="18"/>
          <w:shd w:val="clear" w:color="auto" w:fill="FFFFFF"/>
        </w:rPr>
        <w:t>the information or other matter on which his knowledge or suspicion is based, or which gives reasonable grounds for such knowledge or suspicion, came to him in the course of a business in the regulated sector (s. 330(3)).</w:t>
      </w:r>
    </w:p>
    <w:p w14:paraId="33B5F29B" w14:textId="02E8E64F" w:rsidR="000A2ADC" w:rsidRPr="008E0D00" w:rsidRDefault="000A2ADC" w:rsidP="000A2ADC">
      <w:pPr>
        <w:pStyle w:val="ListParagraph"/>
        <w:numPr>
          <w:ilvl w:val="0"/>
          <w:numId w:val="2"/>
        </w:numPr>
        <w:spacing w:line="360" w:lineRule="auto"/>
      </w:pPr>
      <w:r w:rsidRPr="008E0D00">
        <w:rPr>
          <w:rFonts w:ascii="Arial" w:hAnsi="Arial" w:cs="Arial"/>
          <w:color w:val="000000"/>
          <w:sz w:val="18"/>
          <w:szCs w:val="18"/>
          <w:shd w:val="clear" w:color="auto" w:fill="FFFFFF"/>
        </w:rPr>
        <w:t>he can identify the other person mentioned in subsection (2) or the whereabouts of any of the laundered property, or that he believes, or it is reasonable to expect him to believe, that the information or other matter mentioned in subsection (3) will or may assist in identifying that other person or the whereabouts of any of the laundered property. (s. 330 3A)</w:t>
      </w:r>
    </w:p>
    <w:p w14:paraId="56C8D99C" w14:textId="0C1910AB" w:rsidR="000A2ADC" w:rsidRPr="008E0D00" w:rsidRDefault="000A2ADC" w:rsidP="000A2ADC">
      <w:pPr>
        <w:pStyle w:val="ListParagraph"/>
        <w:numPr>
          <w:ilvl w:val="0"/>
          <w:numId w:val="2"/>
        </w:numPr>
        <w:spacing w:line="360" w:lineRule="auto"/>
      </w:pPr>
      <w:r w:rsidRPr="008E0D00">
        <w:rPr>
          <w:rFonts w:ascii="Arial" w:hAnsi="Arial" w:cs="Arial"/>
          <w:color w:val="000000"/>
          <w:sz w:val="18"/>
          <w:szCs w:val="18"/>
          <w:shd w:val="clear" w:color="auto" w:fill="FFFFFF"/>
        </w:rPr>
        <w:t xml:space="preserve">he does not make the required disclosure to a nominated officer, or </w:t>
      </w:r>
      <w:r w:rsidRPr="008E0D00">
        <w:rPr>
          <w:rStyle w:val="legsubstitution"/>
          <w:rFonts w:ascii="Arial" w:hAnsi="Arial" w:cs="Arial"/>
          <w:color w:val="000000"/>
          <w:sz w:val="19"/>
          <w:szCs w:val="19"/>
        </w:rPr>
        <w:t>a person authorised for the purposes of this Part by </w:t>
      </w:r>
      <w:r w:rsidRPr="008E0D00">
        <w:rPr>
          <w:rStyle w:val="legchangedelimiter"/>
          <w:rFonts w:ascii="Arial" w:hAnsi="Arial" w:cs="Arial"/>
          <w:b/>
          <w:bCs/>
          <w:color w:val="000000"/>
          <w:sz w:val="27"/>
          <w:szCs w:val="27"/>
        </w:rPr>
        <w:t>[</w:t>
      </w:r>
      <w:hyperlink r:id="rId21" w:anchor="commentary-key-420e7af1df5e1b6f7a27b70d666f144b" w:tooltip="View the commentary text for this item" w:history="1">
        <w:r w:rsidRPr="008E0D00">
          <w:rPr>
            <w:rStyle w:val="Hyperlink"/>
            <w:rFonts w:ascii="Arial" w:hAnsi="Arial" w:cs="Arial"/>
            <w:b/>
            <w:bCs/>
            <w:color w:val="2790C4"/>
            <w:sz w:val="18"/>
            <w:szCs w:val="18"/>
            <w:u w:val="none"/>
          </w:rPr>
          <w:t>F3</w:t>
        </w:r>
      </w:hyperlink>
      <w:r w:rsidRPr="008E0D00">
        <w:rPr>
          <w:rStyle w:val="legsubstitution"/>
          <w:rFonts w:ascii="Arial" w:hAnsi="Arial" w:cs="Arial"/>
          <w:color w:val="000000"/>
          <w:sz w:val="19"/>
          <w:szCs w:val="19"/>
        </w:rPr>
        <w:t>the Director General of the National Crime Agency</w:t>
      </w:r>
      <w:r w:rsidRPr="008E0D00">
        <w:rPr>
          <w:rStyle w:val="legchangedelimiter"/>
          <w:rFonts w:ascii="Arial" w:hAnsi="Arial" w:cs="Arial"/>
          <w:b/>
          <w:bCs/>
          <w:color w:val="000000"/>
          <w:sz w:val="27"/>
          <w:szCs w:val="27"/>
        </w:rPr>
        <w:t>]</w:t>
      </w:r>
      <w:r w:rsidRPr="008E0D00">
        <w:rPr>
          <w:rStyle w:val="legsubstitution"/>
          <w:rFonts w:ascii="Arial" w:hAnsi="Arial" w:cs="Arial"/>
          <w:color w:val="000000"/>
          <w:sz w:val="19"/>
          <w:szCs w:val="19"/>
        </w:rPr>
        <w:t>, as soon as is practicable after the information or other matter mentioned in subsection (3) comes to him.</w:t>
      </w:r>
      <w:r w:rsidRPr="008E0D00">
        <w:rPr>
          <w:rFonts w:ascii="Arial" w:hAnsi="Arial" w:cs="Arial"/>
          <w:color w:val="000000"/>
          <w:sz w:val="19"/>
          <w:szCs w:val="19"/>
        </w:rPr>
        <w:t xml:space="preserve"> (s.330 (4)). </w:t>
      </w:r>
    </w:p>
    <w:p w14:paraId="60465D96" w14:textId="77777777" w:rsidR="000A2ADC" w:rsidRPr="008E0D00" w:rsidRDefault="000A2ADC" w:rsidP="000A2ADC">
      <w:pPr>
        <w:spacing w:line="360" w:lineRule="auto"/>
        <w:rPr>
          <w:rFonts w:ascii="Arial" w:hAnsi="Arial" w:cs="Arial"/>
          <w:color w:val="000000"/>
          <w:sz w:val="18"/>
          <w:szCs w:val="18"/>
          <w:shd w:val="clear" w:color="auto" w:fill="FFFFFF"/>
        </w:rPr>
      </w:pPr>
      <w:r w:rsidRPr="008E0D00">
        <w:rPr>
          <w:rFonts w:ascii="Arial" w:hAnsi="Arial" w:cs="Arial"/>
          <w:color w:val="000000"/>
          <w:sz w:val="18"/>
          <w:szCs w:val="18"/>
          <w:shd w:val="clear" w:color="auto" w:fill="FFFFFF"/>
        </w:rPr>
        <w:t>The duty to report under </w:t>
      </w:r>
      <w:hyperlink r:id="rId22" w:history="1">
        <w:r w:rsidRPr="008E0D00">
          <w:rPr>
            <w:rStyle w:val="Hyperlink"/>
            <w:rFonts w:ascii="Arial" w:hAnsi="Arial" w:cs="Arial"/>
            <w:i/>
            <w:iCs/>
            <w:color w:val="2790C4"/>
            <w:sz w:val="18"/>
            <w:szCs w:val="18"/>
            <w:u w:val="none"/>
            <w:shd w:val="clear" w:color="auto" w:fill="FFFFFF"/>
          </w:rPr>
          <w:t>section 330</w:t>
        </w:r>
      </w:hyperlink>
      <w:r w:rsidRPr="008E0D00">
        <w:rPr>
          <w:rFonts w:ascii="Arial" w:hAnsi="Arial" w:cs="Arial"/>
          <w:color w:val="000000"/>
          <w:sz w:val="18"/>
          <w:szCs w:val="18"/>
          <w:shd w:val="clear" w:color="auto" w:fill="FFFFFF"/>
        </w:rPr>
        <w:t> is, however, restricted to those persons who receive information in the course of a business in the regulated sector, as defined in </w:t>
      </w:r>
      <w:r w:rsidRPr="008E0D00">
        <w:rPr>
          <w:rStyle w:val="Emphasis"/>
          <w:rFonts w:ascii="Arial" w:hAnsi="Arial" w:cs="Arial"/>
          <w:color w:val="000000"/>
          <w:sz w:val="18"/>
          <w:szCs w:val="18"/>
          <w:shd w:val="clear" w:color="auto" w:fill="FFFFFF"/>
        </w:rPr>
        <w:t>Schedule 9</w:t>
      </w:r>
      <w:r w:rsidRPr="008E0D00">
        <w:rPr>
          <w:rFonts w:ascii="Arial" w:hAnsi="Arial" w:cs="Arial"/>
          <w:color w:val="000000"/>
          <w:sz w:val="18"/>
          <w:szCs w:val="18"/>
          <w:shd w:val="clear" w:color="auto" w:fill="FFFFFF"/>
        </w:rPr>
        <w:t xml:space="preserve"> to the Act. This definition closely follows equivalent provisions in the Money Laundering Regulations 1993 (as amended by the Financial Services and Markets Act 2000 (Consequential Amendments and Repeals) Order 2001), which determines the applicability of those Regulations. </w:t>
      </w:r>
    </w:p>
    <w:p w14:paraId="38A1228C" w14:textId="7DEBF5EC" w:rsidR="000A2ADC" w:rsidRPr="008E0D00" w:rsidRDefault="000A2ADC" w:rsidP="000A2ADC">
      <w:pPr>
        <w:spacing w:line="360" w:lineRule="auto"/>
      </w:pPr>
      <w:r w:rsidRPr="008E0D00">
        <w:rPr>
          <w:rFonts w:ascii="Arial" w:hAnsi="Arial" w:cs="Arial"/>
          <w:color w:val="000000"/>
          <w:sz w:val="18"/>
          <w:szCs w:val="18"/>
          <w:shd w:val="clear" w:color="auto" w:fill="FFFFFF"/>
        </w:rPr>
        <w:t>The definition provides that a business is in the regulated sector to the extent that it carries out the activities listed in </w:t>
      </w:r>
      <w:hyperlink r:id="rId23" w:history="1">
        <w:r w:rsidRPr="008E0D00">
          <w:rPr>
            <w:rStyle w:val="Hyperlink"/>
            <w:rFonts w:ascii="Arial" w:hAnsi="Arial" w:cs="Arial"/>
            <w:i/>
            <w:iCs/>
            <w:color w:val="2790C4"/>
            <w:sz w:val="18"/>
            <w:szCs w:val="18"/>
            <w:u w:val="none"/>
            <w:shd w:val="clear" w:color="auto" w:fill="FFFFFF"/>
          </w:rPr>
          <w:t>Part 1</w:t>
        </w:r>
      </w:hyperlink>
      <w:r w:rsidRPr="008E0D00">
        <w:rPr>
          <w:rFonts w:ascii="Arial" w:hAnsi="Arial" w:cs="Arial"/>
          <w:color w:val="000000"/>
          <w:sz w:val="18"/>
          <w:szCs w:val="18"/>
          <w:shd w:val="clear" w:color="auto" w:fill="FFFFFF"/>
        </w:rPr>
        <w:t> </w:t>
      </w:r>
      <w:proofErr w:type="spellStart"/>
      <w:r w:rsidRPr="008E0D00">
        <w:rPr>
          <w:rFonts w:ascii="Arial" w:hAnsi="Arial" w:cs="Arial"/>
          <w:color w:val="000000"/>
          <w:sz w:val="18"/>
          <w:szCs w:val="18"/>
          <w:shd w:val="clear" w:color="auto" w:fill="FFFFFF"/>
        </w:rPr>
        <w:t>of</w:t>
      </w:r>
      <w:hyperlink r:id="rId24" w:history="1">
        <w:r w:rsidRPr="008E0D00">
          <w:rPr>
            <w:rStyle w:val="Hyperlink"/>
            <w:rFonts w:ascii="Arial" w:hAnsi="Arial" w:cs="Arial"/>
            <w:i/>
            <w:iCs/>
            <w:color w:val="2790C4"/>
            <w:sz w:val="18"/>
            <w:szCs w:val="18"/>
            <w:u w:val="none"/>
            <w:shd w:val="clear" w:color="auto" w:fill="FFFFFF"/>
          </w:rPr>
          <w:t>Schedule</w:t>
        </w:r>
        <w:proofErr w:type="spellEnd"/>
        <w:r w:rsidRPr="008E0D00">
          <w:rPr>
            <w:rStyle w:val="Hyperlink"/>
            <w:rFonts w:ascii="Arial" w:hAnsi="Arial" w:cs="Arial"/>
            <w:i/>
            <w:iCs/>
            <w:color w:val="2790C4"/>
            <w:sz w:val="18"/>
            <w:szCs w:val="18"/>
            <w:u w:val="none"/>
            <w:shd w:val="clear" w:color="auto" w:fill="FFFFFF"/>
          </w:rPr>
          <w:t xml:space="preserve"> 9</w:t>
        </w:r>
      </w:hyperlink>
      <w:r w:rsidRPr="008E0D00">
        <w:rPr>
          <w:rStyle w:val="Emphasis"/>
          <w:rFonts w:ascii="Arial" w:hAnsi="Arial" w:cs="Arial"/>
          <w:color w:val="000000"/>
          <w:sz w:val="18"/>
          <w:szCs w:val="18"/>
          <w:shd w:val="clear" w:color="auto" w:fill="FFFFFF"/>
        </w:rPr>
        <w:t>. </w:t>
      </w:r>
      <w:r w:rsidRPr="008E0D00">
        <w:rPr>
          <w:rFonts w:ascii="Arial" w:hAnsi="Arial" w:cs="Arial"/>
          <w:color w:val="000000"/>
          <w:sz w:val="18"/>
          <w:szCs w:val="18"/>
          <w:shd w:val="clear" w:color="auto" w:fill="FFFFFF"/>
        </w:rPr>
        <w:t>The section reflects the fact that persons who are carrying out activities in the regulated sector should be expected to exercise a higher level of diligence in handling transactions than those employed in other businesses. Where a business carries out some activities which are listed in </w:t>
      </w:r>
      <w:hyperlink r:id="rId25" w:history="1">
        <w:r w:rsidRPr="008E0D00">
          <w:rPr>
            <w:rStyle w:val="Hyperlink"/>
            <w:rFonts w:ascii="Arial" w:hAnsi="Arial" w:cs="Arial"/>
            <w:i/>
            <w:iCs/>
            <w:color w:val="2790C4"/>
            <w:sz w:val="18"/>
            <w:szCs w:val="18"/>
            <w:u w:val="none"/>
            <w:shd w:val="clear" w:color="auto" w:fill="FFFFFF"/>
          </w:rPr>
          <w:t>Schedule 9</w:t>
        </w:r>
      </w:hyperlink>
      <w:r w:rsidRPr="008E0D00">
        <w:rPr>
          <w:rFonts w:ascii="Arial" w:hAnsi="Arial" w:cs="Arial"/>
          <w:color w:val="000000"/>
          <w:sz w:val="18"/>
          <w:szCs w:val="18"/>
          <w:shd w:val="clear" w:color="auto" w:fill="FFFFFF"/>
        </w:rPr>
        <w:t> and some which are not, then only employees carrying out the listed activities will be caught by the offence.</w:t>
      </w:r>
    </w:p>
    <w:p w14:paraId="475E054E" w14:textId="77777777" w:rsidR="000A2ADC" w:rsidRPr="008E0D00" w:rsidRDefault="000A2ADC" w:rsidP="000A2ADC">
      <w:pPr>
        <w:spacing w:line="360" w:lineRule="auto"/>
        <w:rPr>
          <w:rFonts w:ascii="Arial" w:hAnsi="Arial" w:cs="Arial"/>
          <w:color w:val="000000"/>
          <w:sz w:val="18"/>
          <w:szCs w:val="18"/>
          <w:shd w:val="clear" w:color="auto" w:fill="FFFFFF"/>
        </w:rPr>
      </w:pPr>
      <w:r w:rsidRPr="008E0D00">
        <w:rPr>
          <w:rFonts w:ascii="Arial" w:hAnsi="Arial" w:cs="Arial"/>
          <w:color w:val="000000"/>
          <w:sz w:val="18"/>
          <w:szCs w:val="18"/>
          <w:shd w:val="clear" w:color="auto" w:fill="FFFFFF"/>
        </w:rPr>
        <w:t>The offence is committed if the "required disclosure" is not made. The "required disclosure" is defined at </w:t>
      </w:r>
      <w:r w:rsidRPr="008E0D00">
        <w:rPr>
          <w:rStyle w:val="Emphasis"/>
          <w:rFonts w:ascii="Arial" w:hAnsi="Arial" w:cs="Arial"/>
          <w:color w:val="000000"/>
          <w:sz w:val="18"/>
          <w:szCs w:val="18"/>
          <w:shd w:val="clear" w:color="auto" w:fill="FFFFFF"/>
        </w:rPr>
        <w:t>subsection (</w:t>
      </w:r>
      <w:hyperlink r:id="rId26" w:history="1">
        <w:r w:rsidRPr="008E0D00">
          <w:rPr>
            <w:rStyle w:val="Hyperlink"/>
            <w:rFonts w:ascii="Arial" w:hAnsi="Arial" w:cs="Arial"/>
            <w:i/>
            <w:iCs/>
            <w:color w:val="2790C4"/>
            <w:sz w:val="18"/>
            <w:szCs w:val="18"/>
            <w:u w:val="none"/>
            <w:shd w:val="clear" w:color="auto" w:fill="FFFFFF"/>
          </w:rPr>
          <w:t>5</w:t>
        </w:r>
      </w:hyperlink>
      <w:r w:rsidRPr="008E0D00">
        <w:rPr>
          <w:rStyle w:val="Emphasis"/>
          <w:rFonts w:ascii="Arial" w:hAnsi="Arial" w:cs="Arial"/>
          <w:color w:val="000000"/>
          <w:sz w:val="18"/>
          <w:szCs w:val="18"/>
          <w:shd w:val="clear" w:color="auto" w:fill="FFFFFF"/>
        </w:rPr>
        <w:t>)</w:t>
      </w:r>
      <w:r w:rsidRPr="008E0D00">
        <w:rPr>
          <w:rFonts w:ascii="Arial" w:hAnsi="Arial" w:cs="Arial"/>
          <w:color w:val="000000"/>
          <w:sz w:val="18"/>
          <w:szCs w:val="18"/>
          <w:shd w:val="clear" w:color="auto" w:fill="FFFFFF"/>
        </w:rPr>
        <w:t> as being a disclosure to a nominated officer, or to a person authorised by the Director General of the National Criminal Intelligence Service, which has been made in the form and manner (if any) prescribed under the order making power at </w:t>
      </w:r>
      <w:hyperlink r:id="rId27" w:history="1">
        <w:r w:rsidRPr="008E0D00">
          <w:rPr>
            <w:rStyle w:val="Hyperlink"/>
            <w:rFonts w:ascii="Arial" w:hAnsi="Arial" w:cs="Arial"/>
            <w:i/>
            <w:iCs/>
            <w:color w:val="2790C4"/>
            <w:sz w:val="18"/>
            <w:szCs w:val="18"/>
            <w:u w:val="none"/>
            <w:shd w:val="clear" w:color="auto" w:fill="FFFFFF"/>
          </w:rPr>
          <w:t>section 339</w:t>
        </w:r>
      </w:hyperlink>
      <w:r w:rsidRPr="008E0D00">
        <w:rPr>
          <w:rFonts w:ascii="Arial" w:hAnsi="Arial" w:cs="Arial"/>
          <w:color w:val="000000"/>
          <w:sz w:val="18"/>
          <w:szCs w:val="18"/>
          <w:shd w:val="clear" w:color="auto" w:fill="FFFFFF"/>
        </w:rPr>
        <w:t xml:space="preserve">. </w:t>
      </w:r>
    </w:p>
    <w:p w14:paraId="285E16DC" w14:textId="58081BE2" w:rsidR="000A2ADC" w:rsidRPr="008E0D00" w:rsidRDefault="000A2ADC" w:rsidP="000A2ADC">
      <w:pPr>
        <w:spacing w:line="360" w:lineRule="auto"/>
        <w:rPr>
          <w:rFonts w:ascii="Arial" w:hAnsi="Arial" w:cs="Arial"/>
          <w:color w:val="000000"/>
          <w:sz w:val="18"/>
          <w:szCs w:val="18"/>
          <w:shd w:val="clear" w:color="auto" w:fill="FFFFFF"/>
        </w:rPr>
      </w:pPr>
      <w:r w:rsidRPr="008E0D00">
        <w:rPr>
          <w:rFonts w:ascii="Arial" w:hAnsi="Arial" w:cs="Arial"/>
          <w:color w:val="000000"/>
          <w:sz w:val="18"/>
          <w:szCs w:val="18"/>
          <w:shd w:val="clear" w:color="auto" w:fill="FFFFFF"/>
        </w:rPr>
        <w:lastRenderedPageBreak/>
        <w:t>It gives those in the regulated sector the choice of either disclosing direct to NCIS, which might be appropriate for sole practitioners, or disclosing to the nominated officer who will operate as a filter for disclosures to NCIS.</w:t>
      </w:r>
    </w:p>
    <w:p w14:paraId="4A2295C7" w14:textId="203FB5F7" w:rsidR="000A2ADC" w:rsidRPr="008E0D00" w:rsidRDefault="000A2ADC" w:rsidP="000A2ADC">
      <w:pPr>
        <w:spacing w:line="360" w:lineRule="auto"/>
        <w:rPr>
          <w:rFonts w:ascii="Arial" w:hAnsi="Arial" w:cs="Arial"/>
          <w:color w:val="000000"/>
          <w:sz w:val="18"/>
          <w:szCs w:val="18"/>
          <w:shd w:val="clear" w:color="auto" w:fill="FFFFFF"/>
        </w:rPr>
      </w:pPr>
      <w:r w:rsidRPr="008E0D00">
        <w:rPr>
          <w:rStyle w:val="Emphasis"/>
          <w:rFonts w:ascii="Arial" w:hAnsi="Arial" w:cs="Arial"/>
          <w:color w:val="000000"/>
          <w:sz w:val="18"/>
          <w:szCs w:val="18"/>
          <w:shd w:val="clear" w:color="auto" w:fill="FFFFFF"/>
        </w:rPr>
        <w:t>Subsection (</w:t>
      </w:r>
      <w:hyperlink r:id="rId28" w:history="1">
        <w:r w:rsidRPr="008E0D00">
          <w:rPr>
            <w:rStyle w:val="Hyperlink"/>
            <w:rFonts w:ascii="Arial" w:hAnsi="Arial" w:cs="Arial"/>
            <w:i/>
            <w:iCs/>
            <w:color w:val="2790C4"/>
            <w:sz w:val="18"/>
            <w:szCs w:val="18"/>
            <w:u w:val="none"/>
            <w:shd w:val="clear" w:color="auto" w:fill="FFFFFF"/>
          </w:rPr>
          <w:t>6</w:t>
        </w:r>
      </w:hyperlink>
      <w:r w:rsidRPr="008E0D00">
        <w:rPr>
          <w:rStyle w:val="Emphasis"/>
          <w:rFonts w:ascii="Arial" w:hAnsi="Arial" w:cs="Arial"/>
          <w:color w:val="000000"/>
          <w:sz w:val="18"/>
          <w:szCs w:val="18"/>
          <w:shd w:val="clear" w:color="auto" w:fill="FFFFFF"/>
        </w:rPr>
        <w:t>)</w:t>
      </w:r>
      <w:r w:rsidRPr="008E0D00">
        <w:rPr>
          <w:rFonts w:ascii="Arial" w:hAnsi="Arial" w:cs="Arial"/>
          <w:color w:val="000000"/>
          <w:sz w:val="18"/>
          <w:szCs w:val="18"/>
          <w:shd w:val="clear" w:color="auto" w:fill="FFFFFF"/>
        </w:rPr>
        <w:t> provides a defence for a person who has a reasonable excuse for not disclosing the information and also for a lawyer, where the information came to him in privileged circumstances. There is also a defence for staff who have not had adequate training concerning the identification of transactions which may be indicative of money laundering. In order to use this defence successfully, the defendant would have to show that he did not actually know or suspect that another person was engaged in money laundering and that, in his case, his employer had not complied with requirements to provide employees with such training as is specified by the Secretary of State by order.</w:t>
      </w:r>
    </w:p>
    <w:p w14:paraId="4734767C" w14:textId="00913027" w:rsidR="000A2ADC" w:rsidRPr="008E0D00" w:rsidRDefault="000A2ADC" w:rsidP="000A2ADC">
      <w:pPr>
        <w:spacing w:line="360" w:lineRule="auto"/>
        <w:rPr>
          <w:rFonts w:ascii="Arial" w:hAnsi="Arial" w:cs="Arial"/>
          <w:color w:val="000000"/>
          <w:sz w:val="18"/>
          <w:szCs w:val="18"/>
          <w:shd w:val="clear" w:color="auto" w:fill="FFFFFF"/>
        </w:rPr>
      </w:pPr>
      <w:r w:rsidRPr="008E0D00">
        <w:rPr>
          <w:rFonts w:ascii="Arial" w:hAnsi="Arial" w:cs="Arial"/>
          <w:color w:val="000000"/>
          <w:sz w:val="18"/>
          <w:szCs w:val="18"/>
          <w:shd w:val="clear" w:color="auto" w:fill="FFFFFF"/>
        </w:rPr>
        <w:t>Joint Money Laundering Steering Group, which operates under the auspices of the British Bankers’ Association. </w:t>
      </w:r>
      <w:hyperlink r:id="rId29" w:history="1">
        <w:r w:rsidRPr="008E0D00">
          <w:rPr>
            <w:rStyle w:val="Hyperlink"/>
            <w:rFonts w:ascii="Arial" w:hAnsi="Arial" w:cs="Arial"/>
            <w:i/>
            <w:iCs/>
            <w:color w:val="2790C4"/>
            <w:sz w:val="18"/>
            <w:szCs w:val="18"/>
            <w:u w:val="none"/>
            <w:shd w:val="clear" w:color="auto" w:fill="FFFFFF"/>
          </w:rPr>
          <w:t>Section 330(8)</w:t>
        </w:r>
      </w:hyperlink>
      <w:r w:rsidRPr="008E0D00">
        <w:rPr>
          <w:rFonts w:ascii="Arial" w:hAnsi="Arial" w:cs="Arial"/>
          <w:color w:val="000000"/>
          <w:sz w:val="18"/>
          <w:szCs w:val="18"/>
          <w:shd w:val="clear" w:color="auto" w:fill="FFFFFF"/>
        </w:rPr>
        <w:t> recognises the potential value of such guidance and provides that the court must take any guidance issued by a supervisory authority (as listed in </w:t>
      </w:r>
      <w:hyperlink r:id="rId30" w:history="1">
        <w:r w:rsidRPr="008E0D00">
          <w:rPr>
            <w:rStyle w:val="Hyperlink"/>
            <w:rFonts w:ascii="Arial" w:hAnsi="Arial" w:cs="Arial"/>
            <w:i/>
            <w:iCs/>
            <w:color w:val="2790C4"/>
            <w:sz w:val="18"/>
            <w:szCs w:val="18"/>
            <w:u w:val="none"/>
            <w:shd w:val="clear" w:color="auto" w:fill="FFFFFF"/>
          </w:rPr>
          <w:t>Part 2</w:t>
        </w:r>
      </w:hyperlink>
      <w:r w:rsidRPr="008E0D00">
        <w:rPr>
          <w:rFonts w:ascii="Arial" w:hAnsi="Arial" w:cs="Arial"/>
          <w:color w:val="000000"/>
          <w:sz w:val="18"/>
          <w:szCs w:val="18"/>
          <w:shd w:val="clear" w:color="auto" w:fill="FFFFFF"/>
        </w:rPr>
        <w:t> of </w:t>
      </w:r>
      <w:hyperlink r:id="rId31" w:history="1">
        <w:r w:rsidRPr="008E0D00">
          <w:rPr>
            <w:rStyle w:val="Hyperlink"/>
            <w:rFonts w:ascii="Arial" w:hAnsi="Arial" w:cs="Arial"/>
            <w:i/>
            <w:iCs/>
            <w:color w:val="2790C4"/>
            <w:sz w:val="18"/>
            <w:szCs w:val="18"/>
            <w:u w:val="none"/>
            <w:shd w:val="clear" w:color="auto" w:fill="FFFFFF"/>
          </w:rPr>
          <w:t>Schedule 6</w:t>
        </w:r>
      </w:hyperlink>
      <w:r w:rsidRPr="008E0D00">
        <w:rPr>
          <w:rFonts w:ascii="Arial" w:hAnsi="Arial" w:cs="Arial"/>
          <w:color w:val="000000"/>
          <w:sz w:val="18"/>
          <w:szCs w:val="18"/>
          <w:shd w:val="clear" w:color="auto" w:fill="FFFFFF"/>
        </w:rPr>
        <w:t>) or any other appropriate body (as defined at </w:t>
      </w:r>
      <w:hyperlink r:id="rId32" w:history="1">
        <w:r w:rsidRPr="008E0D00">
          <w:rPr>
            <w:rStyle w:val="Hyperlink"/>
            <w:rFonts w:ascii="Arial" w:hAnsi="Arial" w:cs="Arial"/>
            <w:i/>
            <w:iCs/>
            <w:color w:val="2790C4"/>
            <w:sz w:val="18"/>
            <w:szCs w:val="18"/>
            <w:u w:val="none"/>
            <w:shd w:val="clear" w:color="auto" w:fill="FFFFFF"/>
          </w:rPr>
          <w:t>section 330(13)</w:t>
        </w:r>
      </w:hyperlink>
      <w:r w:rsidRPr="008E0D00">
        <w:rPr>
          <w:rFonts w:ascii="Arial" w:hAnsi="Arial" w:cs="Arial"/>
          <w:color w:val="000000"/>
          <w:sz w:val="18"/>
          <w:szCs w:val="18"/>
          <w:shd w:val="clear" w:color="auto" w:fill="FFFFFF"/>
        </w:rPr>
        <w:t>) into account when determining whether an offence has been committed.</w:t>
      </w:r>
    </w:p>
    <w:p w14:paraId="5CF0F366" w14:textId="6F644F5C" w:rsidR="000A2ADC" w:rsidRPr="008E0D00" w:rsidRDefault="000A2ADC" w:rsidP="000A2ADC">
      <w:pPr>
        <w:spacing w:line="360" w:lineRule="auto"/>
        <w:rPr>
          <w:rFonts w:ascii="Arial" w:hAnsi="Arial" w:cs="Arial"/>
          <w:color w:val="000000"/>
          <w:sz w:val="18"/>
          <w:szCs w:val="18"/>
          <w:shd w:val="clear" w:color="auto" w:fill="FFFFFF"/>
        </w:rPr>
      </w:pPr>
      <w:r w:rsidRPr="008E0D00">
        <w:rPr>
          <w:rFonts w:ascii="Arial" w:hAnsi="Arial" w:cs="Arial"/>
          <w:color w:val="000000"/>
          <w:sz w:val="18"/>
          <w:szCs w:val="18"/>
          <w:shd w:val="clear" w:color="auto" w:fill="FFFFFF"/>
        </w:rPr>
        <w:t>Extends to inchoate offences</w:t>
      </w:r>
    </w:p>
    <w:p w14:paraId="44B79F5A" w14:textId="77777777" w:rsidR="000A2ADC" w:rsidRPr="008E0D00" w:rsidRDefault="000A2ADC" w:rsidP="000A2ADC">
      <w:pPr>
        <w:pStyle w:val="Heading5"/>
        <w:shd w:val="clear" w:color="auto" w:fill="FFFFFF"/>
        <w:spacing w:before="120" w:beforeAutospacing="0" w:after="120" w:afterAutospacing="0" w:line="288" w:lineRule="atLeast"/>
        <w:rPr>
          <w:rFonts w:ascii="Arial" w:hAnsi="Arial" w:cs="Arial"/>
          <w:color w:val="000000"/>
          <w:sz w:val="18"/>
          <w:szCs w:val="18"/>
          <w:u w:val="single"/>
        </w:rPr>
      </w:pPr>
      <w:hyperlink r:id="rId33" w:history="1">
        <w:r w:rsidRPr="008E0D00">
          <w:rPr>
            <w:rStyle w:val="Hyperlink"/>
            <w:rFonts w:ascii="Arial" w:hAnsi="Arial" w:cs="Arial"/>
            <w:color w:val="2790C4"/>
            <w:sz w:val="18"/>
            <w:szCs w:val="18"/>
          </w:rPr>
          <w:t>Section 331</w:t>
        </w:r>
      </w:hyperlink>
      <w:r w:rsidRPr="008E0D00">
        <w:rPr>
          <w:rFonts w:ascii="Arial" w:hAnsi="Arial" w:cs="Arial"/>
          <w:color w:val="000000"/>
          <w:sz w:val="18"/>
          <w:szCs w:val="18"/>
          <w:u w:val="single"/>
        </w:rPr>
        <w:t xml:space="preserve">: Failure to </w:t>
      </w:r>
      <w:proofErr w:type="gramStart"/>
      <w:r w:rsidRPr="008E0D00">
        <w:rPr>
          <w:rFonts w:ascii="Arial" w:hAnsi="Arial" w:cs="Arial"/>
          <w:color w:val="000000"/>
          <w:sz w:val="18"/>
          <w:szCs w:val="18"/>
          <w:u w:val="single"/>
        </w:rPr>
        <w:t>disclose:</w:t>
      </w:r>
      <w:proofErr w:type="gramEnd"/>
      <w:r w:rsidRPr="008E0D00">
        <w:rPr>
          <w:rFonts w:ascii="Arial" w:hAnsi="Arial" w:cs="Arial"/>
          <w:color w:val="000000"/>
          <w:sz w:val="18"/>
          <w:szCs w:val="18"/>
          <w:u w:val="single"/>
        </w:rPr>
        <w:t xml:space="preserve"> nominated officers in the regulated sector</w:t>
      </w:r>
    </w:p>
    <w:p w14:paraId="2CA76C4F" w14:textId="77777777" w:rsidR="0031508B" w:rsidRPr="008E0D00" w:rsidRDefault="0031508B" w:rsidP="0031508B">
      <w:pPr>
        <w:pStyle w:val="ennumparacontainer"/>
        <w:shd w:val="clear" w:color="auto" w:fill="FFFFFF"/>
        <w:spacing w:before="0" w:beforeAutospacing="0" w:after="0" w:afterAutospacing="0" w:line="360" w:lineRule="atLeast"/>
        <w:rPr>
          <w:rFonts w:ascii="Arial" w:hAnsi="Arial" w:cs="Arial"/>
          <w:color w:val="000000"/>
          <w:sz w:val="19"/>
          <w:szCs w:val="19"/>
        </w:rPr>
      </w:pPr>
      <w:hyperlink r:id="rId34" w:history="1">
        <w:r w:rsidRPr="008E0D00">
          <w:rPr>
            <w:rStyle w:val="Hyperlink"/>
            <w:rFonts w:ascii="Arial" w:hAnsi="Arial" w:cs="Arial"/>
            <w:i/>
            <w:iCs/>
            <w:color w:val="2790C4"/>
            <w:sz w:val="18"/>
            <w:szCs w:val="18"/>
            <w:u w:val="none"/>
          </w:rPr>
          <w:t>Section 331</w:t>
        </w:r>
      </w:hyperlink>
      <w:r w:rsidRPr="008E0D00">
        <w:rPr>
          <w:rStyle w:val="ends"/>
          <w:rFonts w:ascii="Arial" w:hAnsi="Arial" w:cs="Arial"/>
          <w:color w:val="000000"/>
          <w:sz w:val="19"/>
          <w:szCs w:val="19"/>
        </w:rPr>
        <w:t> creates an offence where a nominated officer who receives a report under section 330 (the failure to disclose offence) which causes him to know or suspect or gives reasonable grounds for knowledge or suspicion, that money laundering is taking place, does not disclose that report as soon as practicable after the information comes to him. </w:t>
      </w:r>
      <w:r w:rsidRPr="008E0D00">
        <w:rPr>
          <w:rStyle w:val="Emphasis"/>
          <w:rFonts w:ascii="Arial" w:hAnsi="Arial" w:cs="Arial"/>
          <w:color w:val="000000"/>
          <w:sz w:val="19"/>
          <w:szCs w:val="19"/>
        </w:rPr>
        <w:t>Subsection (</w:t>
      </w:r>
      <w:hyperlink r:id="rId35" w:history="1">
        <w:r w:rsidRPr="008E0D00">
          <w:rPr>
            <w:rStyle w:val="Hyperlink"/>
            <w:rFonts w:ascii="Arial" w:hAnsi="Arial" w:cs="Arial"/>
            <w:i/>
            <w:iCs/>
            <w:color w:val="2790C4"/>
            <w:sz w:val="18"/>
            <w:szCs w:val="18"/>
            <w:u w:val="none"/>
          </w:rPr>
          <w:t>5</w:t>
        </w:r>
      </w:hyperlink>
      <w:r w:rsidRPr="008E0D00">
        <w:rPr>
          <w:rStyle w:val="Emphasis"/>
          <w:rFonts w:ascii="Arial" w:hAnsi="Arial" w:cs="Arial"/>
          <w:color w:val="000000"/>
          <w:sz w:val="19"/>
          <w:szCs w:val="19"/>
        </w:rPr>
        <w:t>)</w:t>
      </w:r>
      <w:r w:rsidRPr="008E0D00">
        <w:rPr>
          <w:rStyle w:val="ends"/>
          <w:rFonts w:ascii="Arial" w:hAnsi="Arial" w:cs="Arial"/>
          <w:color w:val="000000"/>
          <w:sz w:val="19"/>
          <w:szCs w:val="19"/>
        </w:rPr>
        <w:t> specifies that the "required disclosure" which a nominated officer must make, has to be made to the National Criminal Intelligence Service, in the form and manner (if any) prescribed by the order making power at </w:t>
      </w:r>
      <w:hyperlink r:id="rId36" w:history="1">
        <w:r w:rsidRPr="008E0D00">
          <w:rPr>
            <w:rStyle w:val="Hyperlink"/>
            <w:rFonts w:ascii="Arial" w:hAnsi="Arial" w:cs="Arial"/>
            <w:i/>
            <w:iCs/>
            <w:color w:val="2790C4"/>
            <w:sz w:val="18"/>
            <w:szCs w:val="18"/>
            <w:u w:val="none"/>
          </w:rPr>
          <w:t>section 339</w:t>
        </w:r>
      </w:hyperlink>
      <w:r w:rsidRPr="008E0D00">
        <w:rPr>
          <w:rStyle w:val="ends"/>
          <w:rFonts w:ascii="Arial" w:hAnsi="Arial" w:cs="Arial"/>
          <w:color w:val="000000"/>
          <w:sz w:val="19"/>
          <w:szCs w:val="19"/>
        </w:rPr>
        <w:t>.</w:t>
      </w:r>
    </w:p>
    <w:p w14:paraId="2DF2F096" w14:textId="070D486F" w:rsidR="0031508B" w:rsidRDefault="0031508B" w:rsidP="0031508B">
      <w:pPr>
        <w:pStyle w:val="Heading5"/>
        <w:shd w:val="clear" w:color="auto" w:fill="FFFFFF"/>
        <w:spacing w:before="120" w:beforeAutospacing="0" w:after="120" w:afterAutospacing="0" w:line="288" w:lineRule="atLeast"/>
        <w:rPr>
          <w:rFonts w:ascii="Arial" w:hAnsi="Arial" w:cs="Arial"/>
          <w:color w:val="000000"/>
          <w:sz w:val="18"/>
          <w:szCs w:val="18"/>
        </w:rPr>
      </w:pPr>
      <w:hyperlink r:id="rId37" w:history="1">
        <w:r w:rsidRPr="008E0D00">
          <w:rPr>
            <w:rStyle w:val="Hyperlink"/>
            <w:rFonts w:ascii="Arial" w:hAnsi="Arial" w:cs="Arial"/>
            <w:color w:val="2790C4"/>
            <w:sz w:val="18"/>
            <w:szCs w:val="18"/>
            <w:u w:val="none"/>
          </w:rPr>
          <w:t>Section</w:t>
        </w:r>
      </w:hyperlink>
    </w:p>
    <w:p w14:paraId="23A071F7" w14:textId="0E60138E" w:rsidR="008E0D00" w:rsidRDefault="008E0D00" w:rsidP="0031508B">
      <w:pPr>
        <w:pStyle w:val="Heading5"/>
        <w:shd w:val="clear" w:color="auto" w:fill="FFFFFF"/>
        <w:spacing w:before="120" w:beforeAutospacing="0" w:after="120" w:afterAutospacing="0" w:line="288" w:lineRule="atLeast"/>
        <w:rPr>
          <w:rFonts w:ascii="Arial" w:hAnsi="Arial" w:cs="Arial"/>
          <w:color w:val="000000"/>
          <w:sz w:val="18"/>
          <w:szCs w:val="18"/>
        </w:rPr>
      </w:pPr>
    </w:p>
    <w:p w14:paraId="67FC7C04" w14:textId="77777777" w:rsidR="00B26E4F" w:rsidRPr="00B26E4F" w:rsidRDefault="00B26E4F" w:rsidP="00B26E4F">
      <w:pPr>
        <w:rPr>
          <w:rFonts w:ascii="Arial" w:hAnsi="Arial" w:cs="Arial"/>
          <w:b/>
          <w:sz w:val="18"/>
          <w:szCs w:val="18"/>
          <w:u w:val="single"/>
        </w:rPr>
      </w:pPr>
      <w:r w:rsidRPr="00B26E4F">
        <w:rPr>
          <w:rFonts w:ascii="Arial" w:hAnsi="Arial" w:cs="Arial"/>
          <w:b/>
          <w:sz w:val="18"/>
          <w:szCs w:val="18"/>
          <w:u w:val="single"/>
        </w:rPr>
        <w:t>Types of report</w:t>
      </w:r>
    </w:p>
    <w:p w14:paraId="5C2E8549" w14:textId="77777777" w:rsidR="00B26E4F" w:rsidRPr="00B26E4F" w:rsidRDefault="00B26E4F" w:rsidP="00B26E4F">
      <w:pPr>
        <w:spacing w:line="360" w:lineRule="auto"/>
        <w:rPr>
          <w:rFonts w:ascii="Arial" w:hAnsi="Arial" w:cs="Arial"/>
          <w:sz w:val="18"/>
          <w:szCs w:val="18"/>
        </w:rPr>
      </w:pPr>
      <w:r w:rsidRPr="00B26E4F">
        <w:rPr>
          <w:rFonts w:ascii="Arial" w:hAnsi="Arial" w:cs="Arial"/>
          <w:sz w:val="18"/>
          <w:szCs w:val="18"/>
        </w:rPr>
        <w:t>Reports made in accordance with the provisions of POCA are made under either Section 337 (protected disclosures) or Section 338 (authorised disclosures).</w:t>
      </w:r>
    </w:p>
    <w:p w14:paraId="7FBC2791" w14:textId="77777777" w:rsidR="00B26E4F" w:rsidRPr="00B26E4F" w:rsidRDefault="00B26E4F" w:rsidP="00B26E4F">
      <w:pPr>
        <w:spacing w:line="360" w:lineRule="auto"/>
        <w:rPr>
          <w:rFonts w:ascii="Arial" w:hAnsi="Arial" w:cs="Arial"/>
          <w:sz w:val="18"/>
          <w:szCs w:val="18"/>
        </w:rPr>
      </w:pPr>
      <w:r w:rsidRPr="00B26E4F">
        <w:rPr>
          <w:rFonts w:ascii="Arial" w:hAnsi="Arial" w:cs="Arial"/>
          <w:sz w:val="18"/>
          <w:szCs w:val="18"/>
        </w:rPr>
        <w:t xml:space="preserve">When reports are properly </w:t>
      </w:r>
      <w:proofErr w:type="gramStart"/>
      <w:r w:rsidRPr="00B26E4F">
        <w:rPr>
          <w:rFonts w:ascii="Arial" w:hAnsi="Arial" w:cs="Arial"/>
          <w:sz w:val="18"/>
          <w:szCs w:val="18"/>
        </w:rPr>
        <w:t>made</w:t>
      </w:r>
      <w:proofErr w:type="gramEnd"/>
      <w:r w:rsidRPr="00B26E4F">
        <w:rPr>
          <w:rFonts w:ascii="Arial" w:hAnsi="Arial" w:cs="Arial"/>
          <w:sz w:val="18"/>
          <w:szCs w:val="18"/>
        </w:rPr>
        <w:t xml:space="preserve"> they are 'protected' under Section 337 in that nothing in them shall be taken to breach any restriction on the disclosure of information, however imposed.</w:t>
      </w:r>
    </w:p>
    <w:p w14:paraId="7046F503" w14:textId="77777777" w:rsidR="00B26E4F" w:rsidRPr="00B26E4F" w:rsidRDefault="00B26E4F" w:rsidP="00B26E4F">
      <w:pPr>
        <w:spacing w:line="360" w:lineRule="auto"/>
        <w:rPr>
          <w:rFonts w:ascii="Arial" w:hAnsi="Arial" w:cs="Arial"/>
          <w:sz w:val="18"/>
          <w:szCs w:val="18"/>
        </w:rPr>
      </w:pPr>
      <w:r w:rsidRPr="00B26E4F">
        <w:rPr>
          <w:rFonts w:ascii="Arial" w:hAnsi="Arial" w:cs="Arial"/>
          <w:sz w:val="18"/>
          <w:szCs w:val="18"/>
        </w:rPr>
        <w:t xml:space="preserve">A person who considers he may have engaged or is about to engage in money laundering, should make an 'authorised' disclosure (Section 338). </w:t>
      </w:r>
      <w:proofErr w:type="gramStart"/>
      <w:r w:rsidRPr="00B26E4F">
        <w:rPr>
          <w:rFonts w:ascii="Arial" w:hAnsi="Arial" w:cs="Arial"/>
          <w:sz w:val="18"/>
          <w:szCs w:val="18"/>
        </w:rPr>
        <w:t>Such a disclosure,</w:t>
      </w:r>
      <w:proofErr w:type="gramEnd"/>
      <w:r w:rsidRPr="00B26E4F">
        <w:rPr>
          <w:rFonts w:ascii="Arial" w:hAnsi="Arial" w:cs="Arial"/>
          <w:sz w:val="18"/>
          <w:szCs w:val="18"/>
        </w:rPr>
        <w:t xml:space="preserve"> provided it is made (and SOCA's consent to the act is obtained) before the act is carried out, or is made as soon as possible on the initiative of that person after the act is done and with good reason being shown for the delay, may provide a defence against charges of money laundering. When properly made such reports shall not be taken to breach any restriction on the disclosure of information, however imposed.</w:t>
      </w:r>
    </w:p>
    <w:p w14:paraId="6D32605C" w14:textId="77777777" w:rsidR="00B26E4F" w:rsidRPr="00B26E4F" w:rsidRDefault="00B26E4F" w:rsidP="00B26E4F">
      <w:pPr>
        <w:spacing w:line="360" w:lineRule="auto"/>
        <w:rPr>
          <w:rFonts w:ascii="Arial" w:hAnsi="Arial" w:cs="Arial"/>
          <w:sz w:val="18"/>
          <w:szCs w:val="18"/>
        </w:rPr>
      </w:pPr>
      <w:r w:rsidRPr="00B26E4F">
        <w:rPr>
          <w:rFonts w:ascii="Arial" w:hAnsi="Arial" w:cs="Arial"/>
          <w:b/>
          <w:sz w:val="18"/>
          <w:szCs w:val="18"/>
        </w:rPr>
        <w:t>A protected disclosure</w:t>
      </w:r>
      <w:r w:rsidRPr="00B26E4F">
        <w:rPr>
          <w:rFonts w:ascii="Arial" w:hAnsi="Arial" w:cs="Arial"/>
          <w:sz w:val="18"/>
          <w:szCs w:val="18"/>
        </w:rPr>
        <w:t xml:space="preserve"> is any report made by a person providing the required disclosure, based on information or other matter coming to their attention in the course of their trade, profession, business or employment, where this information has led to knowledge or suspicion (or reasonable grounds for such) that another person is engaged in money laundering.</w:t>
      </w:r>
    </w:p>
    <w:p w14:paraId="40A79565" w14:textId="77777777" w:rsidR="00B26E4F" w:rsidRPr="00B26E4F" w:rsidRDefault="00B26E4F" w:rsidP="00B26E4F">
      <w:pPr>
        <w:spacing w:line="360" w:lineRule="auto"/>
        <w:rPr>
          <w:rFonts w:ascii="Arial" w:hAnsi="Arial" w:cs="Arial"/>
          <w:sz w:val="18"/>
          <w:szCs w:val="18"/>
        </w:rPr>
      </w:pPr>
      <w:r w:rsidRPr="00B26E4F">
        <w:rPr>
          <w:rFonts w:ascii="Arial" w:hAnsi="Arial" w:cs="Arial"/>
          <w:b/>
          <w:sz w:val="18"/>
          <w:szCs w:val="18"/>
        </w:rPr>
        <w:lastRenderedPageBreak/>
        <w:t>An authorised disclosure</w:t>
      </w:r>
      <w:r w:rsidRPr="00B26E4F">
        <w:rPr>
          <w:rFonts w:ascii="Arial" w:hAnsi="Arial" w:cs="Arial"/>
          <w:sz w:val="18"/>
          <w:szCs w:val="18"/>
        </w:rPr>
        <w:t xml:space="preserve"> is a report made by a person who makes the disclosure:</w:t>
      </w:r>
    </w:p>
    <w:p w14:paraId="781B13C9" w14:textId="77777777" w:rsidR="00B26E4F" w:rsidRPr="00B26E4F" w:rsidRDefault="00B26E4F" w:rsidP="00B26E4F">
      <w:pPr>
        <w:spacing w:line="360" w:lineRule="auto"/>
        <w:ind w:left="720"/>
        <w:rPr>
          <w:rFonts w:ascii="Arial" w:hAnsi="Arial" w:cs="Arial"/>
          <w:sz w:val="18"/>
          <w:szCs w:val="18"/>
        </w:rPr>
      </w:pPr>
      <w:r w:rsidRPr="00B26E4F">
        <w:rPr>
          <w:rFonts w:ascii="Arial" w:hAnsi="Arial" w:cs="Arial"/>
          <w:sz w:val="18"/>
          <w:szCs w:val="18"/>
        </w:rPr>
        <w:t>Before he has carried out a prohibited act (i.e. done something which would constitute a money laundering offence); or</w:t>
      </w:r>
    </w:p>
    <w:p w14:paraId="41D30CE4" w14:textId="77777777" w:rsidR="00B26E4F" w:rsidRPr="00B26E4F" w:rsidRDefault="00B26E4F" w:rsidP="00B26E4F">
      <w:pPr>
        <w:spacing w:line="360" w:lineRule="auto"/>
        <w:ind w:left="720"/>
        <w:rPr>
          <w:rFonts w:ascii="Arial" w:hAnsi="Arial" w:cs="Arial"/>
          <w:sz w:val="18"/>
          <w:szCs w:val="18"/>
        </w:rPr>
      </w:pPr>
      <w:r w:rsidRPr="00B26E4F">
        <w:rPr>
          <w:rFonts w:ascii="Arial" w:hAnsi="Arial" w:cs="Arial"/>
          <w:sz w:val="18"/>
          <w:szCs w:val="18"/>
        </w:rPr>
        <w:t>Whilst he is doing the prohibited act, or after he has done such an act provided that when he started to do the act he didn't realise that it was money laundering (i.e., did not realise that criminal property was involved) and made the report on his own initiative as soon as he knew or suspected criminal property was involved; or</w:t>
      </w:r>
    </w:p>
    <w:p w14:paraId="58A25EDE" w14:textId="77777777" w:rsidR="00B26E4F" w:rsidRPr="00B26E4F" w:rsidRDefault="00B26E4F" w:rsidP="00B26E4F">
      <w:pPr>
        <w:spacing w:line="360" w:lineRule="auto"/>
        <w:ind w:left="720"/>
        <w:rPr>
          <w:rFonts w:ascii="Arial" w:hAnsi="Arial" w:cs="Arial"/>
          <w:sz w:val="18"/>
          <w:szCs w:val="18"/>
        </w:rPr>
      </w:pPr>
      <w:r w:rsidRPr="00B26E4F">
        <w:rPr>
          <w:rFonts w:ascii="Arial" w:hAnsi="Arial" w:cs="Arial"/>
          <w:sz w:val="18"/>
          <w:szCs w:val="18"/>
        </w:rPr>
        <w:t xml:space="preserve">After he has done the prohibited act, </w:t>
      </w:r>
      <w:proofErr w:type="gramStart"/>
      <w:r w:rsidRPr="00B26E4F">
        <w:rPr>
          <w:rFonts w:ascii="Arial" w:hAnsi="Arial" w:cs="Arial"/>
          <w:sz w:val="18"/>
          <w:szCs w:val="18"/>
        </w:rPr>
        <w:t>provided that</w:t>
      </w:r>
      <w:proofErr w:type="gramEnd"/>
      <w:r w:rsidRPr="00B26E4F">
        <w:rPr>
          <w:rFonts w:ascii="Arial" w:hAnsi="Arial" w:cs="Arial"/>
          <w:sz w:val="18"/>
          <w:szCs w:val="18"/>
        </w:rPr>
        <w:t xml:space="preserve"> there was good reason for not reporting before he committed the act, and he made the report on his own initiative as soon as it was practicable to make it. There is no guidance in POCA as to what might constitute 'good reason', but this is likely to be applied narrowly.</w:t>
      </w:r>
    </w:p>
    <w:p w14:paraId="681E54E5" w14:textId="77777777" w:rsidR="00B26E4F" w:rsidRPr="00B26E4F" w:rsidRDefault="00B26E4F" w:rsidP="00B26E4F">
      <w:pPr>
        <w:spacing w:line="360" w:lineRule="auto"/>
      </w:pPr>
      <w:r w:rsidRPr="00B26E4F">
        <w:rPr>
          <w:rFonts w:ascii="Arial" w:hAnsi="Arial" w:cs="Arial"/>
          <w:sz w:val="18"/>
          <w:szCs w:val="18"/>
        </w:rPr>
        <w:t xml:space="preserve">Any report properly made under the provisions of Sections 337 and 338 cannot be taken to breach any restriction on disclosure of information, however this </w:t>
      </w:r>
      <w:r w:rsidRPr="00B26E4F">
        <w:t>is imposed.</w:t>
      </w:r>
    </w:p>
    <w:p w14:paraId="16DAEE81" w14:textId="77777777" w:rsidR="00B26E4F" w:rsidRPr="008E0D00" w:rsidRDefault="00B26E4F" w:rsidP="0031508B">
      <w:pPr>
        <w:pStyle w:val="Heading5"/>
        <w:shd w:val="clear" w:color="auto" w:fill="FFFFFF"/>
        <w:spacing w:before="120" w:beforeAutospacing="0" w:after="120" w:afterAutospacing="0" w:line="288" w:lineRule="atLeast"/>
        <w:rPr>
          <w:rFonts w:ascii="Arial" w:hAnsi="Arial" w:cs="Arial"/>
          <w:color w:val="000000"/>
          <w:sz w:val="18"/>
          <w:szCs w:val="18"/>
        </w:rPr>
      </w:pPr>
    </w:p>
    <w:p w14:paraId="289213C6" w14:textId="3534D199" w:rsidR="008E0D00" w:rsidRDefault="008E0D00" w:rsidP="008E0D00">
      <w:pPr>
        <w:pStyle w:val="Heading5"/>
        <w:shd w:val="clear" w:color="auto" w:fill="FFFFFF"/>
        <w:spacing w:before="120" w:beforeAutospacing="0" w:after="120" w:afterAutospacing="0" w:line="288" w:lineRule="atLeast"/>
        <w:rPr>
          <w:rFonts w:ascii="Arial" w:hAnsi="Arial" w:cs="Arial"/>
          <w:color w:val="000000"/>
          <w:sz w:val="18"/>
          <w:szCs w:val="18"/>
          <w:u w:val="single"/>
        </w:rPr>
      </w:pPr>
      <w:hyperlink r:id="rId38" w:history="1">
        <w:r w:rsidRPr="008E0D00">
          <w:rPr>
            <w:rStyle w:val="Hyperlink"/>
            <w:rFonts w:ascii="Arial" w:hAnsi="Arial" w:cs="Arial"/>
            <w:color w:val="2790C4"/>
            <w:sz w:val="18"/>
            <w:szCs w:val="18"/>
          </w:rPr>
          <w:t>Section 338</w:t>
        </w:r>
      </w:hyperlink>
      <w:r w:rsidRPr="008E0D00">
        <w:rPr>
          <w:rFonts w:ascii="Arial" w:hAnsi="Arial" w:cs="Arial"/>
          <w:color w:val="000000"/>
          <w:sz w:val="18"/>
          <w:szCs w:val="18"/>
          <w:u w:val="single"/>
        </w:rPr>
        <w:t>: Authorised disclosures</w:t>
      </w:r>
    </w:p>
    <w:p w14:paraId="4659A104" w14:textId="77777777" w:rsidR="008E0D00" w:rsidRPr="008E0D00" w:rsidRDefault="008E0D00" w:rsidP="008E0D00">
      <w:pPr>
        <w:pStyle w:val="Heading5"/>
        <w:shd w:val="clear" w:color="auto" w:fill="FFFFFF"/>
        <w:spacing w:before="120" w:beforeAutospacing="0" w:after="120" w:afterAutospacing="0" w:line="288" w:lineRule="atLeast"/>
        <w:rPr>
          <w:rFonts w:ascii="Arial" w:hAnsi="Arial" w:cs="Arial"/>
          <w:color w:val="000000"/>
          <w:sz w:val="18"/>
          <w:szCs w:val="18"/>
          <w:u w:val="single"/>
        </w:rPr>
      </w:pPr>
    </w:p>
    <w:p w14:paraId="764566AB" w14:textId="34C0085F" w:rsidR="000A2ADC" w:rsidRDefault="008E0D00" w:rsidP="000A2ADC">
      <w:pPr>
        <w:spacing w:line="360" w:lineRule="auto"/>
        <w:rPr>
          <w:rFonts w:ascii="Arial" w:hAnsi="Arial" w:cs="Arial"/>
          <w:color w:val="000000"/>
          <w:sz w:val="18"/>
          <w:szCs w:val="18"/>
          <w:shd w:val="clear" w:color="auto" w:fill="FFFFFF"/>
        </w:rPr>
      </w:pPr>
      <w:hyperlink r:id="rId39" w:history="1">
        <w:r>
          <w:rPr>
            <w:rStyle w:val="Hyperlink"/>
            <w:rFonts w:ascii="Arial" w:hAnsi="Arial" w:cs="Arial"/>
            <w:i/>
            <w:iCs/>
            <w:color w:val="2790C4"/>
            <w:sz w:val="18"/>
            <w:szCs w:val="18"/>
            <w:shd w:val="clear" w:color="auto" w:fill="FFFFFF"/>
          </w:rPr>
          <w:t>Section 338</w:t>
        </w:r>
      </w:hyperlink>
      <w:r>
        <w:rPr>
          <w:rFonts w:ascii="Arial" w:hAnsi="Arial" w:cs="Arial"/>
          <w:color w:val="000000"/>
          <w:sz w:val="18"/>
          <w:szCs w:val="18"/>
          <w:shd w:val="clear" w:color="auto" w:fill="FFFFFF"/>
        </w:rPr>
        <w:t> sets out the circumstances in which a disclosure will be ‘authorised’ for the purposes of affording a defence to the principal money laundering offences in </w:t>
      </w:r>
      <w:hyperlink r:id="rId40" w:history="1">
        <w:r>
          <w:rPr>
            <w:rStyle w:val="Hyperlink"/>
            <w:rFonts w:ascii="Arial" w:hAnsi="Arial" w:cs="Arial"/>
            <w:i/>
            <w:iCs/>
            <w:color w:val="2790C4"/>
            <w:sz w:val="18"/>
            <w:szCs w:val="18"/>
            <w:shd w:val="clear" w:color="auto" w:fill="FFFFFF"/>
          </w:rPr>
          <w:t>sections 327</w:t>
        </w:r>
      </w:hyperlink>
      <w:r>
        <w:rPr>
          <w:rFonts w:ascii="Arial" w:hAnsi="Arial" w:cs="Arial"/>
          <w:color w:val="000000"/>
          <w:sz w:val="18"/>
          <w:szCs w:val="18"/>
          <w:shd w:val="clear" w:color="auto" w:fill="FFFFFF"/>
        </w:rPr>
        <w:t> to</w:t>
      </w:r>
      <w:r>
        <w:rPr>
          <w:rStyle w:val="Emphasis"/>
          <w:rFonts w:ascii="Arial" w:hAnsi="Arial" w:cs="Arial"/>
          <w:color w:val="000000"/>
          <w:sz w:val="18"/>
          <w:szCs w:val="18"/>
          <w:shd w:val="clear" w:color="auto" w:fill="FFFFFF"/>
        </w:rPr>
        <w:t> </w:t>
      </w:r>
      <w:hyperlink r:id="rId41" w:history="1">
        <w:r>
          <w:rPr>
            <w:rStyle w:val="Hyperlink"/>
            <w:rFonts w:ascii="Arial" w:hAnsi="Arial" w:cs="Arial"/>
            <w:i/>
            <w:iCs/>
            <w:color w:val="2790C4"/>
            <w:sz w:val="18"/>
            <w:szCs w:val="18"/>
            <w:shd w:val="clear" w:color="auto" w:fill="FFFFFF"/>
          </w:rPr>
          <w:t>329</w:t>
        </w:r>
      </w:hyperlink>
      <w:r>
        <w:rPr>
          <w:rFonts w:ascii="Arial" w:hAnsi="Arial" w:cs="Arial"/>
          <w:color w:val="000000"/>
          <w:sz w:val="18"/>
          <w:szCs w:val="18"/>
          <w:shd w:val="clear" w:color="auto" w:fill="FFFFFF"/>
        </w:rPr>
        <w:t>. Where a disclosure is ‘authorised’ for these purposes, then it is not to be taken to breach any rule which would otherwise restrict that disclosure.</w:t>
      </w:r>
    </w:p>
    <w:p w14:paraId="460E064B" w14:textId="7782E666" w:rsidR="008E0D00" w:rsidRDefault="008E0D00" w:rsidP="000A2ADC">
      <w:pPr>
        <w:spacing w:line="360" w:lineRule="auto"/>
        <w:rPr>
          <w:rFonts w:ascii="Arial" w:hAnsi="Arial" w:cs="Arial"/>
          <w:color w:val="000000"/>
          <w:sz w:val="18"/>
          <w:szCs w:val="18"/>
          <w:shd w:val="clear" w:color="auto" w:fill="FFFFFF"/>
        </w:rPr>
      </w:pPr>
      <w:r>
        <w:rPr>
          <w:rFonts w:ascii="Arial" w:hAnsi="Arial" w:cs="Arial"/>
          <w:color w:val="000000"/>
          <w:sz w:val="18"/>
          <w:szCs w:val="18"/>
          <w:shd w:val="clear" w:color="auto" w:fill="FFFFFF"/>
        </w:rPr>
        <w:t xml:space="preserve">This is necessary because, in the course of their business, those working inside or outside the regulated sector may need to complete a transaction that they </w:t>
      </w:r>
      <w:proofErr w:type="gramStart"/>
      <w:r>
        <w:rPr>
          <w:rFonts w:ascii="Arial" w:hAnsi="Arial" w:cs="Arial"/>
          <w:color w:val="000000"/>
          <w:sz w:val="18"/>
          <w:szCs w:val="18"/>
          <w:shd w:val="clear" w:color="auto" w:fill="FFFFFF"/>
        </w:rPr>
        <w:t>know</w:t>
      </w:r>
      <w:proofErr w:type="gramEnd"/>
      <w:r>
        <w:rPr>
          <w:rFonts w:ascii="Arial" w:hAnsi="Arial" w:cs="Arial"/>
          <w:color w:val="000000"/>
          <w:sz w:val="18"/>
          <w:szCs w:val="18"/>
          <w:shd w:val="clear" w:color="auto" w:fill="FFFFFF"/>
        </w:rPr>
        <w:t xml:space="preserve"> or suspect could constitute one of the three principal money laundering offences. This section gives them the means of obtaining the authorisation necessary to complete the transaction, if the disclosure is made before a transaction is completed; or provides a defence against the failure to disclose offence if the disclosure is made as soon as possible after the transaction has taken place and there was a good reason not to make it before.</w:t>
      </w:r>
    </w:p>
    <w:p w14:paraId="1A14BC6B" w14:textId="77777777" w:rsidR="008E0D00" w:rsidRDefault="008E0D00" w:rsidP="008E0D00">
      <w:pPr>
        <w:pStyle w:val="Heading5"/>
        <w:shd w:val="clear" w:color="auto" w:fill="FFFFFF"/>
        <w:spacing w:before="120" w:beforeAutospacing="0" w:after="120" w:afterAutospacing="0" w:line="288" w:lineRule="atLeast"/>
        <w:rPr>
          <w:rFonts w:ascii="Arial" w:hAnsi="Arial" w:cs="Arial"/>
          <w:color w:val="000000"/>
          <w:sz w:val="18"/>
          <w:szCs w:val="18"/>
        </w:rPr>
      </w:pPr>
      <w:hyperlink r:id="rId42" w:history="1">
        <w:r>
          <w:rPr>
            <w:rStyle w:val="Hyperlink"/>
            <w:rFonts w:ascii="Arial" w:hAnsi="Arial" w:cs="Arial"/>
            <w:color w:val="2790C4"/>
            <w:sz w:val="18"/>
            <w:szCs w:val="18"/>
          </w:rPr>
          <w:t>Section 340</w:t>
        </w:r>
      </w:hyperlink>
      <w:r>
        <w:rPr>
          <w:rFonts w:ascii="Arial" w:hAnsi="Arial" w:cs="Arial"/>
          <w:color w:val="000000"/>
          <w:sz w:val="18"/>
          <w:szCs w:val="18"/>
        </w:rPr>
        <w:t>: Interpretation</w:t>
      </w:r>
    </w:p>
    <w:p w14:paraId="288D0833" w14:textId="45805043" w:rsidR="008E0D00" w:rsidRPr="008E0D00" w:rsidRDefault="008E0D00" w:rsidP="008E0D00">
      <w:pPr>
        <w:pStyle w:val="ennumparacontainer"/>
        <w:shd w:val="clear" w:color="auto" w:fill="FFFFFF"/>
        <w:spacing w:before="0" w:beforeAutospacing="0" w:after="0" w:afterAutospacing="0" w:line="360" w:lineRule="atLeast"/>
        <w:rPr>
          <w:rFonts w:ascii="Arial" w:hAnsi="Arial" w:cs="Arial"/>
          <w:color w:val="000000"/>
          <w:sz w:val="19"/>
          <w:szCs w:val="19"/>
        </w:rPr>
      </w:pPr>
      <w:r w:rsidRPr="008E0D00">
        <w:rPr>
          <w:rStyle w:val="Emphasis"/>
          <w:rFonts w:ascii="Arial" w:hAnsi="Arial" w:cs="Arial"/>
          <w:color w:val="000000"/>
          <w:sz w:val="19"/>
          <w:szCs w:val="19"/>
        </w:rPr>
        <w:t>Subsection (</w:t>
      </w:r>
      <w:hyperlink r:id="rId43" w:history="1">
        <w:r w:rsidRPr="008E0D00">
          <w:rPr>
            <w:rStyle w:val="Hyperlink"/>
            <w:rFonts w:ascii="Arial" w:hAnsi="Arial" w:cs="Arial"/>
            <w:i/>
            <w:iCs/>
            <w:color w:val="2790C4"/>
            <w:sz w:val="18"/>
            <w:szCs w:val="18"/>
            <w:u w:val="none"/>
          </w:rPr>
          <w:t>12</w:t>
        </w:r>
      </w:hyperlink>
      <w:r w:rsidRPr="008E0D00">
        <w:rPr>
          <w:rStyle w:val="Emphasis"/>
          <w:rFonts w:ascii="Arial" w:hAnsi="Arial" w:cs="Arial"/>
          <w:color w:val="000000"/>
          <w:sz w:val="19"/>
          <w:szCs w:val="19"/>
        </w:rPr>
        <w:t>)</w:t>
      </w:r>
      <w:r w:rsidRPr="008E0D00">
        <w:rPr>
          <w:rStyle w:val="ends"/>
          <w:rFonts w:ascii="Arial" w:hAnsi="Arial" w:cs="Arial"/>
          <w:color w:val="000000"/>
          <w:sz w:val="19"/>
          <w:szCs w:val="19"/>
        </w:rPr>
        <w:t> ensures that where Part 7 permits disclosure to a nominated officer, (under </w:t>
      </w:r>
      <w:hyperlink r:id="rId44" w:history="1">
        <w:r w:rsidRPr="008E0D00">
          <w:rPr>
            <w:rStyle w:val="Hyperlink"/>
            <w:rFonts w:ascii="Arial" w:hAnsi="Arial" w:cs="Arial"/>
            <w:i/>
            <w:iCs/>
            <w:color w:val="2790C4"/>
            <w:sz w:val="18"/>
            <w:szCs w:val="18"/>
            <w:u w:val="none"/>
          </w:rPr>
          <w:t>sections 330</w:t>
        </w:r>
      </w:hyperlink>
      <w:r w:rsidRPr="008E0D00">
        <w:rPr>
          <w:rStyle w:val="ends"/>
          <w:rFonts w:ascii="Arial" w:hAnsi="Arial" w:cs="Arial"/>
          <w:color w:val="000000"/>
          <w:sz w:val="19"/>
          <w:szCs w:val="19"/>
        </w:rPr>
        <w:t>, </w:t>
      </w:r>
      <w:hyperlink r:id="rId45" w:history="1">
        <w:r w:rsidRPr="008E0D00">
          <w:rPr>
            <w:rStyle w:val="Hyperlink"/>
            <w:rFonts w:ascii="Arial" w:hAnsi="Arial" w:cs="Arial"/>
            <w:i/>
            <w:iCs/>
            <w:color w:val="2790C4"/>
            <w:sz w:val="18"/>
            <w:szCs w:val="18"/>
            <w:u w:val="none"/>
          </w:rPr>
          <w:t>337</w:t>
        </w:r>
      </w:hyperlink>
      <w:r w:rsidRPr="008E0D00">
        <w:rPr>
          <w:rStyle w:val="ends"/>
          <w:rFonts w:ascii="Arial" w:hAnsi="Arial" w:cs="Arial"/>
          <w:color w:val="000000"/>
          <w:sz w:val="19"/>
          <w:szCs w:val="19"/>
        </w:rPr>
        <w:t> and </w:t>
      </w:r>
      <w:hyperlink r:id="rId46" w:history="1">
        <w:r w:rsidRPr="008E0D00">
          <w:rPr>
            <w:rStyle w:val="Hyperlink"/>
            <w:rFonts w:ascii="Arial" w:hAnsi="Arial" w:cs="Arial"/>
            <w:i/>
            <w:iCs/>
            <w:color w:val="2790C4"/>
            <w:sz w:val="18"/>
            <w:szCs w:val="18"/>
            <w:u w:val="none"/>
          </w:rPr>
          <w:t>338</w:t>
        </w:r>
      </w:hyperlink>
      <w:r w:rsidRPr="008E0D00">
        <w:rPr>
          <w:rStyle w:val="ends"/>
          <w:rFonts w:ascii="Arial" w:hAnsi="Arial" w:cs="Arial"/>
          <w:color w:val="000000"/>
          <w:sz w:val="19"/>
          <w:szCs w:val="19"/>
        </w:rPr>
        <w:t>) not only employees, but people exercising functions in relation to an organisation who are not technically employees, will also be able to disclose to a nominated officer, if the organisation has set one up. Directors, partners and volunteers for example will be able to make a report to a nominated officer, if their organisation has one. The liability for reporting to NCIS or a constable, if appropriate, then falls on the nominated officer by virtue of </w:t>
      </w:r>
      <w:hyperlink r:id="rId47" w:history="1">
        <w:r w:rsidRPr="008E0D00">
          <w:rPr>
            <w:rStyle w:val="Hyperlink"/>
            <w:rFonts w:ascii="Arial" w:hAnsi="Arial" w:cs="Arial"/>
            <w:i/>
            <w:iCs/>
            <w:color w:val="2790C4"/>
            <w:sz w:val="18"/>
            <w:szCs w:val="18"/>
            <w:u w:val="none"/>
          </w:rPr>
          <w:t>sections 331</w:t>
        </w:r>
      </w:hyperlink>
      <w:r w:rsidRPr="008E0D00">
        <w:rPr>
          <w:rStyle w:val="ends"/>
          <w:rFonts w:ascii="Arial" w:hAnsi="Arial" w:cs="Arial"/>
          <w:color w:val="000000"/>
          <w:sz w:val="19"/>
          <w:szCs w:val="19"/>
        </w:rPr>
        <w:t> and</w:t>
      </w:r>
      <w:r w:rsidRPr="008E0D00">
        <w:rPr>
          <w:rStyle w:val="Emphasis"/>
          <w:rFonts w:ascii="Arial" w:hAnsi="Arial" w:cs="Arial"/>
          <w:color w:val="000000"/>
          <w:sz w:val="19"/>
          <w:szCs w:val="19"/>
        </w:rPr>
        <w:t> </w:t>
      </w:r>
      <w:hyperlink r:id="rId48" w:history="1">
        <w:r w:rsidRPr="008E0D00">
          <w:rPr>
            <w:rStyle w:val="Hyperlink"/>
            <w:rFonts w:ascii="Arial" w:hAnsi="Arial" w:cs="Arial"/>
            <w:i/>
            <w:iCs/>
            <w:color w:val="2790C4"/>
            <w:sz w:val="18"/>
            <w:szCs w:val="18"/>
            <w:u w:val="none"/>
          </w:rPr>
          <w:t>332</w:t>
        </w:r>
      </w:hyperlink>
      <w:r w:rsidRPr="008E0D00">
        <w:rPr>
          <w:rStyle w:val="ends"/>
          <w:rFonts w:ascii="Arial" w:hAnsi="Arial" w:cs="Arial"/>
          <w:color w:val="000000"/>
          <w:sz w:val="19"/>
          <w:szCs w:val="19"/>
        </w:rPr>
        <w:t>.</w:t>
      </w:r>
    </w:p>
    <w:p w14:paraId="73CDCFFC" w14:textId="5D2A17E8" w:rsidR="008E0D00" w:rsidRDefault="008E0D00" w:rsidP="000A2ADC">
      <w:pPr>
        <w:spacing w:line="360" w:lineRule="auto"/>
      </w:pPr>
    </w:p>
    <w:p w14:paraId="5384AA23" w14:textId="77777777" w:rsidR="004544D5" w:rsidRPr="00AB2EC1" w:rsidRDefault="004544D5" w:rsidP="00AB2EC1">
      <w:pPr>
        <w:rPr>
          <w:b/>
        </w:rPr>
      </w:pPr>
      <w:r w:rsidRPr="00AB2EC1">
        <w:rPr>
          <w:b/>
        </w:rPr>
        <w:t>Counter-Terrorism Act 2008</w:t>
      </w:r>
    </w:p>
    <w:p w14:paraId="278D952C" w14:textId="77777777" w:rsidR="004544D5" w:rsidRPr="00AB2EC1" w:rsidRDefault="004544D5" w:rsidP="00AB2EC1"/>
    <w:p w14:paraId="7ABB9D23" w14:textId="77777777" w:rsidR="004544D5" w:rsidRPr="00AB2EC1" w:rsidRDefault="004544D5" w:rsidP="00AB2EC1"/>
    <w:p w14:paraId="518A78D8" w14:textId="77777777" w:rsidR="004544D5" w:rsidRPr="00AB2EC1" w:rsidRDefault="004544D5" w:rsidP="00AB2EC1">
      <w:pPr>
        <w:rPr>
          <w:b/>
        </w:rPr>
      </w:pPr>
      <w:r w:rsidRPr="00AB2EC1">
        <w:rPr>
          <w:b/>
        </w:rPr>
        <w:lastRenderedPageBreak/>
        <w:t>The Money Laundering Regulations 2007</w:t>
      </w:r>
    </w:p>
    <w:p w14:paraId="5B73E48A" w14:textId="77777777" w:rsidR="00B421C6" w:rsidRDefault="00B421C6" w:rsidP="000A2ADC">
      <w:pPr>
        <w:spacing w:line="360" w:lineRule="auto"/>
      </w:pPr>
    </w:p>
    <w:p w14:paraId="7A3293CA" w14:textId="1240BB36" w:rsidR="004544D5" w:rsidRDefault="00B421C6" w:rsidP="000A2ADC">
      <w:pPr>
        <w:spacing w:line="360" w:lineRule="auto"/>
      </w:pPr>
      <w:r>
        <w:t xml:space="preserve">Criminal offence to breach any of the </w:t>
      </w:r>
      <w:proofErr w:type="gramStart"/>
      <w:r>
        <w:t>regulations</w:t>
      </w:r>
      <w:proofErr w:type="gramEnd"/>
      <w:r>
        <w:t xml:space="preserve"> regulation 45</w:t>
      </w:r>
    </w:p>
    <w:p w14:paraId="585AB7EB" w14:textId="408F8DC8" w:rsidR="00B421C6" w:rsidRPr="00AB2EC1" w:rsidRDefault="00B421C6" w:rsidP="000A2ADC">
      <w:pPr>
        <w:spacing w:line="360" w:lineRule="auto"/>
        <w:rPr>
          <w:b/>
        </w:rPr>
      </w:pPr>
      <w:r w:rsidRPr="00AB2EC1">
        <w:rPr>
          <w:b/>
        </w:rPr>
        <w:t xml:space="preserve">14 EDD </w:t>
      </w:r>
    </w:p>
    <w:p w14:paraId="5E3EFA1C" w14:textId="05099CC7" w:rsidR="00B421C6" w:rsidRDefault="00B421C6" w:rsidP="000A2ADC">
      <w:pPr>
        <w:spacing w:line="360" w:lineRule="auto"/>
      </w:pPr>
      <w:r>
        <w:t>(3)</w:t>
      </w:r>
    </w:p>
    <w:p w14:paraId="5CD03B48" w14:textId="5642412D" w:rsidR="00B421C6" w:rsidRPr="0021189C" w:rsidRDefault="00B421C6" w:rsidP="000A2ADC">
      <w:pPr>
        <w:spacing w:line="360" w:lineRule="auto"/>
        <w:rPr>
          <w:b/>
        </w:rPr>
      </w:pPr>
      <w:r w:rsidRPr="0021189C">
        <w:rPr>
          <w:b/>
        </w:rPr>
        <w:t>20Policies and procedures</w:t>
      </w:r>
    </w:p>
    <w:p w14:paraId="46CB3FFA" w14:textId="52B474CE" w:rsidR="00617305" w:rsidRDefault="00617305" w:rsidP="000A2ADC">
      <w:pPr>
        <w:spacing w:line="360" w:lineRule="auto"/>
      </w:pPr>
      <w:r>
        <w:t xml:space="preserve">Relevant person is a financial institution </w:t>
      </w:r>
    </w:p>
    <w:p w14:paraId="6FF1E2F7" w14:textId="2D2C24C3" w:rsidR="00617305" w:rsidRDefault="00617305" w:rsidP="000A2ADC">
      <w:pPr>
        <w:spacing w:line="360" w:lineRule="auto"/>
      </w:pPr>
      <w:r>
        <w:t xml:space="preserve">Breaching any of the requirement means a relevant person can have civil liability imposed. </w:t>
      </w:r>
    </w:p>
    <w:p w14:paraId="118B1752" w14:textId="7DE1CA6D" w:rsidR="00617305" w:rsidRDefault="00617305" w:rsidP="00AB2EC1">
      <w:pPr>
        <w:spacing w:line="360" w:lineRule="auto"/>
      </w:pPr>
      <w:r w:rsidRPr="00AB2EC1">
        <w:t xml:space="preserve">For criminal liability to apply to a body corporate (instead of a person) they must be </w:t>
      </w:r>
      <w:r w:rsidR="00AB2EC1" w:rsidRPr="00AB2EC1">
        <w:t>a director, manager, secretary, chief executive, member of the committee of management, or a person purporting to act in such a capacity</w:t>
      </w:r>
    </w:p>
    <w:p w14:paraId="6D0C33EC" w14:textId="5AFA2A0F" w:rsidR="00D509F6" w:rsidRPr="00AF3B52" w:rsidRDefault="00D509F6" w:rsidP="00AB2EC1">
      <w:pPr>
        <w:spacing w:line="360" w:lineRule="auto"/>
        <w:rPr>
          <w:b/>
        </w:rPr>
      </w:pPr>
      <w:r w:rsidRPr="00AF3B52">
        <w:rPr>
          <w:b/>
        </w:rPr>
        <w:t>Regulation 7(3)(a)</w:t>
      </w:r>
    </w:p>
    <w:p w14:paraId="4A2C5957" w14:textId="3A414738" w:rsidR="009E1C2F" w:rsidRPr="00AF3B52" w:rsidRDefault="009E1C2F" w:rsidP="00AB2EC1">
      <w:pPr>
        <w:spacing w:line="360" w:lineRule="auto"/>
        <w:rPr>
          <w:b/>
        </w:rPr>
      </w:pPr>
      <w:r w:rsidRPr="00AF3B52">
        <w:rPr>
          <w:b/>
        </w:rPr>
        <w:t>Regulation 11(1)</w:t>
      </w:r>
    </w:p>
    <w:p w14:paraId="75561385" w14:textId="4833595D" w:rsidR="009E1C2F" w:rsidRDefault="009E1C2F" w:rsidP="00AB2EC1">
      <w:pPr>
        <w:spacing w:line="360" w:lineRule="auto"/>
      </w:pPr>
      <w:r>
        <w:t>If the firm concludes that the circumstances do give reasonable grounds for knowledge or suspicion of money laundering or terrorist financing, a report must be made to SOCA (see Chapter 7).</w:t>
      </w:r>
    </w:p>
    <w:p w14:paraId="74F82E82" w14:textId="3DEA21B3" w:rsidR="009E1C2F" w:rsidRDefault="009E1C2F" w:rsidP="00AB2EC1">
      <w:pPr>
        <w:spacing w:line="360" w:lineRule="auto"/>
      </w:pPr>
      <w:r w:rsidRPr="00AF3B52">
        <w:rPr>
          <w:b/>
        </w:rPr>
        <w:t>Regulation 5(1)</w:t>
      </w:r>
      <w:r>
        <w:t xml:space="preserve"> 5.3.1 Applying CDD measures involves several steps. The firm is required to verify the identity of customers and, where applicable, beneficial owners. Information on the purpose and intended nature of the business relationship must also be obtained.</w:t>
      </w:r>
    </w:p>
    <w:p w14:paraId="5A1BB687" w14:textId="196933A7" w:rsidR="009E1C2F" w:rsidRDefault="009E1C2F" w:rsidP="00AB2EC1">
      <w:pPr>
        <w:spacing w:line="360" w:lineRule="auto"/>
      </w:pPr>
      <w:r>
        <w:t>The firm identifies the customer by obtaining a range of information about him. The verification of the identity consists of the firm verifying some of this information against documents, data or information obtained from a reliable and independent source.</w:t>
      </w:r>
    </w:p>
    <w:p w14:paraId="73EF3DFE" w14:textId="5819412F" w:rsidR="000E67D1" w:rsidRDefault="000E67D1" w:rsidP="00AB2EC1">
      <w:pPr>
        <w:spacing w:line="360" w:lineRule="auto"/>
      </w:pPr>
      <w:r w:rsidRPr="00AF3B52">
        <w:rPr>
          <w:b/>
        </w:rPr>
        <w:t>Regulation 2(1)</w:t>
      </w:r>
      <w:r>
        <w:t xml:space="preserve"> 5.3.5 A “business relationship” is defined in the ML Regulations as a business, professional or commercial relationship between a firm and a customer, which is expected by the firm when contact is established to have an element of duration. A relationship need not involve the firm in an actual transaction;</w:t>
      </w:r>
    </w:p>
    <w:p w14:paraId="5BE68FC6" w14:textId="531BF930" w:rsidR="000E67D1" w:rsidRDefault="000E67D1" w:rsidP="00AB2EC1">
      <w:pPr>
        <w:spacing w:line="360" w:lineRule="auto"/>
      </w:pPr>
      <w:r>
        <w:t>Where a higher risk of money laundering is associated with the business relationship, however, EDD (and enhanced monitoring) must be applied.</w:t>
      </w:r>
    </w:p>
    <w:p w14:paraId="733377E2" w14:textId="5C08BA5B" w:rsidR="000E67D1" w:rsidRDefault="000E67D1" w:rsidP="00AB2EC1">
      <w:pPr>
        <w:spacing w:line="360" w:lineRule="auto"/>
      </w:pPr>
      <w:r w:rsidRPr="00AF3B52">
        <w:rPr>
          <w:b/>
        </w:rPr>
        <w:lastRenderedPageBreak/>
        <w:t>Regulation 14 (1)</w:t>
      </w:r>
      <w:r>
        <w:t xml:space="preserve"> : As a part of a risk-based approach, therefore, firms should hold sufficient information about the circumstances and business of their customers and, where applicable, their customers’ beneficial owners, for two principal reasons: </w:t>
      </w:r>
      <w:r>
        <w:sym w:font="Symbol" w:char="F0D8"/>
      </w:r>
      <w:r>
        <w:t xml:space="preserve"> to inform its risk assessment process, and thus manage its money laundering/terrorist financing risks effectively; and </w:t>
      </w:r>
      <w:r>
        <w:sym w:font="Symbol" w:char="F0D8"/>
      </w:r>
      <w:r>
        <w:t xml:space="preserve"> to provide a basis for monitoring customer activity and transactions, thus increasing the likelihood that they will detect the use of their products and services for money laundering and terrorist financing.</w:t>
      </w:r>
    </w:p>
    <w:p w14:paraId="55E21BA2" w14:textId="529CAB02" w:rsidR="000E67D1" w:rsidRDefault="000E67D1" w:rsidP="00AB2EC1">
      <w:pPr>
        <w:spacing w:line="360" w:lineRule="auto"/>
      </w:pPr>
      <w:r>
        <w:t>A firm should hold a fuller set of information in respect of those business relationships it assessed as carrying a higher money laundering or terrorist financing risk, or where the customer is seeking a product or service that carries a higher risk of being used for money laundering or terrorist financing purposes.</w:t>
      </w:r>
    </w:p>
    <w:p w14:paraId="5F593F32" w14:textId="480518DC" w:rsidR="00DF67EE" w:rsidRDefault="00DF67EE" w:rsidP="00AB2EC1">
      <w:pPr>
        <w:spacing w:line="360" w:lineRule="auto"/>
      </w:pPr>
      <w:r w:rsidRPr="00AF3B52">
        <w:rPr>
          <w:b/>
        </w:rPr>
        <w:t>Regulation 14(4)(b)</w:t>
      </w:r>
      <w:r>
        <w:t xml:space="preserve"> 5.5.28 It is for each firm to decide the steps it takes to determine whether a PEP is seeking to establish a business relationship for legitimate reasons. Firms should, in any case, take adequate and meaningful measures to establish the source of funds and source of wealth. Firms may wish to refer to information sources such as asset and income declarations, which some jurisdictions expect certain senior public officials to file and which often include information about an official’s source of wealth and current business interests. Firms should note that not all declarations are </w:t>
      </w:r>
      <w:proofErr w:type="spellStart"/>
      <w:r>
        <w:t>publ</w:t>
      </w:r>
      <w:proofErr w:type="spellEnd"/>
    </w:p>
    <w:p w14:paraId="1AF23CC4" w14:textId="77777777" w:rsidR="007C0459" w:rsidRPr="007C0459" w:rsidRDefault="007C0459" w:rsidP="007C0459">
      <w:pPr>
        <w:shd w:val="clear" w:color="auto" w:fill="FFFFFF"/>
        <w:spacing w:after="120" w:line="360" w:lineRule="atLeast"/>
        <w:ind w:firstLine="240"/>
        <w:jc w:val="both"/>
        <w:rPr>
          <w:rFonts w:ascii="Arial" w:eastAsia="Times New Roman" w:hAnsi="Arial" w:cs="Arial"/>
          <w:color w:val="494949"/>
          <w:sz w:val="19"/>
          <w:szCs w:val="19"/>
          <w:lang w:eastAsia="en-GB"/>
        </w:rPr>
      </w:pPr>
      <w:r w:rsidRPr="007C0459">
        <w:rPr>
          <w:rFonts w:ascii="Arial" w:eastAsia="Times New Roman" w:hAnsi="Arial" w:cs="Arial"/>
          <w:color w:val="494949"/>
          <w:sz w:val="19"/>
          <w:szCs w:val="19"/>
          <w:lang w:eastAsia="en-GB"/>
        </w:rPr>
        <w:t xml:space="preserve">(4) A relevant person who proposes to have a business relationship or carry out an occasional transaction with a politically exposed person must— </w:t>
      </w:r>
    </w:p>
    <w:p w14:paraId="5A11EAD1" w14:textId="77777777" w:rsidR="007C0459" w:rsidRPr="007C0459" w:rsidRDefault="007C0459" w:rsidP="007C0459">
      <w:pPr>
        <w:shd w:val="clear" w:color="auto" w:fill="FFFFFF"/>
        <w:spacing w:after="120" w:line="360" w:lineRule="atLeast"/>
        <w:rPr>
          <w:rFonts w:ascii="Arial" w:eastAsia="Times New Roman" w:hAnsi="Arial" w:cs="Arial"/>
          <w:color w:val="494949"/>
          <w:sz w:val="19"/>
          <w:szCs w:val="19"/>
          <w:lang w:eastAsia="en-GB"/>
        </w:rPr>
      </w:pPr>
      <w:r w:rsidRPr="007C0459">
        <w:rPr>
          <w:rFonts w:ascii="Arial" w:eastAsia="Times New Roman" w:hAnsi="Arial" w:cs="Arial"/>
          <w:color w:val="494949"/>
          <w:sz w:val="19"/>
          <w:szCs w:val="19"/>
          <w:lang w:eastAsia="en-GB"/>
        </w:rPr>
        <w:t>(a)have approval from senior management for establishing the business relationship with that person;</w:t>
      </w:r>
    </w:p>
    <w:p w14:paraId="7C6A35EE" w14:textId="77777777" w:rsidR="007C0459" w:rsidRPr="007C0459" w:rsidRDefault="007C0459" w:rsidP="007C0459">
      <w:pPr>
        <w:shd w:val="clear" w:color="auto" w:fill="FFFFFF"/>
        <w:spacing w:after="120" w:line="360" w:lineRule="atLeast"/>
        <w:rPr>
          <w:rFonts w:ascii="Arial" w:eastAsia="Times New Roman" w:hAnsi="Arial" w:cs="Arial"/>
          <w:b/>
          <w:color w:val="494949"/>
          <w:sz w:val="19"/>
          <w:szCs w:val="19"/>
          <w:lang w:eastAsia="en-GB"/>
        </w:rPr>
      </w:pPr>
      <w:r w:rsidRPr="007C0459">
        <w:rPr>
          <w:rFonts w:ascii="Arial" w:eastAsia="Times New Roman" w:hAnsi="Arial" w:cs="Arial"/>
          <w:b/>
          <w:color w:val="494949"/>
          <w:sz w:val="19"/>
          <w:szCs w:val="19"/>
          <w:lang w:eastAsia="en-GB"/>
        </w:rPr>
        <w:t>(b)take adequate measures to establish the source of wealth and source of funds which are involved in the proposed business relationship or occasional transaction; and</w:t>
      </w:r>
    </w:p>
    <w:p w14:paraId="11A3DBC8" w14:textId="77777777" w:rsidR="007C0459" w:rsidRPr="007C0459" w:rsidRDefault="007C0459" w:rsidP="007C0459">
      <w:pPr>
        <w:shd w:val="clear" w:color="auto" w:fill="FFFFFF"/>
        <w:spacing w:after="120" w:line="360" w:lineRule="atLeast"/>
        <w:rPr>
          <w:rFonts w:ascii="Arial" w:eastAsia="Times New Roman" w:hAnsi="Arial" w:cs="Arial"/>
          <w:color w:val="494949"/>
          <w:sz w:val="19"/>
          <w:szCs w:val="19"/>
          <w:lang w:eastAsia="en-GB"/>
        </w:rPr>
      </w:pPr>
      <w:r w:rsidRPr="007C0459">
        <w:rPr>
          <w:rFonts w:ascii="Arial" w:eastAsia="Times New Roman" w:hAnsi="Arial" w:cs="Arial"/>
          <w:color w:val="494949"/>
          <w:sz w:val="19"/>
          <w:szCs w:val="19"/>
          <w:lang w:eastAsia="en-GB"/>
        </w:rPr>
        <w:t xml:space="preserve">(c)where the business relationship is </w:t>
      </w:r>
      <w:proofErr w:type="gramStart"/>
      <w:r w:rsidRPr="007C0459">
        <w:rPr>
          <w:rFonts w:ascii="Arial" w:eastAsia="Times New Roman" w:hAnsi="Arial" w:cs="Arial"/>
          <w:color w:val="494949"/>
          <w:sz w:val="19"/>
          <w:szCs w:val="19"/>
          <w:lang w:eastAsia="en-GB"/>
        </w:rPr>
        <w:t>entered into</w:t>
      </w:r>
      <w:proofErr w:type="gramEnd"/>
      <w:r w:rsidRPr="007C0459">
        <w:rPr>
          <w:rFonts w:ascii="Arial" w:eastAsia="Times New Roman" w:hAnsi="Arial" w:cs="Arial"/>
          <w:color w:val="494949"/>
          <w:sz w:val="19"/>
          <w:szCs w:val="19"/>
          <w:lang w:eastAsia="en-GB"/>
        </w:rPr>
        <w:t>, conduct enhanced ongoing monitoring of the relationship.</w:t>
      </w:r>
    </w:p>
    <w:p w14:paraId="06978724" w14:textId="77777777" w:rsidR="007C0459" w:rsidRPr="00AB2EC1" w:rsidRDefault="007C0459" w:rsidP="00AB2EC1">
      <w:pPr>
        <w:spacing w:line="360" w:lineRule="auto"/>
      </w:pPr>
    </w:p>
    <w:sectPr w:rsidR="007C0459" w:rsidRPr="00AB2E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D0CD1"/>
    <w:multiLevelType w:val="multilevel"/>
    <w:tmpl w:val="9E68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73033A"/>
    <w:multiLevelType w:val="hybridMultilevel"/>
    <w:tmpl w:val="0414F4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CB15936"/>
    <w:multiLevelType w:val="hybridMultilevel"/>
    <w:tmpl w:val="22E2B94E"/>
    <w:lvl w:ilvl="0" w:tplc="0809001B">
      <w:start w:val="1"/>
      <w:numFmt w:val="lowerRoman"/>
      <w:lvlText w:val="%1."/>
      <w:lvlJc w:val="righ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16E"/>
    <w:rsid w:val="000A2ADC"/>
    <w:rsid w:val="000E67D1"/>
    <w:rsid w:val="0021189C"/>
    <w:rsid w:val="00271D19"/>
    <w:rsid w:val="00312EBF"/>
    <w:rsid w:val="0031508B"/>
    <w:rsid w:val="003E4A43"/>
    <w:rsid w:val="0040216E"/>
    <w:rsid w:val="004544D5"/>
    <w:rsid w:val="00514C43"/>
    <w:rsid w:val="00534961"/>
    <w:rsid w:val="005A7628"/>
    <w:rsid w:val="00617305"/>
    <w:rsid w:val="007C0459"/>
    <w:rsid w:val="008E0D00"/>
    <w:rsid w:val="009029FB"/>
    <w:rsid w:val="009E1C2F"/>
    <w:rsid w:val="00A72D82"/>
    <w:rsid w:val="00AB2EC1"/>
    <w:rsid w:val="00AF3B52"/>
    <w:rsid w:val="00B2210A"/>
    <w:rsid w:val="00B26E4F"/>
    <w:rsid w:val="00B421C6"/>
    <w:rsid w:val="00BE6498"/>
    <w:rsid w:val="00D509F6"/>
    <w:rsid w:val="00DF67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A7DD3FA"/>
  <w15:chartTrackingRefBased/>
  <w15:docId w15:val="{9D759E44-239D-40A5-A7DC-0359D170E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4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26E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link w:val="Heading5Char"/>
    <w:uiPriority w:val="9"/>
    <w:qFormat/>
    <w:rsid w:val="0040216E"/>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40216E"/>
    <w:rPr>
      <w:rFonts w:ascii="Times New Roman" w:eastAsia="Times New Roman" w:hAnsi="Times New Roman" w:cs="Times New Roman"/>
      <w:b/>
      <w:bCs/>
      <w:sz w:val="20"/>
      <w:szCs w:val="20"/>
      <w:lang w:eastAsia="en-GB"/>
    </w:rPr>
  </w:style>
  <w:style w:type="character" w:styleId="Hyperlink">
    <w:name w:val="Hyperlink"/>
    <w:basedOn w:val="DefaultParagraphFont"/>
    <w:uiPriority w:val="99"/>
    <w:semiHidden/>
    <w:unhideWhenUsed/>
    <w:rsid w:val="0040216E"/>
    <w:rPr>
      <w:color w:val="0000FF"/>
      <w:u w:val="single"/>
    </w:rPr>
  </w:style>
  <w:style w:type="paragraph" w:customStyle="1" w:styleId="ennumparacontainer">
    <w:name w:val="ennumparacontainer"/>
    <w:basedOn w:val="Normal"/>
    <w:rsid w:val="0040216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nds">
    <w:name w:val="ends"/>
    <w:basedOn w:val="DefaultParagraphFont"/>
    <w:rsid w:val="0040216E"/>
  </w:style>
  <w:style w:type="character" w:styleId="Emphasis">
    <w:name w:val="Emphasis"/>
    <w:basedOn w:val="DefaultParagraphFont"/>
    <w:uiPriority w:val="20"/>
    <w:qFormat/>
    <w:rsid w:val="0040216E"/>
    <w:rPr>
      <w:i/>
      <w:iCs/>
    </w:rPr>
  </w:style>
  <w:style w:type="paragraph" w:styleId="ListParagraph">
    <w:name w:val="List Paragraph"/>
    <w:basedOn w:val="Normal"/>
    <w:uiPriority w:val="34"/>
    <w:qFormat/>
    <w:rsid w:val="0040216E"/>
    <w:pPr>
      <w:ind w:left="720"/>
      <w:contextualSpacing/>
    </w:pPr>
  </w:style>
  <w:style w:type="paragraph" w:customStyle="1" w:styleId="legclearfix">
    <w:name w:val="legclearfix"/>
    <w:basedOn w:val="Normal"/>
    <w:rsid w:val="000A2AD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legsubstitution">
    <w:name w:val="legsubstitution"/>
    <w:basedOn w:val="DefaultParagraphFont"/>
    <w:rsid w:val="000A2ADC"/>
  </w:style>
  <w:style w:type="character" w:customStyle="1" w:styleId="legchangedelimiter">
    <w:name w:val="legchangedelimiter"/>
    <w:basedOn w:val="DefaultParagraphFont"/>
    <w:rsid w:val="000A2ADC"/>
  </w:style>
  <w:style w:type="paragraph" w:customStyle="1" w:styleId="legrhs">
    <w:name w:val="legrhs"/>
    <w:basedOn w:val="Normal"/>
    <w:rsid w:val="000A2AD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312EB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semiHidden/>
    <w:rsid w:val="00B26E4F"/>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BE6498"/>
    <w:rPr>
      <w:b/>
      <w:bCs/>
    </w:rPr>
  </w:style>
  <w:style w:type="character" w:customStyle="1" w:styleId="Heading1Char">
    <w:name w:val="Heading 1 Char"/>
    <w:basedOn w:val="DefaultParagraphFont"/>
    <w:link w:val="Heading1"/>
    <w:uiPriority w:val="9"/>
    <w:rsid w:val="004544D5"/>
    <w:rPr>
      <w:rFonts w:asciiTheme="majorHAnsi" w:eastAsiaTheme="majorEastAsia" w:hAnsiTheme="majorHAnsi" w:cstheme="majorBidi"/>
      <w:color w:val="2F5496" w:themeColor="accent1" w:themeShade="BF"/>
      <w:sz w:val="32"/>
      <w:szCs w:val="32"/>
    </w:rPr>
  </w:style>
  <w:style w:type="character" w:customStyle="1" w:styleId="legds">
    <w:name w:val="legds"/>
    <w:basedOn w:val="DefaultParagraphFont"/>
    <w:rsid w:val="00514C43"/>
  </w:style>
  <w:style w:type="paragraph" w:customStyle="1" w:styleId="legp2paratext">
    <w:name w:val="legp2paratext"/>
    <w:basedOn w:val="Normal"/>
    <w:rsid w:val="007C045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886506">
      <w:bodyDiv w:val="1"/>
      <w:marLeft w:val="0"/>
      <w:marRight w:val="0"/>
      <w:marTop w:val="0"/>
      <w:marBottom w:val="0"/>
      <w:divBdr>
        <w:top w:val="none" w:sz="0" w:space="0" w:color="auto"/>
        <w:left w:val="none" w:sz="0" w:space="0" w:color="auto"/>
        <w:bottom w:val="none" w:sz="0" w:space="0" w:color="auto"/>
        <w:right w:val="none" w:sz="0" w:space="0" w:color="auto"/>
      </w:divBdr>
    </w:div>
    <w:div w:id="262884098">
      <w:bodyDiv w:val="1"/>
      <w:marLeft w:val="0"/>
      <w:marRight w:val="0"/>
      <w:marTop w:val="0"/>
      <w:marBottom w:val="0"/>
      <w:divBdr>
        <w:top w:val="none" w:sz="0" w:space="0" w:color="auto"/>
        <w:left w:val="none" w:sz="0" w:space="0" w:color="auto"/>
        <w:bottom w:val="none" w:sz="0" w:space="0" w:color="auto"/>
        <w:right w:val="none" w:sz="0" w:space="0" w:color="auto"/>
      </w:divBdr>
    </w:div>
    <w:div w:id="386757729">
      <w:bodyDiv w:val="1"/>
      <w:marLeft w:val="0"/>
      <w:marRight w:val="0"/>
      <w:marTop w:val="0"/>
      <w:marBottom w:val="0"/>
      <w:divBdr>
        <w:top w:val="none" w:sz="0" w:space="0" w:color="auto"/>
        <w:left w:val="none" w:sz="0" w:space="0" w:color="auto"/>
        <w:bottom w:val="none" w:sz="0" w:space="0" w:color="auto"/>
        <w:right w:val="none" w:sz="0" w:space="0" w:color="auto"/>
      </w:divBdr>
    </w:div>
    <w:div w:id="515580411">
      <w:bodyDiv w:val="1"/>
      <w:marLeft w:val="0"/>
      <w:marRight w:val="0"/>
      <w:marTop w:val="0"/>
      <w:marBottom w:val="0"/>
      <w:divBdr>
        <w:top w:val="none" w:sz="0" w:space="0" w:color="auto"/>
        <w:left w:val="none" w:sz="0" w:space="0" w:color="auto"/>
        <w:bottom w:val="none" w:sz="0" w:space="0" w:color="auto"/>
        <w:right w:val="none" w:sz="0" w:space="0" w:color="auto"/>
      </w:divBdr>
    </w:div>
    <w:div w:id="785734093">
      <w:bodyDiv w:val="1"/>
      <w:marLeft w:val="0"/>
      <w:marRight w:val="0"/>
      <w:marTop w:val="0"/>
      <w:marBottom w:val="0"/>
      <w:divBdr>
        <w:top w:val="none" w:sz="0" w:space="0" w:color="auto"/>
        <w:left w:val="none" w:sz="0" w:space="0" w:color="auto"/>
        <w:bottom w:val="none" w:sz="0" w:space="0" w:color="auto"/>
        <w:right w:val="none" w:sz="0" w:space="0" w:color="auto"/>
      </w:divBdr>
    </w:div>
    <w:div w:id="939872757">
      <w:bodyDiv w:val="1"/>
      <w:marLeft w:val="0"/>
      <w:marRight w:val="0"/>
      <w:marTop w:val="0"/>
      <w:marBottom w:val="0"/>
      <w:divBdr>
        <w:top w:val="none" w:sz="0" w:space="0" w:color="auto"/>
        <w:left w:val="none" w:sz="0" w:space="0" w:color="auto"/>
        <w:bottom w:val="none" w:sz="0" w:space="0" w:color="auto"/>
        <w:right w:val="none" w:sz="0" w:space="0" w:color="auto"/>
      </w:divBdr>
    </w:div>
    <w:div w:id="1003358438">
      <w:bodyDiv w:val="1"/>
      <w:marLeft w:val="0"/>
      <w:marRight w:val="0"/>
      <w:marTop w:val="0"/>
      <w:marBottom w:val="0"/>
      <w:divBdr>
        <w:top w:val="none" w:sz="0" w:space="0" w:color="auto"/>
        <w:left w:val="none" w:sz="0" w:space="0" w:color="auto"/>
        <w:bottom w:val="none" w:sz="0" w:space="0" w:color="auto"/>
        <w:right w:val="none" w:sz="0" w:space="0" w:color="auto"/>
      </w:divBdr>
    </w:div>
    <w:div w:id="1023239932">
      <w:bodyDiv w:val="1"/>
      <w:marLeft w:val="0"/>
      <w:marRight w:val="0"/>
      <w:marTop w:val="0"/>
      <w:marBottom w:val="0"/>
      <w:divBdr>
        <w:top w:val="none" w:sz="0" w:space="0" w:color="auto"/>
        <w:left w:val="none" w:sz="0" w:space="0" w:color="auto"/>
        <w:bottom w:val="none" w:sz="0" w:space="0" w:color="auto"/>
        <w:right w:val="none" w:sz="0" w:space="0" w:color="auto"/>
      </w:divBdr>
    </w:div>
    <w:div w:id="1072659878">
      <w:bodyDiv w:val="1"/>
      <w:marLeft w:val="0"/>
      <w:marRight w:val="0"/>
      <w:marTop w:val="0"/>
      <w:marBottom w:val="0"/>
      <w:divBdr>
        <w:top w:val="none" w:sz="0" w:space="0" w:color="auto"/>
        <w:left w:val="none" w:sz="0" w:space="0" w:color="auto"/>
        <w:bottom w:val="none" w:sz="0" w:space="0" w:color="auto"/>
        <w:right w:val="none" w:sz="0" w:space="0" w:color="auto"/>
      </w:divBdr>
    </w:div>
    <w:div w:id="1088423159">
      <w:bodyDiv w:val="1"/>
      <w:marLeft w:val="0"/>
      <w:marRight w:val="0"/>
      <w:marTop w:val="0"/>
      <w:marBottom w:val="0"/>
      <w:divBdr>
        <w:top w:val="none" w:sz="0" w:space="0" w:color="auto"/>
        <w:left w:val="none" w:sz="0" w:space="0" w:color="auto"/>
        <w:bottom w:val="none" w:sz="0" w:space="0" w:color="auto"/>
        <w:right w:val="none" w:sz="0" w:space="0" w:color="auto"/>
      </w:divBdr>
    </w:div>
    <w:div w:id="1234967636">
      <w:bodyDiv w:val="1"/>
      <w:marLeft w:val="0"/>
      <w:marRight w:val="0"/>
      <w:marTop w:val="0"/>
      <w:marBottom w:val="0"/>
      <w:divBdr>
        <w:top w:val="none" w:sz="0" w:space="0" w:color="auto"/>
        <w:left w:val="none" w:sz="0" w:space="0" w:color="auto"/>
        <w:bottom w:val="none" w:sz="0" w:space="0" w:color="auto"/>
        <w:right w:val="none" w:sz="0" w:space="0" w:color="auto"/>
      </w:divBdr>
    </w:div>
    <w:div w:id="1244291320">
      <w:bodyDiv w:val="1"/>
      <w:marLeft w:val="0"/>
      <w:marRight w:val="0"/>
      <w:marTop w:val="0"/>
      <w:marBottom w:val="0"/>
      <w:divBdr>
        <w:top w:val="none" w:sz="0" w:space="0" w:color="auto"/>
        <w:left w:val="none" w:sz="0" w:space="0" w:color="auto"/>
        <w:bottom w:val="none" w:sz="0" w:space="0" w:color="auto"/>
        <w:right w:val="none" w:sz="0" w:space="0" w:color="auto"/>
      </w:divBdr>
    </w:div>
    <w:div w:id="1380589123">
      <w:bodyDiv w:val="1"/>
      <w:marLeft w:val="0"/>
      <w:marRight w:val="0"/>
      <w:marTop w:val="0"/>
      <w:marBottom w:val="0"/>
      <w:divBdr>
        <w:top w:val="none" w:sz="0" w:space="0" w:color="auto"/>
        <w:left w:val="none" w:sz="0" w:space="0" w:color="auto"/>
        <w:bottom w:val="none" w:sz="0" w:space="0" w:color="auto"/>
        <w:right w:val="none" w:sz="0" w:space="0" w:color="auto"/>
      </w:divBdr>
    </w:div>
    <w:div w:id="1546789484">
      <w:bodyDiv w:val="1"/>
      <w:marLeft w:val="0"/>
      <w:marRight w:val="0"/>
      <w:marTop w:val="0"/>
      <w:marBottom w:val="0"/>
      <w:divBdr>
        <w:top w:val="none" w:sz="0" w:space="0" w:color="auto"/>
        <w:left w:val="none" w:sz="0" w:space="0" w:color="auto"/>
        <w:bottom w:val="none" w:sz="0" w:space="0" w:color="auto"/>
        <w:right w:val="none" w:sz="0" w:space="0" w:color="auto"/>
      </w:divBdr>
    </w:div>
    <w:div w:id="1795055563">
      <w:bodyDiv w:val="1"/>
      <w:marLeft w:val="0"/>
      <w:marRight w:val="0"/>
      <w:marTop w:val="0"/>
      <w:marBottom w:val="0"/>
      <w:divBdr>
        <w:top w:val="none" w:sz="0" w:space="0" w:color="auto"/>
        <w:left w:val="none" w:sz="0" w:space="0" w:color="auto"/>
        <w:bottom w:val="none" w:sz="0" w:space="0" w:color="auto"/>
        <w:right w:val="none" w:sz="0" w:space="0" w:color="auto"/>
      </w:divBdr>
    </w:div>
    <w:div w:id="1899051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gislation.gov.uk/ukpga/2002/29/section/328" TargetMode="External"/><Relationship Id="rId18" Type="http://schemas.openxmlformats.org/officeDocument/2006/relationships/hyperlink" Target="http://www.legislation.gov.uk/ukpga/2002/29/section/327" TargetMode="External"/><Relationship Id="rId26" Type="http://schemas.openxmlformats.org/officeDocument/2006/relationships/hyperlink" Target="http://www.legislation.gov.uk/ukpga/2002/29/section/330/5" TargetMode="External"/><Relationship Id="rId39" Type="http://schemas.openxmlformats.org/officeDocument/2006/relationships/hyperlink" Target="http://www.legislation.gov.uk/ukpga/2002/29/section/338" TargetMode="External"/><Relationship Id="rId3" Type="http://schemas.openxmlformats.org/officeDocument/2006/relationships/settings" Target="settings.xml"/><Relationship Id="rId21" Type="http://schemas.openxmlformats.org/officeDocument/2006/relationships/hyperlink" Target="http://www.legislation.gov.uk/ukpga/2002/29/section/330" TargetMode="External"/><Relationship Id="rId34" Type="http://schemas.openxmlformats.org/officeDocument/2006/relationships/hyperlink" Target="http://www.legislation.gov.uk/ukpga/2002/29/section/331" TargetMode="External"/><Relationship Id="rId42" Type="http://schemas.openxmlformats.org/officeDocument/2006/relationships/hyperlink" Target="http://www.legislation.gov.uk/ukpga/2002/29/section/340" TargetMode="External"/><Relationship Id="rId47" Type="http://schemas.openxmlformats.org/officeDocument/2006/relationships/hyperlink" Target="http://www.legislation.gov.uk/ukpga/2002/29/section/331" TargetMode="External"/><Relationship Id="rId50" Type="http://schemas.openxmlformats.org/officeDocument/2006/relationships/theme" Target="theme/theme1.xml"/><Relationship Id="rId7" Type="http://schemas.openxmlformats.org/officeDocument/2006/relationships/hyperlink" Target="http://www.legislation.gov.uk/ukpga/2002/29/section/327/329" TargetMode="External"/><Relationship Id="rId12" Type="http://schemas.openxmlformats.org/officeDocument/2006/relationships/hyperlink" Target="http://www.legislation.gov.uk/ukpga/2002/29/section/340/2" TargetMode="External"/><Relationship Id="rId17" Type="http://schemas.openxmlformats.org/officeDocument/2006/relationships/hyperlink" Target="http://www.legislation.gov.uk/ukpga/2002/29/section/340" TargetMode="External"/><Relationship Id="rId25" Type="http://schemas.openxmlformats.org/officeDocument/2006/relationships/hyperlink" Target="http://www.legislation.gov.uk/ukpga/2002/29/schedule/9" TargetMode="External"/><Relationship Id="rId33" Type="http://schemas.openxmlformats.org/officeDocument/2006/relationships/hyperlink" Target="http://www.legislation.gov.uk/ukpga/2002/29/section/331" TargetMode="External"/><Relationship Id="rId38" Type="http://schemas.openxmlformats.org/officeDocument/2006/relationships/hyperlink" Target="http://www.legislation.gov.uk/ukpga/2002/29/section/338" TargetMode="External"/><Relationship Id="rId46" Type="http://schemas.openxmlformats.org/officeDocument/2006/relationships/hyperlink" Target="http://www.legislation.gov.uk/ukpga/2002/29/section/340/338" TargetMode="External"/><Relationship Id="rId2" Type="http://schemas.openxmlformats.org/officeDocument/2006/relationships/styles" Target="styles.xml"/><Relationship Id="rId16" Type="http://schemas.openxmlformats.org/officeDocument/2006/relationships/hyperlink" Target="http://www.legislation.gov.uk/ukpga/2002/29/section/329" TargetMode="External"/><Relationship Id="rId20" Type="http://schemas.openxmlformats.org/officeDocument/2006/relationships/hyperlink" Target="http://www.legislation.gov.uk/ukpga/2002/29/section/330" TargetMode="External"/><Relationship Id="rId29" Type="http://schemas.openxmlformats.org/officeDocument/2006/relationships/hyperlink" Target="http://www.legislation.gov.uk/ukpga/2002/29/section/330/8" TargetMode="External"/><Relationship Id="rId41" Type="http://schemas.openxmlformats.org/officeDocument/2006/relationships/hyperlink" Target="http://www.legislation.gov.uk/ukpga/2002/29/section/338/329" TargetMode="External"/><Relationship Id="rId1" Type="http://schemas.openxmlformats.org/officeDocument/2006/relationships/numbering" Target="numbering.xml"/><Relationship Id="rId6" Type="http://schemas.openxmlformats.org/officeDocument/2006/relationships/hyperlink" Target="http://www.legislation.gov.uk/ukpga/2002/29/section/328" TargetMode="External"/><Relationship Id="rId11" Type="http://schemas.openxmlformats.org/officeDocument/2006/relationships/hyperlink" Target="http://www.legislation.gov.uk/ukpga/2002/29/section/340/3" TargetMode="External"/><Relationship Id="rId24" Type="http://schemas.openxmlformats.org/officeDocument/2006/relationships/hyperlink" Target="http://www.legislation.gov.uk/ukpga/2002/29/schedule/9" TargetMode="External"/><Relationship Id="rId32" Type="http://schemas.openxmlformats.org/officeDocument/2006/relationships/hyperlink" Target="http://www.legislation.gov.uk/ukpga/2002/29/section/330/13" TargetMode="External"/><Relationship Id="rId37" Type="http://schemas.openxmlformats.org/officeDocument/2006/relationships/hyperlink" Target="http://www.legislation.gov.uk/ukpga/2002/29/section/332" TargetMode="External"/><Relationship Id="rId40" Type="http://schemas.openxmlformats.org/officeDocument/2006/relationships/hyperlink" Target="http://www.legislation.gov.uk/ukpga/2002/29/section/327" TargetMode="External"/><Relationship Id="rId45" Type="http://schemas.openxmlformats.org/officeDocument/2006/relationships/hyperlink" Target="http://www.legislation.gov.uk/ukpga/2002/29/section/340/337" TargetMode="External"/><Relationship Id="rId5" Type="http://schemas.openxmlformats.org/officeDocument/2006/relationships/hyperlink" Target="http://www.legislation.gov.uk/ukpga/2002/29/section/327" TargetMode="External"/><Relationship Id="rId15" Type="http://schemas.openxmlformats.org/officeDocument/2006/relationships/hyperlink" Target="http://www.legislation.gov.uk/ukpga/2002/29/section/327" TargetMode="External"/><Relationship Id="rId23" Type="http://schemas.openxmlformats.org/officeDocument/2006/relationships/hyperlink" Target="http://www.legislation.gov.uk/ukpga/2002/29/part/1" TargetMode="External"/><Relationship Id="rId28" Type="http://schemas.openxmlformats.org/officeDocument/2006/relationships/hyperlink" Target="http://www.legislation.gov.uk/ukpga/2002/29/section/330/6" TargetMode="External"/><Relationship Id="rId36" Type="http://schemas.openxmlformats.org/officeDocument/2006/relationships/hyperlink" Target="http://www.legislation.gov.uk/ukpga/2002/29/section/339" TargetMode="External"/><Relationship Id="rId49" Type="http://schemas.openxmlformats.org/officeDocument/2006/relationships/fontTable" Target="fontTable.xml"/><Relationship Id="rId10" Type="http://schemas.openxmlformats.org/officeDocument/2006/relationships/hyperlink" Target="http://www.legislation.gov.uk/ukpga/2002/29/section/327" TargetMode="External"/><Relationship Id="rId19" Type="http://schemas.openxmlformats.org/officeDocument/2006/relationships/hyperlink" Target="http://www.legislation.gov.uk/ukpga/2002/29/section/329/328" TargetMode="External"/><Relationship Id="rId31" Type="http://schemas.openxmlformats.org/officeDocument/2006/relationships/hyperlink" Target="http://www.legislation.gov.uk/ukpga/2002/29/schedule/6" TargetMode="External"/><Relationship Id="rId44" Type="http://schemas.openxmlformats.org/officeDocument/2006/relationships/hyperlink" Target="http://www.legislation.gov.uk/ukpga/2002/29/section/330" TargetMode="External"/><Relationship Id="rId4" Type="http://schemas.openxmlformats.org/officeDocument/2006/relationships/webSettings" Target="webSettings.xml"/><Relationship Id="rId9" Type="http://schemas.openxmlformats.org/officeDocument/2006/relationships/hyperlink" Target="http://www.legislation.gov.uk/ukpga/2002/29/section/327" TargetMode="External"/><Relationship Id="rId14" Type="http://schemas.openxmlformats.org/officeDocument/2006/relationships/hyperlink" Target="http://www.legislation.gov.uk/ukpga/2002/29/section/328" TargetMode="External"/><Relationship Id="rId22" Type="http://schemas.openxmlformats.org/officeDocument/2006/relationships/hyperlink" Target="http://www.legislation.gov.uk/ukpga/2002/29/section/330" TargetMode="External"/><Relationship Id="rId27" Type="http://schemas.openxmlformats.org/officeDocument/2006/relationships/hyperlink" Target="http://www.legislation.gov.uk/ukpga/2002/29/section/339" TargetMode="External"/><Relationship Id="rId30" Type="http://schemas.openxmlformats.org/officeDocument/2006/relationships/hyperlink" Target="http://www.legislation.gov.uk/ukpga/2002/29/schedule/6/part/2" TargetMode="External"/><Relationship Id="rId35" Type="http://schemas.openxmlformats.org/officeDocument/2006/relationships/hyperlink" Target="http://www.legislation.gov.uk/ukpga/2002/29/section/331/5" TargetMode="External"/><Relationship Id="rId43" Type="http://schemas.openxmlformats.org/officeDocument/2006/relationships/hyperlink" Target="http://www.legislation.gov.uk/ukpga/2002/29/section/340/12" TargetMode="External"/><Relationship Id="rId48" Type="http://schemas.openxmlformats.org/officeDocument/2006/relationships/hyperlink" Target="http://www.legislation.gov.uk/ukpga/2002/29/section/340/332" TargetMode="External"/><Relationship Id="rId8" Type="http://schemas.openxmlformats.org/officeDocument/2006/relationships/hyperlink" Target="http://www.legislation.gov.uk/ukpga/2002/29/section/3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1250</TotalTime>
  <Pages>6</Pages>
  <Words>2798</Words>
  <Characters>15955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2019-02-12T09:30:00Z</dcterms:created>
  <dcterms:modified xsi:type="dcterms:W3CDTF">2019-02-26T10:35:00Z</dcterms:modified>
</cp:coreProperties>
</file>