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02B35" w14:textId="77777777" w:rsidR="000E670A" w:rsidRDefault="000E670A" w:rsidP="000E670A">
      <w:pPr>
        <w:jc w:val="center"/>
      </w:pPr>
      <w:r>
        <w:rPr>
          <w:rFonts w:ascii="Aptos" w:eastAsia="Aptos" w:hAnsi="Aptos"/>
          <w:b/>
          <w:color w:val="1F4E79"/>
          <w:sz w:val="18"/>
        </w:rPr>
        <w:t xml:space="preserve">CONTRACTOR COMPLIANCE </w:t>
      </w:r>
      <w:proofErr w:type="gramStart"/>
      <w:r>
        <w:rPr>
          <w:rFonts w:ascii="Aptos" w:eastAsia="Aptos" w:hAnsi="Aptos"/>
          <w:b/>
          <w:color w:val="1F4E79"/>
          <w:sz w:val="18"/>
        </w:rPr>
        <w:t>AUTHORITY  |</w:t>
      </w:r>
      <w:proofErr w:type="gramEnd"/>
      <w:r>
        <w:rPr>
          <w:rFonts w:ascii="Aptos" w:eastAsia="Aptos" w:hAnsi="Aptos"/>
          <w:b/>
          <w:color w:val="1F4E79"/>
          <w:sz w:val="18"/>
        </w:rPr>
        <w:t xml:space="preserve">  EXECUTIVE LEADERSHIP &amp; PLACEMENT STRATEGY</w:t>
      </w:r>
    </w:p>
    <w:p w14:paraId="4B067389" w14:textId="77777777" w:rsidR="000E670A" w:rsidRDefault="000E670A" w:rsidP="000E670A">
      <w:pPr>
        <w:jc w:val="center"/>
      </w:pPr>
      <w:r>
        <w:rPr>
          <w:rFonts w:ascii="Aptos" w:eastAsia="Aptos" w:hAnsi="Aptos"/>
          <w:b/>
          <w:color w:val="1F4E79"/>
          <w:sz w:val="30"/>
        </w:rPr>
        <w:t>COMPLIANCE AUTHORITY GROUP</w:t>
      </w:r>
    </w:p>
    <w:p w14:paraId="518B1C18" w14:textId="77777777" w:rsidR="000E670A" w:rsidRDefault="000E670A" w:rsidP="000E670A">
      <w:pPr>
        <w:jc w:val="center"/>
      </w:pPr>
      <w:r>
        <w:rPr>
          <w:rFonts w:ascii="Aptos" w:eastAsia="Aptos" w:hAnsi="Aptos"/>
          <w:b/>
          <w:color w:val="000000"/>
          <w:sz w:val="32"/>
        </w:rPr>
        <w:t>Gregg Taylor</w:t>
      </w:r>
    </w:p>
    <w:p w14:paraId="60C1AFF1" w14:textId="77777777" w:rsidR="000E670A" w:rsidRDefault="000E670A" w:rsidP="000E670A">
      <w:pPr>
        <w:jc w:val="center"/>
      </w:pPr>
      <w:r>
        <w:rPr>
          <w:rFonts w:ascii="Aptos" w:eastAsia="Aptos" w:hAnsi="Aptos"/>
          <w:b/>
          <w:color w:val="1F4E79"/>
          <w:sz w:val="24"/>
        </w:rPr>
        <w:t>Officer Role, Executive Compensation &amp; Placement Strategy Proposal</w:t>
      </w:r>
    </w:p>
    <w:p w14:paraId="0187879F" w14:textId="77777777" w:rsidR="000E670A" w:rsidRDefault="000E670A" w:rsidP="000E670A">
      <w:pPr>
        <w:jc w:val="center"/>
      </w:pPr>
      <w:r>
        <w:rPr>
          <w:rFonts w:ascii="Aptos" w:eastAsia="Aptos" w:hAnsi="Aptos"/>
          <w:i/>
          <w:color w:val="4B4B4B"/>
          <w:sz w:val="21"/>
        </w:rPr>
        <w:t>President / Chief Contractor Relations &amp; Placement Officer</w:t>
      </w:r>
    </w:p>
    <w:tbl>
      <w:tblPr>
        <w:tblStyle w:val="TableGrid"/>
        <w:tblW w:w="0" w:type="auto"/>
        <w:jc w:val="center"/>
        <w:tblLook w:val="04A0" w:firstRow="1" w:lastRow="0" w:firstColumn="1" w:lastColumn="0" w:noHBand="0" w:noVBand="1"/>
      </w:tblPr>
      <w:tblGrid>
        <w:gridCol w:w="2380"/>
        <w:gridCol w:w="7916"/>
      </w:tblGrid>
      <w:tr w:rsidR="000E670A" w14:paraId="08558385" w14:textId="77777777" w:rsidTr="00721DD3">
        <w:trPr>
          <w:cantSplit/>
          <w:jc w:val="center"/>
        </w:trPr>
        <w:tc>
          <w:tcPr>
            <w:tcW w:w="2448" w:type="dxa"/>
            <w:tcBorders>
              <w:top w:val="single" w:sz="4" w:space="0" w:color="C9D3DF"/>
              <w:left w:val="single" w:sz="4" w:space="0" w:color="C9D3DF"/>
              <w:bottom w:val="single" w:sz="4" w:space="0" w:color="C9D3DF"/>
              <w:right w:val="single" w:sz="4" w:space="0" w:color="C9D3DF"/>
            </w:tcBorders>
            <w:shd w:val="clear" w:color="auto" w:fill="1F4E79"/>
            <w:vAlign w:val="center"/>
          </w:tcPr>
          <w:p w14:paraId="476A94C9" w14:textId="77777777" w:rsidR="000E670A" w:rsidRDefault="000E670A" w:rsidP="00721DD3">
            <w:r>
              <w:rPr>
                <w:b/>
                <w:color w:val="FFFFFF"/>
                <w:sz w:val="17"/>
              </w:rPr>
              <w:t>Prepared For</w:t>
            </w:r>
          </w:p>
        </w:tc>
        <w:tc>
          <w:tcPr>
            <w:tcW w:w="8208" w:type="dxa"/>
            <w:tcBorders>
              <w:top w:val="single" w:sz="4" w:space="0" w:color="C9D3DF"/>
              <w:left w:val="single" w:sz="4" w:space="0" w:color="C9D3DF"/>
              <w:bottom w:val="single" w:sz="4" w:space="0" w:color="C9D3DF"/>
              <w:right w:val="single" w:sz="4" w:space="0" w:color="C9D3DF"/>
            </w:tcBorders>
            <w:shd w:val="clear" w:color="auto" w:fill="FFFFFF"/>
            <w:vAlign w:val="center"/>
          </w:tcPr>
          <w:p w14:paraId="5EDABB6F" w14:textId="77777777" w:rsidR="000E670A" w:rsidRDefault="000E670A" w:rsidP="00721DD3">
            <w:r>
              <w:rPr>
                <w:sz w:val="17"/>
              </w:rPr>
              <w:t>Gregg Taylor</w:t>
            </w:r>
          </w:p>
        </w:tc>
      </w:tr>
      <w:tr w:rsidR="000E670A" w14:paraId="3710F552" w14:textId="77777777" w:rsidTr="00721DD3">
        <w:trPr>
          <w:cantSplit/>
          <w:jc w:val="center"/>
        </w:trPr>
        <w:tc>
          <w:tcPr>
            <w:tcW w:w="2448" w:type="dxa"/>
            <w:tcBorders>
              <w:top w:val="single" w:sz="4" w:space="0" w:color="C9D3DF"/>
              <w:left w:val="single" w:sz="4" w:space="0" w:color="C9D3DF"/>
              <w:bottom w:val="single" w:sz="4" w:space="0" w:color="C9D3DF"/>
              <w:right w:val="single" w:sz="4" w:space="0" w:color="C9D3DF"/>
            </w:tcBorders>
            <w:shd w:val="clear" w:color="auto" w:fill="1F4E79"/>
            <w:vAlign w:val="center"/>
          </w:tcPr>
          <w:p w14:paraId="53A331E6" w14:textId="77777777" w:rsidR="000E670A" w:rsidRDefault="000E670A" w:rsidP="00721DD3">
            <w:r>
              <w:rPr>
                <w:b/>
                <w:color w:val="FFFFFF"/>
                <w:sz w:val="17"/>
              </w:rPr>
              <w:t>Prepared By</w:t>
            </w:r>
          </w:p>
        </w:tc>
        <w:tc>
          <w:tcPr>
            <w:tcW w:w="8208" w:type="dxa"/>
            <w:tcBorders>
              <w:top w:val="single" w:sz="4" w:space="0" w:color="C9D3DF"/>
              <w:left w:val="single" w:sz="4" w:space="0" w:color="C9D3DF"/>
              <w:bottom w:val="single" w:sz="4" w:space="0" w:color="C9D3DF"/>
              <w:right w:val="single" w:sz="4" w:space="0" w:color="C9D3DF"/>
            </w:tcBorders>
            <w:shd w:val="clear" w:color="auto" w:fill="FFFFFF"/>
            <w:vAlign w:val="center"/>
          </w:tcPr>
          <w:p w14:paraId="36BE2151" w14:textId="77777777" w:rsidR="000E670A" w:rsidRDefault="000E670A" w:rsidP="00721DD3">
            <w:r>
              <w:rPr>
                <w:sz w:val="17"/>
              </w:rPr>
              <w:t>Sandra Taylor</w:t>
            </w:r>
          </w:p>
        </w:tc>
      </w:tr>
      <w:tr w:rsidR="000E670A" w14:paraId="4966918C" w14:textId="77777777" w:rsidTr="00721DD3">
        <w:trPr>
          <w:cantSplit/>
          <w:jc w:val="center"/>
        </w:trPr>
        <w:tc>
          <w:tcPr>
            <w:tcW w:w="2448" w:type="dxa"/>
            <w:tcBorders>
              <w:top w:val="single" w:sz="4" w:space="0" w:color="C9D3DF"/>
              <w:left w:val="single" w:sz="4" w:space="0" w:color="C9D3DF"/>
              <w:bottom w:val="single" w:sz="4" w:space="0" w:color="C9D3DF"/>
              <w:right w:val="single" w:sz="4" w:space="0" w:color="C9D3DF"/>
            </w:tcBorders>
            <w:shd w:val="clear" w:color="auto" w:fill="1F4E79"/>
            <w:vAlign w:val="center"/>
          </w:tcPr>
          <w:p w14:paraId="20A01CEA" w14:textId="77777777" w:rsidR="000E670A" w:rsidRDefault="000E670A" w:rsidP="00721DD3">
            <w:r>
              <w:rPr>
                <w:b/>
                <w:color w:val="FFFFFF"/>
                <w:sz w:val="17"/>
              </w:rPr>
              <w:t>Date</w:t>
            </w:r>
          </w:p>
        </w:tc>
        <w:tc>
          <w:tcPr>
            <w:tcW w:w="8208" w:type="dxa"/>
            <w:tcBorders>
              <w:top w:val="single" w:sz="4" w:space="0" w:color="C9D3DF"/>
              <w:left w:val="single" w:sz="4" w:space="0" w:color="C9D3DF"/>
              <w:bottom w:val="single" w:sz="4" w:space="0" w:color="C9D3DF"/>
              <w:right w:val="single" w:sz="4" w:space="0" w:color="C9D3DF"/>
            </w:tcBorders>
            <w:shd w:val="clear" w:color="auto" w:fill="FFFFFF"/>
            <w:vAlign w:val="center"/>
          </w:tcPr>
          <w:p w14:paraId="3981F37B" w14:textId="77777777" w:rsidR="000E670A" w:rsidRDefault="000E670A" w:rsidP="00721DD3">
            <w:r>
              <w:rPr>
                <w:sz w:val="17"/>
              </w:rPr>
              <w:t>May 2026</w:t>
            </w:r>
          </w:p>
        </w:tc>
      </w:tr>
      <w:tr w:rsidR="000E670A" w14:paraId="51CD2EB1" w14:textId="77777777" w:rsidTr="00721DD3">
        <w:trPr>
          <w:cantSplit/>
          <w:jc w:val="center"/>
        </w:trPr>
        <w:tc>
          <w:tcPr>
            <w:tcW w:w="2448" w:type="dxa"/>
            <w:tcBorders>
              <w:top w:val="single" w:sz="4" w:space="0" w:color="C9D3DF"/>
              <w:left w:val="single" w:sz="4" w:space="0" w:color="C9D3DF"/>
              <w:bottom w:val="single" w:sz="4" w:space="0" w:color="C9D3DF"/>
              <w:right w:val="single" w:sz="4" w:space="0" w:color="C9D3DF"/>
            </w:tcBorders>
            <w:shd w:val="clear" w:color="auto" w:fill="1F4E79"/>
            <w:vAlign w:val="center"/>
          </w:tcPr>
          <w:p w14:paraId="7EEA75DB" w14:textId="77777777" w:rsidR="000E670A" w:rsidRDefault="000E670A" w:rsidP="00721DD3">
            <w:r>
              <w:rPr>
                <w:b/>
                <w:color w:val="FFFFFF"/>
                <w:sz w:val="17"/>
              </w:rPr>
              <w:t>Status</w:t>
            </w:r>
          </w:p>
        </w:tc>
        <w:tc>
          <w:tcPr>
            <w:tcW w:w="8208" w:type="dxa"/>
            <w:tcBorders>
              <w:top w:val="single" w:sz="4" w:space="0" w:color="C9D3DF"/>
              <w:left w:val="single" w:sz="4" w:space="0" w:color="C9D3DF"/>
              <w:bottom w:val="single" w:sz="4" w:space="0" w:color="C9D3DF"/>
              <w:right w:val="single" w:sz="4" w:space="0" w:color="C9D3DF"/>
            </w:tcBorders>
            <w:shd w:val="clear" w:color="auto" w:fill="FFFFFF"/>
            <w:vAlign w:val="center"/>
          </w:tcPr>
          <w:p w14:paraId="03B85623" w14:textId="77777777" w:rsidR="000E670A" w:rsidRDefault="000E670A" w:rsidP="00721DD3">
            <w:r>
              <w:rPr>
                <w:sz w:val="17"/>
              </w:rPr>
              <w:t>Discussion draft - not a final employment, compensation, ownership, tax, or legal agreement</w:t>
            </w:r>
          </w:p>
        </w:tc>
      </w:tr>
      <w:tr w:rsidR="000E670A" w14:paraId="7F423080" w14:textId="77777777" w:rsidTr="00721DD3">
        <w:trPr>
          <w:cantSplit/>
          <w:jc w:val="center"/>
        </w:trPr>
        <w:tc>
          <w:tcPr>
            <w:tcW w:w="2448" w:type="dxa"/>
            <w:tcBorders>
              <w:top w:val="single" w:sz="4" w:space="0" w:color="C9D3DF"/>
              <w:left w:val="single" w:sz="4" w:space="0" w:color="C9D3DF"/>
              <w:bottom w:val="single" w:sz="4" w:space="0" w:color="C9D3DF"/>
              <w:right w:val="single" w:sz="4" w:space="0" w:color="C9D3DF"/>
            </w:tcBorders>
            <w:shd w:val="clear" w:color="auto" w:fill="1F4E79"/>
            <w:vAlign w:val="center"/>
          </w:tcPr>
          <w:p w14:paraId="47851C0F" w14:textId="77777777" w:rsidR="000E670A" w:rsidRDefault="000E670A" w:rsidP="00721DD3">
            <w:r>
              <w:rPr>
                <w:b/>
                <w:color w:val="FFFFFF"/>
                <w:sz w:val="17"/>
              </w:rPr>
              <w:t>Legal Context</w:t>
            </w:r>
          </w:p>
        </w:tc>
        <w:tc>
          <w:tcPr>
            <w:tcW w:w="8208" w:type="dxa"/>
            <w:tcBorders>
              <w:top w:val="single" w:sz="4" w:space="0" w:color="C9D3DF"/>
              <w:left w:val="single" w:sz="4" w:space="0" w:color="C9D3DF"/>
              <w:bottom w:val="single" w:sz="4" w:space="0" w:color="C9D3DF"/>
              <w:right w:val="single" w:sz="4" w:space="0" w:color="C9D3DF"/>
            </w:tcBorders>
            <w:shd w:val="clear" w:color="auto" w:fill="FFFFFF"/>
            <w:vAlign w:val="center"/>
          </w:tcPr>
          <w:p w14:paraId="58924A88" w14:textId="77777777" w:rsidR="000E670A" w:rsidRDefault="000E670A" w:rsidP="00721DD3">
            <w:r>
              <w:rPr>
                <w:sz w:val="17"/>
              </w:rPr>
              <w:t>CLP remains in active litigation. New-company roles, data, systems, funding, and revenue must remain separate and subject to counsel/accounting review.</w:t>
            </w:r>
          </w:p>
        </w:tc>
      </w:tr>
    </w:tbl>
    <w:p w14:paraId="294B8A53" w14:textId="77777777" w:rsidR="000E670A" w:rsidRDefault="000E670A" w:rsidP="000E670A"/>
    <w:p w14:paraId="52065450" w14:textId="77777777" w:rsidR="000E670A" w:rsidRDefault="000E670A" w:rsidP="000E670A">
      <w:pPr>
        <w:pStyle w:val="Heading1"/>
      </w:pPr>
      <w:r>
        <w:rPr>
          <w:rFonts w:ascii="Aptos" w:eastAsia="Aptos" w:hAnsi="Aptos"/>
        </w:rPr>
        <w:t>PURPOSE OF THIS PROPOSAL</w:t>
      </w:r>
    </w:p>
    <w:p w14:paraId="57DD69D0" w14:textId="77777777" w:rsidR="000E670A" w:rsidRDefault="000E670A" w:rsidP="00E41D5B">
      <w:pPr>
        <w:spacing w:after="100" w:line="252" w:lineRule="auto"/>
        <w:ind w:firstLine="0"/>
      </w:pPr>
      <w:r>
        <w:rPr>
          <w:rFonts w:ascii="Aptos" w:eastAsia="Aptos" w:hAnsi="Aptos"/>
        </w:rPr>
        <w:t>This proposal outlines Gregg Taylor’s officer-level role within the new Compliance Authority structure. Because Gregg is Sandra Taylor’s husband, business partner, and listed President of the parent company, the role should be documented as an executive/officer position rather than a standard employee position.</w:t>
      </w:r>
    </w:p>
    <w:p w14:paraId="643127DA" w14:textId="77777777" w:rsidR="000E670A" w:rsidRDefault="000E670A" w:rsidP="00E41D5B">
      <w:pPr>
        <w:spacing w:after="100" w:line="252" w:lineRule="auto"/>
        <w:ind w:firstLine="0"/>
      </w:pPr>
      <w:r>
        <w:rPr>
          <w:rFonts w:ascii="Aptos" w:eastAsia="Aptos" w:hAnsi="Aptos"/>
        </w:rPr>
        <w:t>The purpose of this document is to define Gregg’s executive responsibilities, placement coordination leadership, contractor relationship duties, compensation structure, governance boundaries, documentation expectations, and startup priorities in a way that supports the company while keeping authority, ownership, compensation, and legal responsibilities clear.</w:t>
      </w:r>
    </w:p>
    <w:p w14:paraId="4CD2C77D" w14:textId="77777777" w:rsidR="000E670A" w:rsidRDefault="000E670A" w:rsidP="000E670A">
      <w:pPr>
        <w:pStyle w:val="Heading1"/>
      </w:pPr>
      <w:r>
        <w:rPr>
          <w:rFonts w:ascii="Aptos" w:eastAsia="Aptos" w:hAnsi="Aptos"/>
        </w:rPr>
        <w:t>EXECUTIVE SUMMARY</w:t>
      </w:r>
    </w:p>
    <w:tbl>
      <w:tblPr>
        <w:tblStyle w:val="TableGrid"/>
        <w:tblW w:w="0" w:type="auto"/>
        <w:jc w:val="center"/>
        <w:tblLook w:val="04A0" w:firstRow="1" w:lastRow="0" w:firstColumn="1" w:lastColumn="0" w:noHBand="0" w:noVBand="1"/>
      </w:tblPr>
      <w:tblGrid>
        <w:gridCol w:w="2917"/>
        <w:gridCol w:w="7379"/>
      </w:tblGrid>
      <w:tr w:rsidR="000E670A" w14:paraId="7B8AC33D" w14:textId="77777777" w:rsidTr="00721DD3">
        <w:trPr>
          <w:cantSplit/>
          <w:jc w:val="center"/>
        </w:trPr>
        <w:tc>
          <w:tcPr>
            <w:tcW w:w="3024" w:type="dxa"/>
            <w:tcBorders>
              <w:top w:val="single" w:sz="4" w:space="0" w:color="C9D3DF"/>
              <w:left w:val="single" w:sz="4" w:space="0" w:color="C9D3DF"/>
              <w:bottom w:val="single" w:sz="4" w:space="0" w:color="C9D3DF"/>
              <w:right w:val="single" w:sz="4" w:space="0" w:color="C9D3DF"/>
            </w:tcBorders>
            <w:shd w:val="clear" w:color="auto" w:fill="1F4E79"/>
          </w:tcPr>
          <w:p w14:paraId="4D3BD276" w14:textId="77777777" w:rsidR="000E670A" w:rsidRDefault="000E670A" w:rsidP="00721DD3">
            <w:r>
              <w:rPr>
                <w:b/>
                <w:color w:val="FFFFFF"/>
                <w:sz w:val="17"/>
              </w:rPr>
              <w:t>Item</w:t>
            </w:r>
          </w:p>
        </w:tc>
        <w:tc>
          <w:tcPr>
            <w:tcW w:w="7776" w:type="dxa"/>
            <w:tcBorders>
              <w:top w:val="single" w:sz="4" w:space="0" w:color="C9D3DF"/>
              <w:left w:val="single" w:sz="4" w:space="0" w:color="C9D3DF"/>
              <w:bottom w:val="single" w:sz="4" w:space="0" w:color="C9D3DF"/>
              <w:right w:val="single" w:sz="4" w:space="0" w:color="C9D3DF"/>
            </w:tcBorders>
            <w:shd w:val="clear" w:color="auto" w:fill="1F4E79"/>
          </w:tcPr>
          <w:p w14:paraId="0B05E0B9" w14:textId="77777777" w:rsidR="000E670A" w:rsidRDefault="000E670A" w:rsidP="00721DD3">
            <w:r>
              <w:rPr>
                <w:b/>
                <w:color w:val="FFFFFF"/>
                <w:sz w:val="17"/>
              </w:rPr>
              <w:t>Proposed Structure</w:t>
            </w:r>
          </w:p>
        </w:tc>
      </w:tr>
      <w:tr w:rsidR="000E670A" w14:paraId="78797977" w14:textId="77777777" w:rsidTr="00721DD3">
        <w:trPr>
          <w:cantSplit/>
          <w:jc w:val="center"/>
        </w:trPr>
        <w:tc>
          <w:tcPr>
            <w:tcW w:w="3024" w:type="dxa"/>
            <w:tcBorders>
              <w:top w:val="single" w:sz="4" w:space="0" w:color="C9D3DF"/>
              <w:left w:val="single" w:sz="4" w:space="0" w:color="C9D3DF"/>
              <w:bottom w:val="single" w:sz="4" w:space="0" w:color="C9D3DF"/>
              <w:right w:val="single" w:sz="4" w:space="0" w:color="C9D3DF"/>
            </w:tcBorders>
            <w:shd w:val="clear" w:color="auto" w:fill="FFFFFF"/>
          </w:tcPr>
          <w:p w14:paraId="1570F78B" w14:textId="77777777" w:rsidR="000E670A" w:rsidRDefault="000E670A" w:rsidP="00721DD3">
            <w:r>
              <w:rPr>
                <w:sz w:val="17"/>
              </w:rPr>
              <w:t>Primary Proposed Role</w:t>
            </w:r>
          </w:p>
        </w:tc>
        <w:tc>
          <w:tcPr>
            <w:tcW w:w="7776" w:type="dxa"/>
            <w:tcBorders>
              <w:top w:val="single" w:sz="4" w:space="0" w:color="C9D3DF"/>
              <w:left w:val="single" w:sz="4" w:space="0" w:color="C9D3DF"/>
              <w:bottom w:val="single" w:sz="4" w:space="0" w:color="C9D3DF"/>
              <w:right w:val="single" w:sz="4" w:space="0" w:color="C9D3DF"/>
            </w:tcBorders>
            <w:shd w:val="clear" w:color="auto" w:fill="FFFFFF"/>
          </w:tcPr>
          <w:p w14:paraId="29D5570E" w14:textId="77777777" w:rsidR="000E670A" w:rsidRDefault="000E670A" w:rsidP="00E41D5B">
            <w:pPr>
              <w:ind w:firstLine="0"/>
            </w:pPr>
            <w:r>
              <w:rPr>
                <w:sz w:val="17"/>
              </w:rPr>
              <w:t>President / Chief Contractor Relations &amp; Placement Officer</w:t>
            </w:r>
          </w:p>
        </w:tc>
      </w:tr>
      <w:tr w:rsidR="000E670A" w14:paraId="396681BF" w14:textId="77777777" w:rsidTr="00721DD3">
        <w:trPr>
          <w:cantSplit/>
          <w:jc w:val="center"/>
        </w:trPr>
        <w:tc>
          <w:tcPr>
            <w:tcW w:w="3024" w:type="dxa"/>
            <w:tcBorders>
              <w:top w:val="single" w:sz="4" w:space="0" w:color="C9D3DF"/>
              <w:left w:val="single" w:sz="4" w:space="0" w:color="C9D3DF"/>
              <w:bottom w:val="single" w:sz="4" w:space="0" w:color="C9D3DF"/>
              <w:right w:val="single" w:sz="4" w:space="0" w:color="C9D3DF"/>
            </w:tcBorders>
            <w:shd w:val="clear" w:color="auto" w:fill="FFFFFF"/>
          </w:tcPr>
          <w:p w14:paraId="6735D213" w14:textId="77777777" w:rsidR="000E670A" w:rsidRDefault="000E670A" w:rsidP="00721DD3">
            <w:r>
              <w:rPr>
                <w:sz w:val="17"/>
              </w:rPr>
              <w:t>External / Functional Title</w:t>
            </w:r>
          </w:p>
        </w:tc>
        <w:tc>
          <w:tcPr>
            <w:tcW w:w="7776" w:type="dxa"/>
            <w:tcBorders>
              <w:top w:val="single" w:sz="4" w:space="0" w:color="C9D3DF"/>
              <w:left w:val="single" w:sz="4" w:space="0" w:color="C9D3DF"/>
              <w:bottom w:val="single" w:sz="4" w:space="0" w:color="C9D3DF"/>
              <w:right w:val="single" w:sz="4" w:space="0" w:color="C9D3DF"/>
            </w:tcBorders>
            <w:shd w:val="clear" w:color="auto" w:fill="FFFFFF"/>
          </w:tcPr>
          <w:p w14:paraId="16C908E2" w14:textId="77777777" w:rsidR="000E670A" w:rsidRDefault="000E670A" w:rsidP="00E41D5B">
            <w:pPr>
              <w:ind w:firstLine="0"/>
            </w:pPr>
            <w:r>
              <w:rPr>
                <w:sz w:val="17"/>
              </w:rPr>
              <w:t>Executive Officer - Contractor Relations, Placement Strategy &amp; Licensed Qualifier Network Development</w:t>
            </w:r>
          </w:p>
        </w:tc>
      </w:tr>
      <w:tr w:rsidR="000E670A" w14:paraId="10A36198" w14:textId="77777777" w:rsidTr="00721DD3">
        <w:trPr>
          <w:cantSplit/>
          <w:jc w:val="center"/>
        </w:trPr>
        <w:tc>
          <w:tcPr>
            <w:tcW w:w="3024" w:type="dxa"/>
            <w:tcBorders>
              <w:top w:val="single" w:sz="4" w:space="0" w:color="C9D3DF"/>
              <w:left w:val="single" w:sz="4" w:space="0" w:color="C9D3DF"/>
              <w:bottom w:val="single" w:sz="4" w:space="0" w:color="C9D3DF"/>
              <w:right w:val="single" w:sz="4" w:space="0" w:color="C9D3DF"/>
            </w:tcBorders>
            <w:shd w:val="clear" w:color="auto" w:fill="FFFFFF"/>
          </w:tcPr>
          <w:p w14:paraId="2C8C4658" w14:textId="77777777" w:rsidR="000E670A" w:rsidRDefault="000E670A" w:rsidP="00721DD3">
            <w:r>
              <w:rPr>
                <w:sz w:val="17"/>
              </w:rPr>
              <w:t>Primary Entity Alignment</w:t>
            </w:r>
          </w:p>
        </w:tc>
        <w:tc>
          <w:tcPr>
            <w:tcW w:w="7776" w:type="dxa"/>
            <w:tcBorders>
              <w:top w:val="single" w:sz="4" w:space="0" w:color="C9D3DF"/>
              <w:left w:val="single" w:sz="4" w:space="0" w:color="C9D3DF"/>
              <w:bottom w:val="single" w:sz="4" w:space="0" w:color="C9D3DF"/>
              <w:right w:val="single" w:sz="4" w:space="0" w:color="C9D3DF"/>
            </w:tcBorders>
            <w:shd w:val="clear" w:color="auto" w:fill="FFFFFF"/>
          </w:tcPr>
          <w:p w14:paraId="1C735C29" w14:textId="77777777" w:rsidR="000E670A" w:rsidRDefault="000E670A" w:rsidP="00E41D5B">
            <w:pPr>
              <w:ind w:firstLine="0"/>
            </w:pPr>
            <w:r>
              <w:rPr>
                <w:sz w:val="17"/>
              </w:rPr>
              <w:t>Compliance Authority Group, Contractor Compliance Authority, and Licensed Qualifier Network</w:t>
            </w:r>
          </w:p>
        </w:tc>
      </w:tr>
      <w:tr w:rsidR="000E670A" w14:paraId="0B56F88A" w14:textId="77777777" w:rsidTr="00721DD3">
        <w:trPr>
          <w:cantSplit/>
          <w:jc w:val="center"/>
        </w:trPr>
        <w:tc>
          <w:tcPr>
            <w:tcW w:w="3024" w:type="dxa"/>
            <w:tcBorders>
              <w:top w:val="single" w:sz="4" w:space="0" w:color="C9D3DF"/>
              <w:left w:val="single" w:sz="4" w:space="0" w:color="C9D3DF"/>
              <w:bottom w:val="single" w:sz="4" w:space="0" w:color="C9D3DF"/>
              <w:right w:val="single" w:sz="4" w:space="0" w:color="C9D3DF"/>
            </w:tcBorders>
            <w:shd w:val="clear" w:color="auto" w:fill="FFFFFF"/>
          </w:tcPr>
          <w:p w14:paraId="66E3CFBF" w14:textId="77777777" w:rsidR="000E670A" w:rsidRDefault="000E670A" w:rsidP="00721DD3">
            <w:r>
              <w:rPr>
                <w:sz w:val="17"/>
              </w:rPr>
              <w:t>Core Purpose</w:t>
            </w:r>
          </w:p>
        </w:tc>
        <w:tc>
          <w:tcPr>
            <w:tcW w:w="7776" w:type="dxa"/>
            <w:tcBorders>
              <w:top w:val="single" w:sz="4" w:space="0" w:color="C9D3DF"/>
              <w:left w:val="single" w:sz="4" w:space="0" w:color="C9D3DF"/>
              <w:bottom w:val="single" w:sz="4" w:space="0" w:color="C9D3DF"/>
              <w:right w:val="single" w:sz="4" w:space="0" w:color="C9D3DF"/>
            </w:tcBorders>
            <w:shd w:val="clear" w:color="auto" w:fill="FFFFFF"/>
          </w:tcPr>
          <w:p w14:paraId="4CA5AFD2" w14:textId="77777777" w:rsidR="000E670A" w:rsidRDefault="000E670A" w:rsidP="00E41D5B">
            <w:pPr>
              <w:ind w:firstLine="0"/>
            </w:pPr>
            <w:r>
              <w:rPr>
                <w:sz w:val="17"/>
              </w:rPr>
              <w:t>Serve as an executive officer focused on contractor relationships, qualifier placement strategy, high-value client trust, placement coordination, field perspective, and strategic growth support.</w:t>
            </w:r>
          </w:p>
        </w:tc>
      </w:tr>
      <w:tr w:rsidR="000E670A" w14:paraId="2E49A1C3" w14:textId="77777777" w:rsidTr="00721DD3">
        <w:trPr>
          <w:cantSplit/>
          <w:jc w:val="center"/>
        </w:trPr>
        <w:tc>
          <w:tcPr>
            <w:tcW w:w="3024" w:type="dxa"/>
            <w:tcBorders>
              <w:top w:val="single" w:sz="4" w:space="0" w:color="C9D3DF"/>
              <w:left w:val="single" w:sz="4" w:space="0" w:color="C9D3DF"/>
              <w:bottom w:val="single" w:sz="4" w:space="0" w:color="C9D3DF"/>
              <w:right w:val="single" w:sz="4" w:space="0" w:color="C9D3DF"/>
            </w:tcBorders>
            <w:shd w:val="clear" w:color="auto" w:fill="FFFFFF"/>
          </w:tcPr>
          <w:p w14:paraId="2289732B" w14:textId="77777777" w:rsidR="000E670A" w:rsidRDefault="000E670A" w:rsidP="00721DD3">
            <w:r>
              <w:rPr>
                <w:sz w:val="17"/>
              </w:rPr>
              <w:t>Compensation Strategy</w:t>
            </w:r>
          </w:p>
        </w:tc>
        <w:tc>
          <w:tcPr>
            <w:tcW w:w="7776" w:type="dxa"/>
            <w:tcBorders>
              <w:top w:val="single" w:sz="4" w:space="0" w:color="C9D3DF"/>
              <w:left w:val="single" w:sz="4" w:space="0" w:color="C9D3DF"/>
              <w:bottom w:val="single" w:sz="4" w:space="0" w:color="C9D3DF"/>
              <w:right w:val="single" w:sz="4" w:space="0" w:color="C9D3DF"/>
            </w:tcBorders>
            <w:shd w:val="clear" w:color="auto" w:fill="FFFFFF"/>
          </w:tcPr>
          <w:p w14:paraId="0E13F278" w14:textId="77777777" w:rsidR="000E670A" w:rsidRDefault="000E670A" w:rsidP="00E41D5B">
            <w:pPr>
              <w:ind w:firstLine="0"/>
            </w:pPr>
            <w:r>
              <w:rPr>
                <w:sz w:val="17"/>
              </w:rPr>
              <w:t>Executive compensation from the start, with bonus opportunities tied to placement coordination, client stability, expansion opportunities, monitoring conversions, and Licensed Qualifier Network buildout.</w:t>
            </w:r>
          </w:p>
        </w:tc>
      </w:tr>
      <w:tr w:rsidR="000E670A" w14:paraId="3D9DA079" w14:textId="77777777" w:rsidTr="00721DD3">
        <w:trPr>
          <w:cantSplit/>
          <w:jc w:val="center"/>
        </w:trPr>
        <w:tc>
          <w:tcPr>
            <w:tcW w:w="3024" w:type="dxa"/>
            <w:tcBorders>
              <w:top w:val="single" w:sz="4" w:space="0" w:color="C9D3DF"/>
              <w:left w:val="single" w:sz="4" w:space="0" w:color="C9D3DF"/>
              <w:bottom w:val="single" w:sz="4" w:space="0" w:color="C9D3DF"/>
              <w:right w:val="single" w:sz="4" w:space="0" w:color="C9D3DF"/>
            </w:tcBorders>
            <w:shd w:val="clear" w:color="auto" w:fill="FFFFFF"/>
          </w:tcPr>
          <w:p w14:paraId="59CF8A35" w14:textId="77777777" w:rsidR="000E670A" w:rsidRDefault="000E670A" w:rsidP="00721DD3">
            <w:r>
              <w:rPr>
                <w:sz w:val="17"/>
              </w:rPr>
              <w:t>Important Boundary</w:t>
            </w:r>
          </w:p>
        </w:tc>
        <w:tc>
          <w:tcPr>
            <w:tcW w:w="7776" w:type="dxa"/>
            <w:tcBorders>
              <w:top w:val="single" w:sz="4" w:space="0" w:color="C9D3DF"/>
              <w:left w:val="single" w:sz="4" w:space="0" w:color="C9D3DF"/>
              <w:bottom w:val="single" w:sz="4" w:space="0" w:color="C9D3DF"/>
              <w:right w:val="single" w:sz="4" w:space="0" w:color="C9D3DF"/>
            </w:tcBorders>
            <w:shd w:val="clear" w:color="auto" w:fill="FFFFFF"/>
          </w:tcPr>
          <w:p w14:paraId="09F60154" w14:textId="77777777" w:rsidR="000E670A" w:rsidRDefault="000E670A" w:rsidP="00E41D5B">
            <w:pPr>
              <w:ind w:firstLine="0"/>
            </w:pPr>
            <w:r>
              <w:rPr>
                <w:sz w:val="17"/>
              </w:rPr>
              <w:t>This officer role does not automatically define ownership, equity, voting rights, banking authority, or final legal/financial authority unless separately documented in company formation, operating, shareholder, banking, or governance documents.</w:t>
            </w:r>
          </w:p>
        </w:tc>
      </w:tr>
    </w:tbl>
    <w:p w14:paraId="63221B32" w14:textId="77777777" w:rsidR="000E670A" w:rsidRDefault="000E670A" w:rsidP="000E670A"/>
    <w:p w14:paraId="2E7A33D1" w14:textId="77777777" w:rsidR="000E670A" w:rsidRDefault="000E670A" w:rsidP="000E670A">
      <w:r>
        <w:br w:type="page"/>
      </w:r>
    </w:p>
    <w:p w14:paraId="2122ACEC" w14:textId="77777777" w:rsidR="000E670A" w:rsidRDefault="000E670A" w:rsidP="000E670A">
      <w:pPr>
        <w:pStyle w:val="Heading1"/>
      </w:pPr>
      <w:r>
        <w:rPr>
          <w:rFonts w:ascii="Aptos" w:eastAsia="Aptos" w:hAnsi="Aptos"/>
        </w:rPr>
        <w:lastRenderedPageBreak/>
        <w:t>BUSINESS STRUCTURE CONTEXT</w:t>
      </w:r>
    </w:p>
    <w:p w14:paraId="4A50A4F6" w14:textId="77777777" w:rsidR="000E670A" w:rsidRDefault="000E670A" w:rsidP="000E670A">
      <w:pPr>
        <w:spacing w:after="100" w:line="252" w:lineRule="auto"/>
      </w:pPr>
      <w:r>
        <w:rPr>
          <w:rFonts w:ascii="Aptos" w:eastAsia="Aptos" w:hAnsi="Aptos"/>
        </w:rPr>
        <w:t>The Compliance Authority platform is being built as a family of related compliance businesses. Contractor Compliance Authority focuses on contractor licensing, compliance risk audits, roadmaps, multi-state expansion, qualifier support, renewals, business services, and contractor-facing monitoring. Licensed Qualifier Network is expected to support qualifier intake, verification, placement coordination, relationship tracking, and lifecycle management. Professional Compliance Authority may support healthcare credentialing and provider compliance as a separate vertical.</w:t>
      </w:r>
    </w:p>
    <w:tbl>
      <w:tblPr>
        <w:tblStyle w:val="TableGrid"/>
        <w:tblW w:w="0" w:type="auto"/>
        <w:jc w:val="center"/>
        <w:tblLook w:val="04A0" w:firstRow="1" w:lastRow="0" w:firstColumn="1" w:lastColumn="0" w:noHBand="0" w:noVBand="1"/>
      </w:tblPr>
      <w:tblGrid>
        <w:gridCol w:w="2474"/>
        <w:gridCol w:w="3991"/>
        <w:gridCol w:w="3831"/>
      </w:tblGrid>
      <w:tr w:rsidR="000E670A" w14:paraId="3BD301C2" w14:textId="77777777" w:rsidTr="00721DD3">
        <w:trPr>
          <w:cantSplit/>
          <w:jc w:val="center"/>
        </w:trPr>
        <w:tc>
          <w:tcPr>
            <w:tcW w:w="2592" w:type="dxa"/>
            <w:tcBorders>
              <w:top w:val="single" w:sz="4" w:space="0" w:color="C9D3DF"/>
              <w:left w:val="single" w:sz="4" w:space="0" w:color="C9D3DF"/>
              <w:bottom w:val="single" w:sz="4" w:space="0" w:color="C9D3DF"/>
              <w:right w:val="single" w:sz="4" w:space="0" w:color="C9D3DF"/>
            </w:tcBorders>
            <w:shd w:val="clear" w:color="auto" w:fill="1F4E79"/>
          </w:tcPr>
          <w:p w14:paraId="12D5594C" w14:textId="77777777" w:rsidR="000E670A" w:rsidRDefault="000E670A" w:rsidP="00721DD3">
            <w:r>
              <w:rPr>
                <w:b/>
                <w:color w:val="FFFFFF"/>
                <w:sz w:val="17"/>
              </w:rPr>
              <w:t>Entity / Brand</w:t>
            </w:r>
          </w:p>
        </w:tc>
        <w:tc>
          <w:tcPr>
            <w:tcW w:w="4176" w:type="dxa"/>
            <w:tcBorders>
              <w:top w:val="single" w:sz="4" w:space="0" w:color="C9D3DF"/>
              <w:left w:val="single" w:sz="4" w:space="0" w:color="C9D3DF"/>
              <w:bottom w:val="single" w:sz="4" w:space="0" w:color="C9D3DF"/>
              <w:right w:val="single" w:sz="4" w:space="0" w:color="C9D3DF"/>
            </w:tcBorders>
            <w:shd w:val="clear" w:color="auto" w:fill="1F4E79"/>
          </w:tcPr>
          <w:p w14:paraId="1DCF699D" w14:textId="77777777" w:rsidR="000E670A" w:rsidRDefault="000E670A" w:rsidP="00721DD3">
            <w:r>
              <w:rPr>
                <w:b/>
                <w:color w:val="FFFFFF"/>
                <w:sz w:val="17"/>
              </w:rPr>
              <w:t>Primary Purpose</w:t>
            </w:r>
          </w:p>
        </w:tc>
        <w:tc>
          <w:tcPr>
            <w:tcW w:w="4032" w:type="dxa"/>
            <w:tcBorders>
              <w:top w:val="single" w:sz="4" w:space="0" w:color="C9D3DF"/>
              <w:left w:val="single" w:sz="4" w:space="0" w:color="C9D3DF"/>
              <w:bottom w:val="single" w:sz="4" w:space="0" w:color="C9D3DF"/>
              <w:right w:val="single" w:sz="4" w:space="0" w:color="C9D3DF"/>
            </w:tcBorders>
            <w:shd w:val="clear" w:color="auto" w:fill="1F4E79"/>
          </w:tcPr>
          <w:p w14:paraId="39137DEF" w14:textId="77777777" w:rsidR="000E670A" w:rsidRDefault="000E670A" w:rsidP="00721DD3">
            <w:r>
              <w:rPr>
                <w:b/>
                <w:color w:val="FFFFFF"/>
                <w:sz w:val="17"/>
              </w:rPr>
              <w:t>Gregg Alignment</w:t>
            </w:r>
          </w:p>
        </w:tc>
      </w:tr>
      <w:tr w:rsidR="000E670A" w14:paraId="6EA7B14B" w14:textId="77777777" w:rsidTr="00721DD3">
        <w:trPr>
          <w:cantSplit/>
          <w:jc w:val="center"/>
        </w:trPr>
        <w:tc>
          <w:tcPr>
            <w:tcW w:w="2592" w:type="dxa"/>
            <w:tcBorders>
              <w:top w:val="single" w:sz="4" w:space="0" w:color="C9D3DF"/>
              <w:left w:val="single" w:sz="4" w:space="0" w:color="C9D3DF"/>
              <w:bottom w:val="single" w:sz="4" w:space="0" w:color="C9D3DF"/>
              <w:right w:val="single" w:sz="4" w:space="0" w:color="C9D3DF"/>
            </w:tcBorders>
            <w:shd w:val="clear" w:color="auto" w:fill="FFFFFF"/>
          </w:tcPr>
          <w:p w14:paraId="28F73157" w14:textId="77777777" w:rsidR="000E670A" w:rsidRDefault="000E670A" w:rsidP="00E41D5B">
            <w:pPr>
              <w:ind w:firstLine="0"/>
            </w:pPr>
            <w:r>
              <w:rPr>
                <w:sz w:val="17"/>
              </w:rPr>
              <w:t>Compliance Authority Group</w:t>
            </w:r>
          </w:p>
        </w:tc>
        <w:tc>
          <w:tcPr>
            <w:tcW w:w="4176" w:type="dxa"/>
            <w:tcBorders>
              <w:top w:val="single" w:sz="4" w:space="0" w:color="C9D3DF"/>
              <w:left w:val="single" w:sz="4" w:space="0" w:color="C9D3DF"/>
              <w:bottom w:val="single" w:sz="4" w:space="0" w:color="C9D3DF"/>
              <w:right w:val="single" w:sz="4" w:space="0" w:color="C9D3DF"/>
            </w:tcBorders>
            <w:shd w:val="clear" w:color="auto" w:fill="FFFFFF"/>
          </w:tcPr>
          <w:p w14:paraId="2E2CA37C" w14:textId="77777777" w:rsidR="000E670A" w:rsidRDefault="000E670A" w:rsidP="00E41D5B">
            <w:pPr>
              <w:ind w:firstLine="0"/>
            </w:pPr>
            <w:r>
              <w:rPr>
                <w:sz w:val="17"/>
              </w:rPr>
              <w:t>Umbrella/parent strategy, future software/IP planning, shared administrative planning, and officer structure.</w:t>
            </w:r>
          </w:p>
        </w:tc>
        <w:tc>
          <w:tcPr>
            <w:tcW w:w="4032" w:type="dxa"/>
            <w:tcBorders>
              <w:top w:val="single" w:sz="4" w:space="0" w:color="C9D3DF"/>
              <w:left w:val="single" w:sz="4" w:space="0" w:color="C9D3DF"/>
              <w:bottom w:val="single" w:sz="4" w:space="0" w:color="C9D3DF"/>
              <w:right w:val="single" w:sz="4" w:space="0" w:color="C9D3DF"/>
            </w:tcBorders>
            <w:shd w:val="clear" w:color="auto" w:fill="FFFFFF"/>
          </w:tcPr>
          <w:p w14:paraId="01888D77" w14:textId="77777777" w:rsidR="000E670A" w:rsidRDefault="000E670A" w:rsidP="00E41D5B">
            <w:pPr>
              <w:ind w:firstLine="0"/>
            </w:pPr>
            <w:r>
              <w:rPr>
                <w:sz w:val="17"/>
              </w:rPr>
              <w:t>Gregg is positioned as President/officer of the parent structure, with executive involvement in strategy, trust-building, contractor relations, and placement growth.</w:t>
            </w:r>
          </w:p>
        </w:tc>
      </w:tr>
      <w:tr w:rsidR="000E670A" w14:paraId="3BD651EE" w14:textId="77777777" w:rsidTr="00721DD3">
        <w:trPr>
          <w:cantSplit/>
          <w:jc w:val="center"/>
        </w:trPr>
        <w:tc>
          <w:tcPr>
            <w:tcW w:w="2592" w:type="dxa"/>
            <w:tcBorders>
              <w:top w:val="single" w:sz="4" w:space="0" w:color="C9D3DF"/>
              <w:left w:val="single" w:sz="4" w:space="0" w:color="C9D3DF"/>
              <w:bottom w:val="single" w:sz="4" w:space="0" w:color="C9D3DF"/>
              <w:right w:val="single" w:sz="4" w:space="0" w:color="C9D3DF"/>
            </w:tcBorders>
            <w:shd w:val="clear" w:color="auto" w:fill="FFFFFF"/>
          </w:tcPr>
          <w:p w14:paraId="32498AC0" w14:textId="77777777" w:rsidR="000E670A" w:rsidRDefault="000E670A" w:rsidP="00E41D5B">
            <w:pPr>
              <w:ind w:firstLine="0"/>
            </w:pPr>
            <w:r>
              <w:rPr>
                <w:sz w:val="17"/>
              </w:rPr>
              <w:t>Contractor Compliance Authority</w:t>
            </w:r>
          </w:p>
        </w:tc>
        <w:tc>
          <w:tcPr>
            <w:tcW w:w="4176" w:type="dxa"/>
            <w:tcBorders>
              <w:top w:val="single" w:sz="4" w:space="0" w:color="C9D3DF"/>
              <w:left w:val="single" w:sz="4" w:space="0" w:color="C9D3DF"/>
              <w:bottom w:val="single" w:sz="4" w:space="0" w:color="C9D3DF"/>
              <w:right w:val="single" w:sz="4" w:space="0" w:color="C9D3DF"/>
            </w:tcBorders>
            <w:shd w:val="clear" w:color="auto" w:fill="FFFFFF"/>
          </w:tcPr>
          <w:p w14:paraId="4A5CBA65" w14:textId="77777777" w:rsidR="000E670A" w:rsidRDefault="000E670A" w:rsidP="00E41D5B">
            <w:pPr>
              <w:ind w:firstLine="0"/>
            </w:pPr>
            <w:r>
              <w:rPr>
                <w:sz w:val="17"/>
              </w:rPr>
              <w:t>Contractor licensing, compliance audits, roadmaps, expansion, monitoring, business services, and contractor relationships.</w:t>
            </w:r>
          </w:p>
        </w:tc>
        <w:tc>
          <w:tcPr>
            <w:tcW w:w="4032" w:type="dxa"/>
            <w:tcBorders>
              <w:top w:val="single" w:sz="4" w:space="0" w:color="C9D3DF"/>
              <w:left w:val="single" w:sz="4" w:space="0" w:color="C9D3DF"/>
              <w:bottom w:val="single" w:sz="4" w:space="0" w:color="C9D3DF"/>
              <w:right w:val="single" w:sz="4" w:space="0" w:color="C9D3DF"/>
            </w:tcBorders>
            <w:shd w:val="clear" w:color="auto" w:fill="FFFFFF"/>
          </w:tcPr>
          <w:p w14:paraId="62679BF1" w14:textId="77777777" w:rsidR="000E670A" w:rsidRDefault="000E670A" w:rsidP="00E41D5B">
            <w:pPr>
              <w:ind w:firstLine="0"/>
            </w:pPr>
            <w:r>
              <w:rPr>
                <w:sz w:val="17"/>
              </w:rPr>
              <w:t>Primary contractor-facing executive lane and client relationship leadership support.</w:t>
            </w:r>
          </w:p>
        </w:tc>
      </w:tr>
      <w:tr w:rsidR="000E670A" w14:paraId="0BD7912B" w14:textId="77777777" w:rsidTr="00721DD3">
        <w:trPr>
          <w:cantSplit/>
          <w:jc w:val="center"/>
        </w:trPr>
        <w:tc>
          <w:tcPr>
            <w:tcW w:w="2592" w:type="dxa"/>
            <w:tcBorders>
              <w:top w:val="single" w:sz="4" w:space="0" w:color="C9D3DF"/>
              <w:left w:val="single" w:sz="4" w:space="0" w:color="C9D3DF"/>
              <w:bottom w:val="single" w:sz="4" w:space="0" w:color="C9D3DF"/>
              <w:right w:val="single" w:sz="4" w:space="0" w:color="C9D3DF"/>
            </w:tcBorders>
            <w:shd w:val="clear" w:color="auto" w:fill="FFFFFF"/>
          </w:tcPr>
          <w:p w14:paraId="2811E816" w14:textId="77777777" w:rsidR="000E670A" w:rsidRDefault="000E670A" w:rsidP="00E41D5B">
            <w:pPr>
              <w:ind w:firstLine="0"/>
            </w:pPr>
            <w:r>
              <w:rPr>
                <w:sz w:val="17"/>
              </w:rPr>
              <w:t>Licensed Qualifier Network</w:t>
            </w:r>
          </w:p>
        </w:tc>
        <w:tc>
          <w:tcPr>
            <w:tcW w:w="4176" w:type="dxa"/>
            <w:tcBorders>
              <w:top w:val="single" w:sz="4" w:space="0" w:color="C9D3DF"/>
              <w:left w:val="single" w:sz="4" w:space="0" w:color="C9D3DF"/>
              <w:bottom w:val="single" w:sz="4" w:space="0" w:color="C9D3DF"/>
              <w:right w:val="single" w:sz="4" w:space="0" w:color="C9D3DF"/>
            </w:tcBorders>
            <w:shd w:val="clear" w:color="auto" w:fill="FFFFFF"/>
          </w:tcPr>
          <w:p w14:paraId="5201588D" w14:textId="77777777" w:rsidR="000E670A" w:rsidRDefault="000E670A" w:rsidP="00E41D5B">
            <w:pPr>
              <w:ind w:firstLine="0"/>
            </w:pPr>
            <w:r>
              <w:rPr>
                <w:sz w:val="17"/>
              </w:rPr>
              <w:t>Qualifier intake, verification, placement support, subscription participation, lifecycle tracking, and replacement/renewal support.</w:t>
            </w:r>
          </w:p>
        </w:tc>
        <w:tc>
          <w:tcPr>
            <w:tcW w:w="4032" w:type="dxa"/>
            <w:tcBorders>
              <w:top w:val="single" w:sz="4" w:space="0" w:color="C9D3DF"/>
              <w:left w:val="single" w:sz="4" w:space="0" w:color="C9D3DF"/>
              <w:bottom w:val="single" w:sz="4" w:space="0" w:color="C9D3DF"/>
              <w:right w:val="single" w:sz="4" w:space="0" w:color="C9D3DF"/>
            </w:tcBorders>
            <w:shd w:val="clear" w:color="auto" w:fill="FFFFFF"/>
          </w:tcPr>
          <w:p w14:paraId="18AEFAC8" w14:textId="77777777" w:rsidR="000E670A" w:rsidRDefault="000E670A" w:rsidP="00E41D5B">
            <w:pPr>
              <w:ind w:firstLine="0"/>
            </w:pPr>
            <w:r>
              <w:rPr>
                <w:sz w:val="17"/>
              </w:rPr>
              <w:t>Primary placement coordination and relationship development strength area.</w:t>
            </w:r>
          </w:p>
        </w:tc>
      </w:tr>
      <w:tr w:rsidR="000E670A" w14:paraId="17D7A62F" w14:textId="77777777" w:rsidTr="00721DD3">
        <w:trPr>
          <w:cantSplit/>
          <w:jc w:val="center"/>
        </w:trPr>
        <w:tc>
          <w:tcPr>
            <w:tcW w:w="2592" w:type="dxa"/>
            <w:tcBorders>
              <w:top w:val="single" w:sz="4" w:space="0" w:color="C9D3DF"/>
              <w:left w:val="single" w:sz="4" w:space="0" w:color="C9D3DF"/>
              <w:bottom w:val="single" w:sz="4" w:space="0" w:color="C9D3DF"/>
              <w:right w:val="single" w:sz="4" w:space="0" w:color="C9D3DF"/>
            </w:tcBorders>
            <w:shd w:val="clear" w:color="auto" w:fill="FFFFFF"/>
          </w:tcPr>
          <w:p w14:paraId="67E8CF2C" w14:textId="77777777" w:rsidR="000E670A" w:rsidRDefault="000E670A" w:rsidP="00E41D5B">
            <w:pPr>
              <w:ind w:firstLine="0"/>
            </w:pPr>
            <w:r>
              <w:rPr>
                <w:sz w:val="17"/>
              </w:rPr>
              <w:t>Professional Compliance Authority</w:t>
            </w:r>
          </w:p>
        </w:tc>
        <w:tc>
          <w:tcPr>
            <w:tcW w:w="4176" w:type="dxa"/>
            <w:tcBorders>
              <w:top w:val="single" w:sz="4" w:space="0" w:color="C9D3DF"/>
              <w:left w:val="single" w:sz="4" w:space="0" w:color="C9D3DF"/>
              <w:bottom w:val="single" w:sz="4" w:space="0" w:color="C9D3DF"/>
              <w:right w:val="single" w:sz="4" w:space="0" w:color="C9D3DF"/>
            </w:tcBorders>
            <w:shd w:val="clear" w:color="auto" w:fill="FFFFFF"/>
          </w:tcPr>
          <w:p w14:paraId="6960BFCC" w14:textId="77777777" w:rsidR="000E670A" w:rsidRDefault="000E670A" w:rsidP="00E41D5B">
            <w:pPr>
              <w:ind w:firstLine="0"/>
            </w:pPr>
            <w:r>
              <w:rPr>
                <w:sz w:val="17"/>
              </w:rPr>
              <w:t>Healthcare credentialing, payer enrollment, CAQH, provider compliance tracking.</w:t>
            </w:r>
          </w:p>
        </w:tc>
        <w:tc>
          <w:tcPr>
            <w:tcW w:w="4032" w:type="dxa"/>
            <w:tcBorders>
              <w:top w:val="single" w:sz="4" w:space="0" w:color="C9D3DF"/>
              <w:left w:val="single" w:sz="4" w:space="0" w:color="C9D3DF"/>
              <w:bottom w:val="single" w:sz="4" w:space="0" w:color="C9D3DF"/>
              <w:right w:val="single" w:sz="4" w:space="0" w:color="C9D3DF"/>
            </w:tcBorders>
            <w:shd w:val="clear" w:color="auto" w:fill="FFFFFF"/>
          </w:tcPr>
          <w:p w14:paraId="3FAAD5C4" w14:textId="77777777" w:rsidR="000E670A" w:rsidRDefault="000E670A" w:rsidP="00E41D5B">
            <w:pPr>
              <w:ind w:firstLine="0"/>
            </w:pPr>
            <w:r>
              <w:rPr>
                <w:sz w:val="17"/>
              </w:rPr>
              <w:t xml:space="preserve">No primary role unless separately </w:t>
            </w:r>
            <w:proofErr w:type="gramStart"/>
            <w:r>
              <w:rPr>
                <w:sz w:val="17"/>
              </w:rPr>
              <w:t>assigned, but</w:t>
            </w:r>
            <w:proofErr w:type="gramEnd"/>
            <w:r>
              <w:rPr>
                <w:sz w:val="17"/>
              </w:rPr>
              <w:t xml:space="preserve"> may support broader platform strategy when needed.</w:t>
            </w:r>
          </w:p>
        </w:tc>
      </w:tr>
    </w:tbl>
    <w:p w14:paraId="470F14B8" w14:textId="77777777" w:rsidR="000E670A" w:rsidRDefault="000E670A" w:rsidP="000E670A">
      <w:pPr>
        <w:pStyle w:val="Heading1"/>
      </w:pPr>
      <w:r>
        <w:rPr>
          <w:rFonts w:ascii="Aptos" w:eastAsia="Aptos" w:hAnsi="Aptos"/>
        </w:rPr>
        <w:t>WHY GREGG IS STRATEGICALLY VALUABLE</w:t>
      </w:r>
    </w:p>
    <w:p w14:paraId="289AA0CD" w14:textId="77777777" w:rsidR="000E670A" w:rsidRDefault="000E670A" w:rsidP="000E670A">
      <w:pPr>
        <w:spacing w:after="100" w:line="252" w:lineRule="auto"/>
      </w:pPr>
      <w:r>
        <w:rPr>
          <w:rFonts w:ascii="Aptos" w:eastAsia="Aptos" w:hAnsi="Aptos"/>
        </w:rPr>
        <w:t>Gregg brings practical contractor-world experience and a direct, relatable communication style that is valuable in a contractor-facing company. He understands how contractors think, what pressures they face, and how licensing, qualifier issues, board delays, documentation problems, insurance, bonding, job schedules, crews, owners, and revenue all connect in the real world.</w:t>
      </w:r>
    </w:p>
    <w:p w14:paraId="4F1796AA" w14:textId="77777777" w:rsidR="000E670A" w:rsidRDefault="000E670A" w:rsidP="000E670A">
      <w:pPr>
        <w:spacing w:after="100" w:line="252" w:lineRule="auto"/>
      </w:pPr>
      <w:r>
        <w:rPr>
          <w:rFonts w:ascii="Aptos" w:eastAsia="Aptos" w:hAnsi="Aptos"/>
        </w:rPr>
        <w:t>Gregg is also especially strong in placement coordination. Qualifier placement requires trust, judgment, follow-through, documentation, and the ability to manage both sides of a sensitive relationship. Gregg’s ability to communicate with contractors, understand practical fit, and coordinate moving parts makes him well suited to help build and lead this function inside the Licensed Qualifier Network.</w:t>
      </w:r>
    </w:p>
    <w:p w14:paraId="56FBC874" w14:textId="77777777" w:rsidR="000E670A" w:rsidRDefault="000E670A" w:rsidP="000E670A">
      <w:pPr>
        <w:spacing w:after="100" w:line="252" w:lineRule="auto"/>
      </w:pPr>
      <w:r>
        <w:rPr>
          <w:rFonts w:ascii="Aptos" w:eastAsia="Aptos" w:hAnsi="Aptos"/>
        </w:rPr>
        <w:t>Because Gregg is not simply being brought in as a support employee, this proposal positions him as an executive officer with defined responsibilities, measurable contribution areas, and clear authority boundaries.</w:t>
      </w:r>
    </w:p>
    <w:p w14:paraId="1445FC09" w14:textId="77777777" w:rsidR="000E670A" w:rsidRDefault="000E670A" w:rsidP="00E41D5B">
      <w:pPr>
        <w:pStyle w:val="Heading1"/>
        <w:spacing w:before="240"/>
      </w:pPr>
      <w:r>
        <w:rPr>
          <w:rFonts w:ascii="Aptos" w:eastAsia="Aptos" w:hAnsi="Aptos"/>
        </w:rPr>
        <w:t>PROPOSED OFFICER ROLE POSITIONING</w:t>
      </w:r>
    </w:p>
    <w:tbl>
      <w:tblPr>
        <w:tblStyle w:val="TableGrid"/>
        <w:tblW w:w="0" w:type="auto"/>
        <w:jc w:val="center"/>
        <w:tblLook w:val="04A0" w:firstRow="1" w:lastRow="0" w:firstColumn="1" w:lastColumn="0" w:noHBand="0" w:noVBand="1"/>
      </w:tblPr>
      <w:tblGrid>
        <w:gridCol w:w="2145"/>
        <w:gridCol w:w="3335"/>
        <w:gridCol w:w="4816"/>
      </w:tblGrid>
      <w:tr w:rsidR="000E670A" w14:paraId="20AB7911" w14:textId="77777777" w:rsidTr="00721DD3">
        <w:trPr>
          <w:cantSplit/>
          <w:jc w:val="center"/>
        </w:trPr>
        <w:tc>
          <w:tcPr>
            <w:tcW w:w="2232" w:type="dxa"/>
            <w:tcBorders>
              <w:top w:val="single" w:sz="4" w:space="0" w:color="C9D3DF"/>
              <w:left w:val="single" w:sz="4" w:space="0" w:color="C9D3DF"/>
              <w:bottom w:val="single" w:sz="4" w:space="0" w:color="C9D3DF"/>
              <w:right w:val="single" w:sz="4" w:space="0" w:color="C9D3DF"/>
            </w:tcBorders>
            <w:shd w:val="clear" w:color="auto" w:fill="1F4E79"/>
          </w:tcPr>
          <w:p w14:paraId="5BE29C57" w14:textId="77777777" w:rsidR="000E670A" w:rsidRDefault="000E670A" w:rsidP="00721DD3">
            <w:r>
              <w:rPr>
                <w:b/>
                <w:color w:val="FFFFFF"/>
                <w:sz w:val="17"/>
              </w:rPr>
              <w:t>Lane</w:t>
            </w:r>
          </w:p>
        </w:tc>
        <w:tc>
          <w:tcPr>
            <w:tcW w:w="3528" w:type="dxa"/>
            <w:tcBorders>
              <w:top w:val="single" w:sz="4" w:space="0" w:color="C9D3DF"/>
              <w:left w:val="single" w:sz="4" w:space="0" w:color="C9D3DF"/>
              <w:bottom w:val="single" w:sz="4" w:space="0" w:color="C9D3DF"/>
              <w:right w:val="single" w:sz="4" w:space="0" w:color="C9D3DF"/>
            </w:tcBorders>
            <w:shd w:val="clear" w:color="auto" w:fill="1F4E79"/>
          </w:tcPr>
          <w:p w14:paraId="1F94A2DA" w14:textId="77777777" w:rsidR="000E670A" w:rsidRDefault="000E670A" w:rsidP="00721DD3">
            <w:r>
              <w:rPr>
                <w:b/>
                <w:color w:val="FFFFFF"/>
                <w:sz w:val="17"/>
              </w:rPr>
              <w:t>Title / Function</w:t>
            </w:r>
          </w:p>
        </w:tc>
        <w:tc>
          <w:tcPr>
            <w:tcW w:w="5112" w:type="dxa"/>
            <w:tcBorders>
              <w:top w:val="single" w:sz="4" w:space="0" w:color="C9D3DF"/>
              <w:left w:val="single" w:sz="4" w:space="0" w:color="C9D3DF"/>
              <w:bottom w:val="single" w:sz="4" w:space="0" w:color="C9D3DF"/>
              <w:right w:val="single" w:sz="4" w:space="0" w:color="C9D3DF"/>
            </w:tcBorders>
            <w:shd w:val="clear" w:color="auto" w:fill="1F4E79"/>
          </w:tcPr>
          <w:p w14:paraId="24385898" w14:textId="77777777" w:rsidR="000E670A" w:rsidRDefault="000E670A" w:rsidP="00721DD3">
            <w:r>
              <w:rPr>
                <w:b/>
                <w:color w:val="FFFFFF"/>
                <w:sz w:val="17"/>
              </w:rPr>
              <w:t>Purpose</w:t>
            </w:r>
          </w:p>
        </w:tc>
      </w:tr>
      <w:tr w:rsidR="000E670A" w14:paraId="5A1A1262" w14:textId="77777777" w:rsidTr="00721DD3">
        <w:trPr>
          <w:cantSplit/>
          <w:jc w:val="center"/>
        </w:trPr>
        <w:tc>
          <w:tcPr>
            <w:tcW w:w="2232" w:type="dxa"/>
            <w:tcBorders>
              <w:top w:val="single" w:sz="4" w:space="0" w:color="C9D3DF"/>
              <w:left w:val="single" w:sz="4" w:space="0" w:color="C9D3DF"/>
              <w:bottom w:val="single" w:sz="4" w:space="0" w:color="C9D3DF"/>
              <w:right w:val="single" w:sz="4" w:space="0" w:color="C9D3DF"/>
            </w:tcBorders>
            <w:shd w:val="clear" w:color="auto" w:fill="FFFFFF"/>
          </w:tcPr>
          <w:p w14:paraId="6D503D57" w14:textId="77777777" w:rsidR="000E670A" w:rsidRDefault="000E670A" w:rsidP="00E41D5B">
            <w:pPr>
              <w:ind w:firstLine="0"/>
            </w:pPr>
            <w:r>
              <w:rPr>
                <w:sz w:val="17"/>
              </w:rPr>
              <w:t>Lane 1 - Executive Officer</w:t>
            </w:r>
          </w:p>
        </w:tc>
        <w:tc>
          <w:tcPr>
            <w:tcW w:w="3528" w:type="dxa"/>
            <w:tcBorders>
              <w:top w:val="single" w:sz="4" w:space="0" w:color="C9D3DF"/>
              <w:left w:val="single" w:sz="4" w:space="0" w:color="C9D3DF"/>
              <w:bottom w:val="single" w:sz="4" w:space="0" w:color="C9D3DF"/>
              <w:right w:val="single" w:sz="4" w:space="0" w:color="C9D3DF"/>
            </w:tcBorders>
            <w:shd w:val="clear" w:color="auto" w:fill="FFFFFF"/>
          </w:tcPr>
          <w:p w14:paraId="3A4E2D57" w14:textId="77777777" w:rsidR="000E670A" w:rsidRDefault="000E670A" w:rsidP="00E41D5B">
            <w:pPr>
              <w:ind w:firstLine="0"/>
            </w:pPr>
            <w:r>
              <w:rPr>
                <w:sz w:val="17"/>
              </w:rPr>
              <w:t>President / Chief Contractor Relations &amp; Placement Officer</w:t>
            </w:r>
          </w:p>
        </w:tc>
        <w:tc>
          <w:tcPr>
            <w:tcW w:w="5112" w:type="dxa"/>
            <w:tcBorders>
              <w:top w:val="single" w:sz="4" w:space="0" w:color="C9D3DF"/>
              <w:left w:val="single" w:sz="4" w:space="0" w:color="C9D3DF"/>
              <w:bottom w:val="single" w:sz="4" w:space="0" w:color="C9D3DF"/>
              <w:right w:val="single" w:sz="4" w:space="0" w:color="C9D3DF"/>
            </w:tcBorders>
            <w:shd w:val="clear" w:color="auto" w:fill="FFFFFF"/>
          </w:tcPr>
          <w:p w14:paraId="642E2A4F" w14:textId="77777777" w:rsidR="000E670A" w:rsidRDefault="000E670A" w:rsidP="00E41D5B">
            <w:pPr>
              <w:ind w:firstLine="0"/>
            </w:pPr>
            <w:r>
              <w:rPr>
                <w:sz w:val="17"/>
              </w:rPr>
              <w:t>Serve as an officer-level leader supporting contractor-facing strategy, placement coordination, high-value relationships, client trust, and growth priorities.</w:t>
            </w:r>
          </w:p>
        </w:tc>
      </w:tr>
      <w:tr w:rsidR="000E670A" w14:paraId="275E6343" w14:textId="77777777" w:rsidTr="00721DD3">
        <w:trPr>
          <w:cantSplit/>
          <w:jc w:val="center"/>
        </w:trPr>
        <w:tc>
          <w:tcPr>
            <w:tcW w:w="2232" w:type="dxa"/>
            <w:tcBorders>
              <w:top w:val="single" w:sz="4" w:space="0" w:color="C9D3DF"/>
              <w:left w:val="single" w:sz="4" w:space="0" w:color="C9D3DF"/>
              <w:bottom w:val="single" w:sz="4" w:space="0" w:color="C9D3DF"/>
              <w:right w:val="single" w:sz="4" w:space="0" w:color="C9D3DF"/>
            </w:tcBorders>
            <w:shd w:val="clear" w:color="auto" w:fill="FFFFFF"/>
          </w:tcPr>
          <w:p w14:paraId="354012D8" w14:textId="77777777" w:rsidR="000E670A" w:rsidRDefault="000E670A" w:rsidP="00E41D5B">
            <w:pPr>
              <w:ind w:firstLine="0"/>
            </w:pPr>
            <w:r>
              <w:rPr>
                <w:sz w:val="17"/>
              </w:rPr>
              <w:t>Lane 2 - Placement Strategy</w:t>
            </w:r>
          </w:p>
        </w:tc>
        <w:tc>
          <w:tcPr>
            <w:tcW w:w="3528" w:type="dxa"/>
            <w:tcBorders>
              <w:top w:val="single" w:sz="4" w:space="0" w:color="C9D3DF"/>
              <w:left w:val="single" w:sz="4" w:space="0" w:color="C9D3DF"/>
              <w:bottom w:val="single" w:sz="4" w:space="0" w:color="C9D3DF"/>
              <w:right w:val="single" w:sz="4" w:space="0" w:color="C9D3DF"/>
            </w:tcBorders>
            <w:shd w:val="clear" w:color="auto" w:fill="FFFFFF"/>
          </w:tcPr>
          <w:p w14:paraId="761FA8C1" w14:textId="77777777" w:rsidR="000E670A" w:rsidRDefault="000E670A" w:rsidP="00E41D5B">
            <w:pPr>
              <w:ind w:firstLine="0"/>
            </w:pPr>
            <w:r>
              <w:rPr>
                <w:sz w:val="17"/>
              </w:rPr>
              <w:t>Licensed Qualifier Network Placement Strategy Lead</w:t>
            </w:r>
          </w:p>
        </w:tc>
        <w:tc>
          <w:tcPr>
            <w:tcW w:w="5112" w:type="dxa"/>
            <w:tcBorders>
              <w:top w:val="single" w:sz="4" w:space="0" w:color="C9D3DF"/>
              <w:left w:val="single" w:sz="4" w:space="0" w:color="C9D3DF"/>
              <w:bottom w:val="single" w:sz="4" w:space="0" w:color="C9D3DF"/>
              <w:right w:val="single" w:sz="4" w:space="0" w:color="C9D3DF"/>
            </w:tcBorders>
            <w:shd w:val="clear" w:color="auto" w:fill="FFFFFF"/>
          </w:tcPr>
          <w:p w14:paraId="3799EE79" w14:textId="77777777" w:rsidR="000E670A" w:rsidRDefault="000E670A" w:rsidP="00E41D5B">
            <w:pPr>
              <w:ind w:firstLine="0"/>
            </w:pPr>
            <w:r>
              <w:rPr>
                <w:sz w:val="17"/>
              </w:rPr>
              <w:t>Help build, organize, and strengthen qualifier intake, contractor matching, placement communication, relationship tracking, and placement lifecycle support.</w:t>
            </w:r>
          </w:p>
        </w:tc>
      </w:tr>
      <w:tr w:rsidR="000E670A" w14:paraId="7DD7F487" w14:textId="77777777" w:rsidTr="00721DD3">
        <w:trPr>
          <w:cantSplit/>
          <w:jc w:val="center"/>
        </w:trPr>
        <w:tc>
          <w:tcPr>
            <w:tcW w:w="2232" w:type="dxa"/>
            <w:tcBorders>
              <w:top w:val="single" w:sz="4" w:space="0" w:color="C9D3DF"/>
              <w:left w:val="single" w:sz="4" w:space="0" w:color="C9D3DF"/>
              <w:bottom w:val="single" w:sz="4" w:space="0" w:color="C9D3DF"/>
              <w:right w:val="single" w:sz="4" w:space="0" w:color="C9D3DF"/>
            </w:tcBorders>
            <w:shd w:val="clear" w:color="auto" w:fill="FFFFFF"/>
          </w:tcPr>
          <w:p w14:paraId="6B12C9DE" w14:textId="77777777" w:rsidR="000E670A" w:rsidRDefault="000E670A" w:rsidP="00E41D5B">
            <w:pPr>
              <w:ind w:firstLine="0"/>
            </w:pPr>
            <w:r>
              <w:rPr>
                <w:sz w:val="17"/>
              </w:rPr>
              <w:t>Lane 3 - Client Relationship Leadership</w:t>
            </w:r>
          </w:p>
        </w:tc>
        <w:tc>
          <w:tcPr>
            <w:tcW w:w="3528" w:type="dxa"/>
            <w:tcBorders>
              <w:top w:val="single" w:sz="4" w:space="0" w:color="C9D3DF"/>
              <w:left w:val="single" w:sz="4" w:space="0" w:color="C9D3DF"/>
              <w:bottom w:val="single" w:sz="4" w:space="0" w:color="C9D3DF"/>
              <w:right w:val="single" w:sz="4" w:space="0" w:color="C9D3DF"/>
            </w:tcBorders>
            <w:shd w:val="clear" w:color="auto" w:fill="FFFFFF"/>
          </w:tcPr>
          <w:p w14:paraId="4AD74342" w14:textId="77777777" w:rsidR="000E670A" w:rsidRDefault="000E670A" w:rsidP="00E41D5B">
            <w:pPr>
              <w:ind w:firstLine="0"/>
            </w:pPr>
            <w:r>
              <w:rPr>
                <w:sz w:val="17"/>
              </w:rPr>
              <w:t>Executive Contractor Relations Advisor</w:t>
            </w:r>
          </w:p>
        </w:tc>
        <w:tc>
          <w:tcPr>
            <w:tcW w:w="5112" w:type="dxa"/>
            <w:tcBorders>
              <w:top w:val="single" w:sz="4" w:space="0" w:color="C9D3DF"/>
              <w:left w:val="single" w:sz="4" w:space="0" w:color="C9D3DF"/>
              <w:bottom w:val="single" w:sz="4" w:space="0" w:color="C9D3DF"/>
              <w:right w:val="single" w:sz="4" w:space="0" w:color="C9D3DF"/>
            </w:tcBorders>
            <w:shd w:val="clear" w:color="auto" w:fill="FFFFFF"/>
          </w:tcPr>
          <w:p w14:paraId="3F3C0D53" w14:textId="77777777" w:rsidR="000E670A" w:rsidRDefault="000E670A" w:rsidP="00E41D5B">
            <w:pPr>
              <w:ind w:firstLine="0"/>
            </w:pPr>
            <w:r>
              <w:rPr>
                <w:sz w:val="17"/>
              </w:rPr>
              <w:t>Support high-value client communication, escalation support, contractor-facing explanation, retention, and relationship stabilization.</w:t>
            </w:r>
          </w:p>
        </w:tc>
      </w:tr>
      <w:tr w:rsidR="000E670A" w14:paraId="64A6FDBD" w14:textId="77777777" w:rsidTr="00721DD3">
        <w:trPr>
          <w:cantSplit/>
          <w:jc w:val="center"/>
        </w:trPr>
        <w:tc>
          <w:tcPr>
            <w:tcW w:w="2232" w:type="dxa"/>
            <w:tcBorders>
              <w:top w:val="single" w:sz="4" w:space="0" w:color="C9D3DF"/>
              <w:left w:val="single" w:sz="4" w:space="0" w:color="C9D3DF"/>
              <w:bottom w:val="single" w:sz="4" w:space="0" w:color="C9D3DF"/>
              <w:right w:val="single" w:sz="4" w:space="0" w:color="C9D3DF"/>
            </w:tcBorders>
            <w:shd w:val="clear" w:color="auto" w:fill="FFFFFF"/>
          </w:tcPr>
          <w:p w14:paraId="60CCD4E7" w14:textId="77777777" w:rsidR="000E670A" w:rsidRDefault="000E670A" w:rsidP="00E41D5B">
            <w:pPr>
              <w:ind w:firstLine="0"/>
            </w:pPr>
            <w:r>
              <w:rPr>
                <w:sz w:val="17"/>
              </w:rPr>
              <w:t>Lane 4 - Growth Support</w:t>
            </w:r>
          </w:p>
        </w:tc>
        <w:tc>
          <w:tcPr>
            <w:tcW w:w="3528" w:type="dxa"/>
            <w:tcBorders>
              <w:top w:val="single" w:sz="4" w:space="0" w:color="C9D3DF"/>
              <w:left w:val="single" w:sz="4" w:space="0" w:color="C9D3DF"/>
              <w:bottom w:val="single" w:sz="4" w:space="0" w:color="C9D3DF"/>
              <w:right w:val="single" w:sz="4" w:space="0" w:color="C9D3DF"/>
            </w:tcBorders>
            <w:shd w:val="clear" w:color="auto" w:fill="FFFFFF"/>
          </w:tcPr>
          <w:p w14:paraId="2D10977B" w14:textId="77777777" w:rsidR="000E670A" w:rsidRDefault="000E670A" w:rsidP="00E41D5B">
            <w:pPr>
              <w:ind w:firstLine="0"/>
            </w:pPr>
            <w:r>
              <w:rPr>
                <w:sz w:val="17"/>
              </w:rPr>
              <w:t>Expansion, Monitoring &amp; Strategic Opportunity Support</w:t>
            </w:r>
          </w:p>
        </w:tc>
        <w:tc>
          <w:tcPr>
            <w:tcW w:w="5112" w:type="dxa"/>
            <w:tcBorders>
              <w:top w:val="single" w:sz="4" w:space="0" w:color="C9D3DF"/>
              <w:left w:val="single" w:sz="4" w:space="0" w:color="C9D3DF"/>
              <w:bottom w:val="single" w:sz="4" w:space="0" w:color="C9D3DF"/>
              <w:right w:val="single" w:sz="4" w:space="0" w:color="C9D3DF"/>
            </w:tcBorders>
            <w:shd w:val="clear" w:color="auto" w:fill="FFFFFF"/>
          </w:tcPr>
          <w:p w14:paraId="7090234C" w14:textId="77777777" w:rsidR="000E670A" w:rsidRDefault="000E670A" w:rsidP="00E41D5B">
            <w:pPr>
              <w:ind w:firstLine="0"/>
            </w:pPr>
            <w:r>
              <w:rPr>
                <w:sz w:val="17"/>
              </w:rPr>
              <w:t>Identify opportunities for expansion packages, qualifier placement, monitoring retainers, business services, referral partners, and contractor-facing growth opportunities.</w:t>
            </w:r>
          </w:p>
        </w:tc>
      </w:tr>
    </w:tbl>
    <w:p w14:paraId="2A4E8C7B" w14:textId="0EFB0EDE" w:rsidR="000E670A" w:rsidRDefault="000E670A" w:rsidP="00E41D5B">
      <w:pPr>
        <w:ind w:firstLine="0"/>
      </w:pPr>
    </w:p>
    <w:p w14:paraId="22701CE2" w14:textId="77777777" w:rsidR="000E670A" w:rsidRDefault="000E670A" w:rsidP="000E670A">
      <w:pPr>
        <w:pStyle w:val="Heading1"/>
      </w:pPr>
      <w:r>
        <w:rPr>
          <w:rFonts w:ascii="Aptos" w:eastAsia="Aptos" w:hAnsi="Aptos"/>
        </w:rPr>
        <w:lastRenderedPageBreak/>
        <w:t>PRIMARY EXECUTIVE RESPONSIBILITIES</w:t>
      </w:r>
    </w:p>
    <w:p w14:paraId="4210C78B" w14:textId="77777777" w:rsidR="000E670A" w:rsidRDefault="000E670A" w:rsidP="000E670A">
      <w:pPr>
        <w:pStyle w:val="ListBullet"/>
        <w:spacing w:after="40" w:line="276" w:lineRule="auto"/>
      </w:pPr>
      <w:r>
        <w:rPr>
          <w:rFonts w:ascii="Aptos" w:eastAsia="Aptos" w:hAnsi="Aptos"/>
        </w:rPr>
        <w:t>Represent the company in an officer-level capacity when appropriate, especially in contractor-facing, placement, and relationship-driven contexts.</w:t>
      </w:r>
    </w:p>
    <w:p w14:paraId="18C3F73D" w14:textId="77777777" w:rsidR="000E670A" w:rsidRDefault="000E670A" w:rsidP="000E670A">
      <w:pPr>
        <w:pStyle w:val="ListBullet"/>
        <w:spacing w:after="40" w:line="276" w:lineRule="auto"/>
      </w:pPr>
      <w:r>
        <w:rPr>
          <w:rFonts w:ascii="Aptos" w:eastAsia="Aptos" w:hAnsi="Aptos"/>
        </w:rPr>
        <w:t>Support high-level contractor relationship strategy, client trust, and practical communication standards.</w:t>
      </w:r>
    </w:p>
    <w:p w14:paraId="30F0AD89" w14:textId="77777777" w:rsidR="000E670A" w:rsidRDefault="000E670A" w:rsidP="000E670A">
      <w:pPr>
        <w:pStyle w:val="ListBullet"/>
        <w:spacing w:after="40" w:line="276" w:lineRule="auto"/>
      </w:pPr>
      <w:r>
        <w:rPr>
          <w:rFonts w:ascii="Aptos" w:eastAsia="Aptos" w:hAnsi="Aptos"/>
        </w:rPr>
        <w:t>Help develop and refine the Licensed Qualifier Network placement model.</w:t>
      </w:r>
    </w:p>
    <w:p w14:paraId="1C3E3A76" w14:textId="77777777" w:rsidR="000E670A" w:rsidRDefault="000E670A" w:rsidP="000E670A">
      <w:pPr>
        <w:pStyle w:val="ListBullet"/>
        <w:spacing w:after="40" w:line="276" w:lineRule="auto"/>
      </w:pPr>
      <w:r>
        <w:rPr>
          <w:rFonts w:ascii="Aptos" w:eastAsia="Aptos" w:hAnsi="Aptos"/>
        </w:rPr>
        <w:t>Support assigned high-value or sensitive client relationships where contractor-world experience is valuable.</w:t>
      </w:r>
    </w:p>
    <w:p w14:paraId="1A55849B" w14:textId="77777777" w:rsidR="000E670A" w:rsidRDefault="000E670A" w:rsidP="000E670A">
      <w:pPr>
        <w:pStyle w:val="ListBullet"/>
        <w:spacing w:after="40" w:line="276" w:lineRule="auto"/>
      </w:pPr>
      <w:r>
        <w:rPr>
          <w:rFonts w:ascii="Aptos" w:eastAsia="Aptos" w:hAnsi="Aptos"/>
        </w:rPr>
        <w:t>Participate in selected strategic calls with contractors, qualifiers, referral partners, or high-value accounts.</w:t>
      </w:r>
    </w:p>
    <w:p w14:paraId="5DCCE993" w14:textId="77777777" w:rsidR="000E670A" w:rsidRDefault="000E670A" w:rsidP="000E670A">
      <w:pPr>
        <w:pStyle w:val="ListBullet"/>
        <w:spacing w:after="40" w:line="276" w:lineRule="auto"/>
      </w:pPr>
      <w:r>
        <w:rPr>
          <w:rFonts w:ascii="Aptos" w:eastAsia="Aptos" w:hAnsi="Aptos"/>
        </w:rPr>
        <w:t>Assist with de-escalation when clients are frustrated, confused, or concerned, while keeping commitments within approved company boundaries.</w:t>
      </w:r>
    </w:p>
    <w:p w14:paraId="1929A03F" w14:textId="77777777" w:rsidR="000E670A" w:rsidRDefault="000E670A" w:rsidP="000E670A">
      <w:pPr>
        <w:pStyle w:val="ListBullet"/>
        <w:spacing w:after="40" w:line="276" w:lineRule="auto"/>
      </w:pPr>
      <w:r>
        <w:rPr>
          <w:rFonts w:ascii="Aptos" w:eastAsia="Aptos" w:hAnsi="Aptos"/>
        </w:rPr>
        <w:t>Identify placement, monitoring, expansion, and strategic revenue opportunities and route them through the approved process.</w:t>
      </w:r>
    </w:p>
    <w:p w14:paraId="6CF53D51" w14:textId="77777777" w:rsidR="000E670A" w:rsidRDefault="000E670A" w:rsidP="000E670A">
      <w:pPr>
        <w:pStyle w:val="ListBullet"/>
        <w:spacing w:after="40" w:line="276" w:lineRule="auto"/>
      </w:pPr>
      <w:r>
        <w:rPr>
          <w:rFonts w:ascii="Aptos" w:eastAsia="Aptos" w:hAnsi="Aptos"/>
        </w:rPr>
        <w:t>Help leadership understand contractor expectations, market concerns, field realities, and relationship risks.</w:t>
      </w:r>
    </w:p>
    <w:p w14:paraId="173E419E" w14:textId="77777777" w:rsidR="000E670A" w:rsidRDefault="000E670A" w:rsidP="000E670A">
      <w:pPr>
        <w:pStyle w:val="ListBullet"/>
        <w:spacing w:after="40" w:line="276" w:lineRule="auto"/>
      </w:pPr>
      <w:r>
        <w:rPr>
          <w:rFonts w:ascii="Aptos" w:eastAsia="Aptos" w:hAnsi="Aptos"/>
        </w:rPr>
        <w:t>Support development of internal communication standards for contractor-facing conversations.</w:t>
      </w:r>
    </w:p>
    <w:p w14:paraId="4A68012C" w14:textId="77777777" w:rsidR="000E670A" w:rsidRDefault="000E670A" w:rsidP="000E670A">
      <w:pPr>
        <w:pStyle w:val="ListBullet"/>
        <w:spacing w:after="40" w:line="276" w:lineRule="auto"/>
      </w:pPr>
      <w:r>
        <w:rPr>
          <w:rFonts w:ascii="Aptos" w:eastAsia="Aptos" w:hAnsi="Aptos"/>
        </w:rPr>
        <w:t>Help protect the company’s reputation through direct, practical, professional, and documented communication.</w:t>
      </w:r>
    </w:p>
    <w:p w14:paraId="1301C65C" w14:textId="77777777" w:rsidR="000E670A" w:rsidRDefault="000E670A" w:rsidP="00E41D5B">
      <w:pPr>
        <w:pStyle w:val="Heading1"/>
        <w:spacing w:before="360"/>
      </w:pPr>
      <w:r>
        <w:rPr>
          <w:rFonts w:ascii="Aptos" w:eastAsia="Aptos" w:hAnsi="Aptos"/>
        </w:rPr>
        <w:t>PLACEMENT COORDINATION &amp; LICENSED QUALIFIER NETWORK RESPONSIBILITIES</w:t>
      </w:r>
    </w:p>
    <w:p w14:paraId="462374F0" w14:textId="77777777" w:rsidR="000E670A" w:rsidRDefault="000E670A" w:rsidP="000E670A">
      <w:pPr>
        <w:spacing w:after="100" w:line="252" w:lineRule="auto"/>
      </w:pPr>
      <w:r>
        <w:rPr>
          <w:rFonts w:ascii="Aptos" w:eastAsia="Aptos" w:hAnsi="Aptos"/>
        </w:rPr>
        <w:t>Gregg’s placement coordination ability is a central part of this role. The purpose is not simply to introduce people. The purpose is to help build a responsible, documented, relationship-driven placement process that protects contractors, qualifiers, and the company.</w:t>
      </w:r>
    </w:p>
    <w:p w14:paraId="5949F9E5" w14:textId="77777777" w:rsidR="000E670A" w:rsidRDefault="000E670A" w:rsidP="000E670A">
      <w:pPr>
        <w:pStyle w:val="ListBullet"/>
        <w:spacing w:after="40" w:line="276" w:lineRule="auto"/>
      </w:pPr>
      <w:r>
        <w:rPr>
          <w:rFonts w:ascii="Aptos" w:eastAsia="Aptos" w:hAnsi="Aptos"/>
        </w:rPr>
        <w:t>Support qualifier intake conversations and gather basic placement availability information.</w:t>
      </w:r>
    </w:p>
    <w:p w14:paraId="0604B6D0" w14:textId="77777777" w:rsidR="000E670A" w:rsidRDefault="000E670A" w:rsidP="000E670A">
      <w:pPr>
        <w:pStyle w:val="ListBullet"/>
        <w:spacing w:after="40" w:line="276" w:lineRule="auto"/>
      </w:pPr>
      <w:r>
        <w:rPr>
          <w:rFonts w:ascii="Aptos" w:eastAsia="Aptos" w:hAnsi="Aptos"/>
        </w:rPr>
        <w:t>Help maintain relationships with potential qualifiers and contractor clients seeking placement support.</w:t>
      </w:r>
    </w:p>
    <w:p w14:paraId="7DE5FD42" w14:textId="77777777" w:rsidR="000E670A" w:rsidRDefault="000E670A" w:rsidP="000E670A">
      <w:pPr>
        <w:pStyle w:val="ListBullet"/>
        <w:spacing w:after="40" w:line="276" w:lineRule="auto"/>
      </w:pPr>
      <w:r>
        <w:rPr>
          <w:rFonts w:ascii="Aptos" w:eastAsia="Aptos" w:hAnsi="Aptos"/>
        </w:rPr>
        <w:t>Coordinate initial placement interest, practical fit, availability, and communication flow before final review.</w:t>
      </w:r>
    </w:p>
    <w:p w14:paraId="7B31D9EA" w14:textId="77777777" w:rsidR="000E670A" w:rsidRDefault="000E670A" w:rsidP="000E670A">
      <w:pPr>
        <w:pStyle w:val="ListBullet"/>
        <w:spacing w:after="40" w:line="276" w:lineRule="auto"/>
      </w:pPr>
      <w:r>
        <w:rPr>
          <w:rFonts w:ascii="Aptos" w:eastAsia="Aptos" w:hAnsi="Aptos"/>
        </w:rPr>
        <w:t>Help document placement needs, license type, state, trade/classification, timeline, budget, and client expectations.</w:t>
      </w:r>
    </w:p>
    <w:p w14:paraId="4281D979" w14:textId="77777777" w:rsidR="000E670A" w:rsidRDefault="000E670A" w:rsidP="000E670A">
      <w:pPr>
        <w:pStyle w:val="ListBullet"/>
        <w:spacing w:after="40" w:line="276" w:lineRule="auto"/>
      </w:pPr>
      <w:r>
        <w:rPr>
          <w:rFonts w:ascii="Aptos" w:eastAsia="Aptos" w:hAnsi="Aptos"/>
        </w:rPr>
        <w:t>Assist with candidate shortlists, follow-up, and communication flow between contractor, qualifier, and internal placement review.</w:t>
      </w:r>
    </w:p>
    <w:p w14:paraId="0A80CD5A" w14:textId="77777777" w:rsidR="000E670A" w:rsidRDefault="000E670A" w:rsidP="000E670A">
      <w:pPr>
        <w:pStyle w:val="ListBullet"/>
        <w:spacing w:after="40" w:line="276" w:lineRule="auto"/>
      </w:pPr>
      <w:r>
        <w:rPr>
          <w:rFonts w:ascii="Aptos" w:eastAsia="Aptos" w:hAnsi="Aptos"/>
        </w:rPr>
        <w:t>Help track placement status, next steps, missing information, renewal dates, replacement needs, and lifecycle changes.</w:t>
      </w:r>
    </w:p>
    <w:p w14:paraId="0A52B9BC" w14:textId="77777777" w:rsidR="000E670A" w:rsidRDefault="000E670A" w:rsidP="000E670A">
      <w:pPr>
        <w:pStyle w:val="ListBullet"/>
        <w:spacing w:after="40" w:line="276" w:lineRule="auto"/>
      </w:pPr>
      <w:r>
        <w:rPr>
          <w:rFonts w:ascii="Aptos" w:eastAsia="Aptos" w:hAnsi="Aptos"/>
        </w:rPr>
        <w:t>Flag placement risks, communication concerns, unclear expectations, mismatched fit, or potential conflict early.</w:t>
      </w:r>
    </w:p>
    <w:p w14:paraId="22AC1214" w14:textId="77777777" w:rsidR="000E670A" w:rsidRDefault="000E670A" w:rsidP="000E670A">
      <w:pPr>
        <w:pStyle w:val="ListBullet"/>
        <w:spacing w:after="40" w:line="276" w:lineRule="auto"/>
      </w:pPr>
      <w:r>
        <w:rPr>
          <w:rFonts w:ascii="Aptos" w:eastAsia="Aptos" w:hAnsi="Aptos"/>
        </w:rPr>
        <w:t>Support creation of placement trackers, qualifier profiles, placement communication templates, and process documentation.</w:t>
      </w:r>
    </w:p>
    <w:p w14:paraId="3E3E4642" w14:textId="77777777" w:rsidR="000E670A" w:rsidRDefault="000E670A" w:rsidP="000E670A">
      <w:pPr>
        <w:pStyle w:val="ListBullet"/>
        <w:spacing w:after="40" w:line="276" w:lineRule="auto"/>
      </w:pPr>
      <w:r>
        <w:rPr>
          <w:rFonts w:ascii="Aptos" w:eastAsia="Aptos" w:hAnsi="Aptos"/>
        </w:rPr>
        <w:t>Help build the Licensed Qualifier Network into a serious, organized, and trust-based service line.</w:t>
      </w:r>
    </w:p>
    <w:p w14:paraId="761A2645" w14:textId="77777777" w:rsidR="000E670A" w:rsidRDefault="000E670A" w:rsidP="000E670A">
      <w:pPr>
        <w:pStyle w:val="Heading1"/>
      </w:pPr>
      <w:r>
        <w:rPr>
          <w:rFonts w:ascii="Aptos" w:eastAsia="Aptos" w:hAnsi="Aptos"/>
        </w:rPr>
        <w:lastRenderedPageBreak/>
        <w:t>CLIENT RELATIONSHIP AND ESCALATION SUPPORT</w:t>
      </w:r>
    </w:p>
    <w:p w14:paraId="643B0C2A" w14:textId="77777777" w:rsidR="000E670A" w:rsidRDefault="000E670A" w:rsidP="000E670A">
      <w:pPr>
        <w:spacing w:after="100" w:line="252" w:lineRule="auto"/>
      </w:pPr>
      <w:r>
        <w:rPr>
          <w:rFonts w:ascii="Aptos" w:eastAsia="Aptos" w:hAnsi="Aptos"/>
        </w:rPr>
        <w:t xml:space="preserve">This role is designed to help clients feel heard, supported, and informed while </w:t>
      </w:r>
      <w:proofErr w:type="gramStart"/>
      <w:r>
        <w:rPr>
          <w:rFonts w:ascii="Aptos" w:eastAsia="Aptos" w:hAnsi="Aptos"/>
        </w:rPr>
        <w:t>still keeping</w:t>
      </w:r>
      <w:proofErr w:type="gramEnd"/>
      <w:r>
        <w:rPr>
          <w:rFonts w:ascii="Aptos" w:eastAsia="Aptos" w:hAnsi="Aptos"/>
        </w:rPr>
        <w:t xml:space="preserve"> communication within approved company boundaries. Gregg may assist when clients are frustrated, concerned, unclear on next steps, or need practical explanation from someone who understands the contractor side of the business.</w:t>
      </w:r>
    </w:p>
    <w:p w14:paraId="484EA510" w14:textId="77777777" w:rsidR="000E670A" w:rsidRDefault="000E670A" w:rsidP="000E670A">
      <w:pPr>
        <w:pStyle w:val="ListBullet"/>
        <w:spacing w:after="40" w:line="276" w:lineRule="auto"/>
      </w:pPr>
      <w:r>
        <w:rPr>
          <w:rFonts w:ascii="Aptos" w:eastAsia="Aptos" w:hAnsi="Aptos"/>
        </w:rPr>
        <w:t>Listen to client concerns and gather facts without making unsupported promises.</w:t>
      </w:r>
    </w:p>
    <w:p w14:paraId="0C1F2FAE" w14:textId="77777777" w:rsidR="000E670A" w:rsidRDefault="000E670A" w:rsidP="000E670A">
      <w:pPr>
        <w:pStyle w:val="ListBullet"/>
        <w:spacing w:after="40" w:line="276" w:lineRule="auto"/>
      </w:pPr>
      <w:r>
        <w:rPr>
          <w:rFonts w:ascii="Aptos" w:eastAsia="Aptos" w:hAnsi="Aptos"/>
        </w:rPr>
        <w:t>Clarify what the company can review, research, or follow up on.</w:t>
      </w:r>
    </w:p>
    <w:p w14:paraId="2374EA06" w14:textId="77777777" w:rsidR="000E670A" w:rsidRDefault="000E670A" w:rsidP="000E670A">
      <w:pPr>
        <w:pStyle w:val="ListBullet"/>
        <w:spacing w:after="40" w:line="276" w:lineRule="auto"/>
      </w:pPr>
      <w:r>
        <w:rPr>
          <w:rFonts w:ascii="Aptos" w:eastAsia="Aptos" w:hAnsi="Aptos"/>
        </w:rPr>
        <w:t>Coordinate with internal team members before providing status updates so information is accurate.</w:t>
      </w:r>
    </w:p>
    <w:p w14:paraId="5742AA6A" w14:textId="77777777" w:rsidR="000E670A" w:rsidRDefault="000E670A" w:rsidP="000E670A">
      <w:pPr>
        <w:pStyle w:val="ListBullet"/>
        <w:spacing w:after="40" w:line="276" w:lineRule="auto"/>
      </w:pPr>
      <w:r>
        <w:rPr>
          <w:rFonts w:ascii="Aptos" w:eastAsia="Aptos" w:hAnsi="Aptos"/>
        </w:rPr>
        <w:t>Route legal, compliance, pricing, refund, contract, or high-risk issues to the appropriate decision-maker.</w:t>
      </w:r>
    </w:p>
    <w:p w14:paraId="3390943A" w14:textId="77777777" w:rsidR="000E670A" w:rsidRDefault="000E670A" w:rsidP="000E670A">
      <w:pPr>
        <w:pStyle w:val="ListBullet"/>
        <w:spacing w:after="40" w:line="276" w:lineRule="auto"/>
      </w:pPr>
      <w:r>
        <w:rPr>
          <w:rFonts w:ascii="Aptos" w:eastAsia="Aptos" w:hAnsi="Aptos"/>
        </w:rPr>
        <w:t>Help restore trust when a client feels disconnected from the process.</w:t>
      </w:r>
    </w:p>
    <w:p w14:paraId="4C93483E" w14:textId="77777777" w:rsidR="000E670A" w:rsidRDefault="000E670A" w:rsidP="000E670A">
      <w:pPr>
        <w:pStyle w:val="ListBullet"/>
        <w:spacing w:after="40" w:line="276" w:lineRule="auto"/>
      </w:pPr>
      <w:r>
        <w:rPr>
          <w:rFonts w:ascii="Aptos" w:eastAsia="Aptos" w:hAnsi="Aptos"/>
        </w:rPr>
        <w:t>Document the concern, action items, commitments, and assigned owner after meaningful client or qualifier conversations.</w:t>
      </w:r>
    </w:p>
    <w:p w14:paraId="49473DD3" w14:textId="77777777" w:rsidR="000E670A" w:rsidRDefault="000E670A" w:rsidP="000E670A">
      <w:pPr>
        <w:pStyle w:val="ListBullet"/>
        <w:spacing w:after="40" w:line="276" w:lineRule="auto"/>
      </w:pPr>
      <w:r>
        <w:rPr>
          <w:rFonts w:ascii="Aptos" w:eastAsia="Aptos" w:hAnsi="Aptos"/>
        </w:rPr>
        <w:t>Support account managers by providing contractor-world context on sensitive accounts.</w:t>
      </w:r>
    </w:p>
    <w:p w14:paraId="4D1BB68C" w14:textId="77777777" w:rsidR="000E670A" w:rsidRDefault="000E670A" w:rsidP="000E670A">
      <w:pPr>
        <w:pStyle w:val="Heading1"/>
      </w:pPr>
      <w:r>
        <w:rPr>
          <w:rFonts w:ascii="Aptos" w:eastAsia="Aptos" w:hAnsi="Aptos"/>
        </w:rPr>
        <w:t>OFFICER AUTHORITY AND DECISION BOUNDARIES</w:t>
      </w:r>
    </w:p>
    <w:p w14:paraId="3B36EC1B" w14:textId="77777777" w:rsidR="000E670A" w:rsidRDefault="000E670A" w:rsidP="000E670A">
      <w:pPr>
        <w:spacing w:after="100" w:line="252" w:lineRule="auto"/>
      </w:pPr>
      <w:r>
        <w:rPr>
          <w:rFonts w:ascii="Aptos" w:eastAsia="Aptos" w:hAnsi="Aptos"/>
        </w:rPr>
        <w:t>This is an executive/officer role, but it must still have clear decision boundaries. Gregg may have high-level influence, strategic input, and officer-level responsibility, but certain decisions should remain subject to formal company governance, legal/accounting review, or founder approval.</w:t>
      </w:r>
    </w:p>
    <w:p w14:paraId="450C9A14" w14:textId="77777777" w:rsidR="000E670A" w:rsidRDefault="000E670A" w:rsidP="000E670A">
      <w:pPr>
        <w:pStyle w:val="ListBullet"/>
        <w:spacing w:after="40" w:line="276" w:lineRule="auto"/>
      </w:pPr>
      <w:r>
        <w:rPr>
          <w:rFonts w:ascii="Aptos" w:eastAsia="Aptos" w:hAnsi="Aptos"/>
        </w:rPr>
        <w:t>No guarantee of license approval, board timeline, qualifier acceptance, placement approval, insurance/bond outcome, or state decision.</w:t>
      </w:r>
    </w:p>
    <w:p w14:paraId="0F7FDC0B" w14:textId="77777777" w:rsidR="000E670A" w:rsidRDefault="000E670A" w:rsidP="000E670A">
      <w:pPr>
        <w:pStyle w:val="ListBullet"/>
        <w:spacing w:after="40" w:line="276" w:lineRule="auto"/>
      </w:pPr>
      <w:r>
        <w:rPr>
          <w:rFonts w:ascii="Aptos" w:eastAsia="Aptos" w:hAnsi="Aptos"/>
        </w:rPr>
        <w:t>No legal advice, tax advice, or final compliance opinion to clients.</w:t>
      </w:r>
    </w:p>
    <w:p w14:paraId="37293F41" w14:textId="77777777" w:rsidR="000E670A" w:rsidRDefault="000E670A" w:rsidP="000E670A">
      <w:pPr>
        <w:pStyle w:val="ListBullet"/>
        <w:spacing w:after="40" w:line="276" w:lineRule="auto"/>
      </w:pPr>
      <w:r>
        <w:rPr>
          <w:rFonts w:ascii="Aptos" w:eastAsia="Aptos" w:hAnsi="Aptos"/>
        </w:rPr>
        <w:t>No independent approval of refunds, pricing exceptions, discounts, payment plans, contract changes, or scope changes unless separately authorized.</w:t>
      </w:r>
    </w:p>
    <w:p w14:paraId="446C6F5D" w14:textId="77777777" w:rsidR="000E670A" w:rsidRDefault="000E670A" w:rsidP="000E670A">
      <w:pPr>
        <w:pStyle w:val="ListBullet"/>
        <w:spacing w:after="40" w:line="276" w:lineRule="auto"/>
      </w:pPr>
      <w:r>
        <w:rPr>
          <w:rFonts w:ascii="Aptos" w:eastAsia="Aptos" w:hAnsi="Aptos"/>
        </w:rPr>
        <w:t>No final approval of qualifier placement, placement agreements, or high-risk relationships without leadership/legal review where needed.</w:t>
      </w:r>
    </w:p>
    <w:p w14:paraId="0EF918F5" w14:textId="77777777" w:rsidR="000E670A" w:rsidRDefault="000E670A" w:rsidP="000E670A">
      <w:pPr>
        <w:pStyle w:val="ListBullet"/>
        <w:spacing w:after="40" w:line="276" w:lineRule="auto"/>
      </w:pPr>
      <w:r>
        <w:rPr>
          <w:rFonts w:ascii="Aptos" w:eastAsia="Aptos" w:hAnsi="Aptos"/>
        </w:rPr>
        <w:t>No movement of company funds, payroll approval, banking authority, tax decisions, or final accounting authority unless separately documented.</w:t>
      </w:r>
    </w:p>
    <w:p w14:paraId="053F1E23" w14:textId="77777777" w:rsidR="000E670A" w:rsidRDefault="000E670A" w:rsidP="000E670A">
      <w:pPr>
        <w:pStyle w:val="ListBullet"/>
        <w:spacing w:after="40" w:line="276" w:lineRule="auto"/>
      </w:pPr>
      <w:r>
        <w:rPr>
          <w:rFonts w:ascii="Aptos" w:eastAsia="Aptos" w:hAnsi="Aptos"/>
        </w:rPr>
        <w:t>No unilateral equity, ownership, founder-level, or profit participation promises to any person unless approved through company governance.</w:t>
      </w:r>
    </w:p>
    <w:p w14:paraId="6173E1DB" w14:textId="77777777" w:rsidR="000E670A" w:rsidRDefault="000E670A" w:rsidP="000E670A">
      <w:pPr>
        <w:pStyle w:val="ListBullet"/>
        <w:spacing w:after="40" w:line="276" w:lineRule="auto"/>
      </w:pPr>
      <w:r>
        <w:rPr>
          <w:rFonts w:ascii="Aptos" w:eastAsia="Aptos" w:hAnsi="Aptos"/>
        </w:rPr>
        <w:t>No use of CLP systems, client lists, data, templates, vendor accounts, or work product unless cleared by counsel.</w:t>
      </w:r>
    </w:p>
    <w:p w14:paraId="35AC70CA" w14:textId="77777777" w:rsidR="000E670A" w:rsidRDefault="000E670A" w:rsidP="000E670A">
      <w:pPr>
        <w:pStyle w:val="ListBullet"/>
        <w:spacing w:after="40" w:line="276" w:lineRule="auto"/>
      </w:pPr>
      <w:r>
        <w:rPr>
          <w:rFonts w:ascii="Aptos" w:eastAsia="Aptos" w:hAnsi="Aptos"/>
        </w:rPr>
        <w:t>When unsure, document the question and escalate rather than guessing or promising.</w:t>
      </w:r>
    </w:p>
    <w:p w14:paraId="5C61CF49" w14:textId="77777777" w:rsidR="00E41D5B" w:rsidRDefault="00E41D5B">
      <w:pPr>
        <w:rPr>
          <w:rFonts w:ascii="Aptos" w:eastAsia="Aptos" w:hAnsi="Aptos" w:cstheme="majorBidi"/>
          <w:b/>
          <w:bCs/>
          <w:color w:val="0B5294" w:themeColor="accent1" w:themeShade="BF"/>
          <w:sz w:val="24"/>
          <w:szCs w:val="24"/>
        </w:rPr>
      </w:pPr>
      <w:r>
        <w:rPr>
          <w:rFonts w:ascii="Aptos" w:eastAsia="Aptos" w:hAnsi="Aptos"/>
        </w:rPr>
        <w:br w:type="page"/>
      </w:r>
    </w:p>
    <w:p w14:paraId="336FD43E" w14:textId="50761072" w:rsidR="000E670A" w:rsidRDefault="000E670A" w:rsidP="000E670A">
      <w:pPr>
        <w:pStyle w:val="Heading1"/>
      </w:pPr>
      <w:r>
        <w:rPr>
          <w:rFonts w:ascii="Aptos" w:eastAsia="Aptos" w:hAnsi="Aptos"/>
        </w:rPr>
        <w:lastRenderedPageBreak/>
        <w:t>GOVERNANCE, OFFICER STATUS AND OWNERSHIP CLARIFICATION</w:t>
      </w:r>
    </w:p>
    <w:p w14:paraId="642E26B6" w14:textId="77777777" w:rsidR="000E670A" w:rsidRDefault="000E670A" w:rsidP="000E670A">
      <w:pPr>
        <w:spacing w:after="100" w:line="252" w:lineRule="auto"/>
      </w:pPr>
      <w:r>
        <w:rPr>
          <w:rFonts w:ascii="Aptos" w:eastAsia="Aptos" w:hAnsi="Aptos"/>
        </w:rPr>
        <w:t>Gregg is being positioned as an officer of the parent company structure, including the President role where applicable. Officer title, executive responsibility, compensation, equity, banking authority, signing authority, and ownership rights should each be documented separately where required.</w:t>
      </w:r>
    </w:p>
    <w:p w14:paraId="59900C4D" w14:textId="77777777" w:rsidR="000E670A" w:rsidRDefault="000E670A" w:rsidP="000E670A">
      <w:pPr>
        <w:spacing w:after="100" w:line="252" w:lineRule="auto"/>
      </w:pPr>
      <w:r>
        <w:rPr>
          <w:rFonts w:ascii="Aptos" w:eastAsia="Aptos" w:hAnsi="Aptos"/>
        </w:rPr>
        <w:t>This proposal is intended to define Gregg’s officer role and executive compensation structure. It does not, by itself, create or modify equity ownership, voting rights, tax treatment, bank authority, or legal control rights. Those items should be addressed through the company’s formation documents, operating agreement, shareholder agreement, banking resolutions, or other governance documents.</w:t>
      </w:r>
    </w:p>
    <w:p w14:paraId="0634CD4D" w14:textId="77777777" w:rsidR="000E670A" w:rsidRDefault="000E670A" w:rsidP="000E670A">
      <w:pPr>
        <w:pStyle w:val="Heading1"/>
      </w:pPr>
      <w:r>
        <w:rPr>
          <w:rFonts w:ascii="Aptos" w:eastAsia="Aptos" w:hAnsi="Aptos"/>
        </w:rPr>
        <w:t>DOCUMENTATION EXPECTATIONS</w:t>
      </w:r>
    </w:p>
    <w:p w14:paraId="32B4C8F5" w14:textId="77777777" w:rsidR="000E670A" w:rsidRDefault="000E670A" w:rsidP="000E670A">
      <w:pPr>
        <w:pStyle w:val="ListBullet"/>
        <w:spacing w:after="40" w:line="276" w:lineRule="auto"/>
      </w:pPr>
      <w:r>
        <w:rPr>
          <w:rFonts w:ascii="Aptos" w:eastAsia="Aptos" w:hAnsi="Aptos"/>
        </w:rPr>
        <w:t>Enter or coordinate CRM notes after meaningful client or qualifier conversations.</w:t>
      </w:r>
    </w:p>
    <w:p w14:paraId="5C8E2B81" w14:textId="77777777" w:rsidR="000E670A" w:rsidRDefault="000E670A" w:rsidP="000E670A">
      <w:pPr>
        <w:pStyle w:val="ListBullet"/>
        <w:spacing w:after="40" w:line="276" w:lineRule="auto"/>
      </w:pPr>
      <w:r>
        <w:rPr>
          <w:rFonts w:ascii="Aptos" w:eastAsia="Aptos" w:hAnsi="Aptos"/>
        </w:rPr>
        <w:t>Create follow-up tasks when a next step is needed.</w:t>
      </w:r>
    </w:p>
    <w:p w14:paraId="5527DF29" w14:textId="77777777" w:rsidR="000E670A" w:rsidRDefault="000E670A" w:rsidP="000E670A">
      <w:pPr>
        <w:pStyle w:val="ListBullet"/>
        <w:spacing w:after="40" w:line="276" w:lineRule="auto"/>
      </w:pPr>
      <w:r>
        <w:rPr>
          <w:rFonts w:ascii="Aptos" w:eastAsia="Aptos" w:hAnsi="Aptos"/>
        </w:rPr>
        <w:t>Document client concerns, requested actions, escalation details, and commitments clearly.</w:t>
      </w:r>
    </w:p>
    <w:p w14:paraId="75A905ED" w14:textId="77777777" w:rsidR="000E670A" w:rsidRDefault="000E670A" w:rsidP="000E670A">
      <w:pPr>
        <w:pStyle w:val="ListBullet"/>
        <w:spacing w:after="40" w:line="276" w:lineRule="auto"/>
      </w:pPr>
      <w:r>
        <w:rPr>
          <w:rFonts w:ascii="Aptos" w:eastAsia="Aptos" w:hAnsi="Aptos"/>
        </w:rPr>
        <w:t>Document placement coordination status, candidate/client fit notes, missing information, and next steps.</w:t>
      </w:r>
    </w:p>
    <w:p w14:paraId="705553B9" w14:textId="77777777" w:rsidR="000E670A" w:rsidRDefault="000E670A" w:rsidP="000E670A">
      <w:pPr>
        <w:pStyle w:val="ListBullet"/>
        <w:spacing w:after="40" w:line="276" w:lineRule="auto"/>
      </w:pPr>
      <w:r>
        <w:rPr>
          <w:rFonts w:ascii="Aptos" w:eastAsia="Aptos" w:hAnsi="Aptos"/>
        </w:rPr>
        <w:t>Flag urgent issues promptly and make sure no important commitment exists only verbally.</w:t>
      </w:r>
    </w:p>
    <w:p w14:paraId="1479DF5D" w14:textId="77777777" w:rsidR="000E670A" w:rsidRDefault="000E670A" w:rsidP="000E670A">
      <w:pPr>
        <w:pStyle w:val="ListBullet"/>
        <w:spacing w:after="40" w:line="276" w:lineRule="auto"/>
      </w:pPr>
      <w:r>
        <w:rPr>
          <w:rFonts w:ascii="Aptos" w:eastAsia="Aptos" w:hAnsi="Aptos"/>
        </w:rPr>
        <w:t>Use approved templates, trackers, CRM fields, and folder structures.</w:t>
      </w:r>
    </w:p>
    <w:p w14:paraId="227AAFB4" w14:textId="77777777" w:rsidR="000E670A" w:rsidRDefault="000E670A" w:rsidP="000E670A">
      <w:pPr>
        <w:pStyle w:val="ListBullet"/>
        <w:spacing w:after="40" w:line="276" w:lineRule="auto"/>
      </w:pPr>
      <w:r>
        <w:rPr>
          <w:rFonts w:ascii="Aptos" w:eastAsia="Aptos" w:hAnsi="Aptos"/>
        </w:rPr>
        <w:t>Maintain records so another authorized team member can understand the account or placement file without relying on memory.</w:t>
      </w:r>
    </w:p>
    <w:p w14:paraId="57B359B7" w14:textId="77777777" w:rsidR="000E670A" w:rsidRDefault="000E670A" w:rsidP="000E670A">
      <w:pPr>
        <w:pStyle w:val="Heading1"/>
      </w:pPr>
      <w:r>
        <w:rPr>
          <w:rFonts w:ascii="Aptos" w:eastAsia="Aptos" w:hAnsi="Aptos"/>
        </w:rPr>
        <w:t>CONFIDENTIALITY AND DATA SECURITY EXPECTATIONS</w:t>
      </w:r>
    </w:p>
    <w:p w14:paraId="1685ACB5" w14:textId="77777777" w:rsidR="000E670A" w:rsidRDefault="000E670A" w:rsidP="000E670A">
      <w:pPr>
        <w:pStyle w:val="ListBullet"/>
        <w:spacing w:after="40" w:line="276" w:lineRule="auto"/>
      </w:pPr>
      <w:r>
        <w:rPr>
          <w:rFonts w:ascii="Aptos" w:eastAsia="Aptos" w:hAnsi="Aptos"/>
        </w:rPr>
        <w:t>Use only approved company systems for client, contractor, qualifier, placement, and internal business records.</w:t>
      </w:r>
    </w:p>
    <w:p w14:paraId="213F4C76" w14:textId="77777777" w:rsidR="000E670A" w:rsidRDefault="000E670A" w:rsidP="000E670A">
      <w:pPr>
        <w:pStyle w:val="ListBullet"/>
        <w:spacing w:after="40" w:line="276" w:lineRule="auto"/>
      </w:pPr>
      <w:r>
        <w:rPr>
          <w:rFonts w:ascii="Aptos" w:eastAsia="Aptos" w:hAnsi="Aptos"/>
        </w:rPr>
        <w:t>Access only information needed for assigned work or officer responsibilities.</w:t>
      </w:r>
    </w:p>
    <w:p w14:paraId="146500E5" w14:textId="77777777" w:rsidR="000E670A" w:rsidRDefault="000E670A" w:rsidP="000E670A">
      <w:pPr>
        <w:pStyle w:val="ListBullet"/>
        <w:spacing w:after="40" w:line="276" w:lineRule="auto"/>
      </w:pPr>
      <w:r>
        <w:rPr>
          <w:rFonts w:ascii="Aptos" w:eastAsia="Aptos" w:hAnsi="Aptos"/>
        </w:rPr>
        <w:t>Maintain confidentiality of client information, qualifier information, placement discussions, company strategy, pricing, compensation, financial information, and internal processes.</w:t>
      </w:r>
    </w:p>
    <w:p w14:paraId="01E0033F" w14:textId="77777777" w:rsidR="000E670A" w:rsidRDefault="000E670A" w:rsidP="000E670A">
      <w:pPr>
        <w:pStyle w:val="ListBullet"/>
        <w:spacing w:after="40" w:line="276" w:lineRule="auto"/>
      </w:pPr>
      <w:r>
        <w:rPr>
          <w:rFonts w:ascii="Aptos" w:eastAsia="Aptos" w:hAnsi="Aptos"/>
        </w:rPr>
        <w:t>Do not share client, qualifier, placement, or company information through personal email, casual text, or unapproved channels.</w:t>
      </w:r>
    </w:p>
    <w:p w14:paraId="09E94841" w14:textId="77777777" w:rsidR="000E670A" w:rsidRDefault="000E670A" w:rsidP="000E670A">
      <w:pPr>
        <w:pStyle w:val="ListBullet"/>
        <w:spacing w:after="40" w:line="276" w:lineRule="auto"/>
      </w:pPr>
      <w:r>
        <w:rPr>
          <w:rFonts w:ascii="Aptos" w:eastAsia="Aptos" w:hAnsi="Aptos"/>
        </w:rPr>
        <w:t>Report suspected access issues, accidental disclosure, missing records, or security concerns immediately.</w:t>
      </w:r>
    </w:p>
    <w:p w14:paraId="55859A37" w14:textId="77777777" w:rsidR="000E670A" w:rsidRDefault="000E670A" w:rsidP="000E670A">
      <w:pPr>
        <w:pStyle w:val="ListBullet"/>
        <w:spacing w:after="40" w:line="276" w:lineRule="auto"/>
      </w:pPr>
      <w:r>
        <w:rPr>
          <w:rFonts w:ascii="Aptos" w:eastAsia="Aptos" w:hAnsi="Aptos"/>
        </w:rPr>
        <w:t>Follow company device, password, MFA, document storage, and offboarding policies once implemented.</w:t>
      </w:r>
      <w:r>
        <w:br w:type="page"/>
      </w:r>
    </w:p>
    <w:p w14:paraId="017A0E16" w14:textId="77777777" w:rsidR="000E670A" w:rsidRDefault="000E670A" w:rsidP="000E670A">
      <w:pPr>
        <w:pStyle w:val="Heading1"/>
      </w:pPr>
      <w:r>
        <w:rPr>
          <w:rFonts w:ascii="Aptos" w:eastAsia="Aptos" w:hAnsi="Aptos"/>
        </w:rPr>
        <w:lastRenderedPageBreak/>
        <w:t>EXECUTIVE COMPENSATION PROPOSAL</w:t>
      </w:r>
    </w:p>
    <w:p w14:paraId="427B0B94" w14:textId="77777777" w:rsidR="000E670A" w:rsidRDefault="000E670A" w:rsidP="000E670A">
      <w:pPr>
        <w:spacing w:after="100" w:line="252" w:lineRule="auto"/>
      </w:pPr>
      <w:r>
        <w:rPr>
          <w:rFonts w:ascii="Aptos" w:eastAsia="Aptos" w:hAnsi="Aptos"/>
        </w:rPr>
        <w:t>This compensation proposal is designed to recognize Gregg’s officer status, contractor relationship value, placement coordination strength, and importance to the early Compliance Authority Group / CCA / Licensed Qualifier Network buildout while keeping compensation aligned with startup cash flow and company performance.</w:t>
      </w:r>
    </w:p>
    <w:tbl>
      <w:tblPr>
        <w:tblStyle w:val="TableGrid"/>
        <w:tblW w:w="0" w:type="auto"/>
        <w:jc w:val="center"/>
        <w:tblLook w:val="04A0" w:firstRow="1" w:lastRow="0" w:firstColumn="1" w:lastColumn="0" w:noHBand="0" w:noVBand="1"/>
      </w:tblPr>
      <w:tblGrid>
        <w:gridCol w:w="2915"/>
        <w:gridCol w:w="7381"/>
      </w:tblGrid>
      <w:tr w:rsidR="000E670A" w14:paraId="6BA0D864" w14:textId="77777777" w:rsidTr="00721DD3">
        <w:trPr>
          <w:cantSplit/>
          <w:jc w:val="center"/>
        </w:trPr>
        <w:tc>
          <w:tcPr>
            <w:tcW w:w="3024" w:type="dxa"/>
            <w:tcBorders>
              <w:top w:val="single" w:sz="4" w:space="0" w:color="C9D3DF"/>
              <w:left w:val="single" w:sz="4" w:space="0" w:color="C9D3DF"/>
              <w:bottom w:val="single" w:sz="4" w:space="0" w:color="C9D3DF"/>
              <w:right w:val="single" w:sz="4" w:space="0" w:color="C9D3DF"/>
            </w:tcBorders>
            <w:shd w:val="clear" w:color="auto" w:fill="1F4E79"/>
          </w:tcPr>
          <w:p w14:paraId="0577FF57" w14:textId="77777777" w:rsidR="000E670A" w:rsidRDefault="000E670A" w:rsidP="00721DD3">
            <w:r>
              <w:rPr>
                <w:b/>
                <w:color w:val="FFFFFF"/>
                <w:sz w:val="17"/>
              </w:rPr>
              <w:t>Compensation Item</w:t>
            </w:r>
          </w:p>
        </w:tc>
        <w:tc>
          <w:tcPr>
            <w:tcW w:w="7776" w:type="dxa"/>
            <w:tcBorders>
              <w:top w:val="single" w:sz="4" w:space="0" w:color="C9D3DF"/>
              <w:left w:val="single" w:sz="4" w:space="0" w:color="C9D3DF"/>
              <w:bottom w:val="single" w:sz="4" w:space="0" w:color="C9D3DF"/>
              <w:right w:val="single" w:sz="4" w:space="0" w:color="C9D3DF"/>
            </w:tcBorders>
            <w:shd w:val="clear" w:color="auto" w:fill="1F4E79"/>
          </w:tcPr>
          <w:p w14:paraId="678B71FD" w14:textId="77777777" w:rsidR="000E670A" w:rsidRDefault="000E670A" w:rsidP="00721DD3">
            <w:r>
              <w:rPr>
                <w:b/>
                <w:color w:val="FFFFFF"/>
                <w:sz w:val="17"/>
              </w:rPr>
              <w:t>Proposed Structure</w:t>
            </w:r>
          </w:p>
        </w:tc>
      </w:tr>
      <w:tr w:rsidR="000E670A" w14:paraId="720F4408" w14:textId="77777777" w:rsidTr="00721DD3">
        <w:trPr>
          <w:cantSplit/>
          <w:jc w:val="center"/>
        </w:trPr>
        <w:tc>
          <w:tcPr>
            <w:tcW w:w="3024" w:type="dxa"/>
            <w:tcBorders>
              <w:top w:val="single" w:sz="4" w:space="0" w:color="C9D3DF"/>
              <w:left w:val="single" w:sz="4" w:space="0" w:color="C9D3DF"/>
              <w:bottom w:val="single" w:sz="4" w:space="0" w:color="C9D3DF"/>
              <w:right w:val="single" w:sz="4" w:space="0" w:color="C9D3DF"/>
            </w:tcBorders>
            <w:shd w:val="clear" w:color="auto" w:fill="FFFFFF"/>
          </w:tcPr>
          <w:p w14:paraId="149A5A3C" w14:textId="77777777" w:rsidR="000E670A" w:rsidRDefault="000E670A" w:rsidP="00721DD3">
            <w:r>
              <w:rPr>
                <w:sz w:val="17"/>
              </w:rPr>
              <w:t>Executive Compensation</w:t>
            </w:r>
          </w:p>
        </w:tc>
        <w:tc>
          <w:tcPr>
            <w:tcW w:w="7776" w:type="dxa"/>
            <w:tcBorders>
              <w:top w:val="single" w:sz="4" w:space="0" w:color="C9D3DF"/>
              <w:left w:val="single" w:sz="4" w:space="0" w:color="C9D3DF"/>
              <w:bottom w:val="single" w:sz="4" w:space="0" w:color="C9D3DF"/>
              <w:right w:val="single" w:sz="4" w:space="0" w:color="C9D3DF"/>
            </w:tcBorders>
            <w:shd w:val="clear" w:color="auto" w:fill="FFFFFF"/>
          </w:tcPr>
          <w:p w14:paraId="0084647A" w14:textId="77777777" w:rsidR="000E670A" w:rsidRDefault="000E670A" w:rsidP="00721DD3">
            <w:r>
              <w:rPr>
                <w:sz w:val="17"/>
              </w:rPr>
              <w:t>Starting executive compensation of $2,500 per week during the initial launch period.</w:t>
            </w:r>
          </w:p>
        </w:tc>
      </w:tr>
      <w:tr w:rsidR="000E670A" w14:paraId="57DFC6F6" w14:textId="77777777" w:rsidTr="00721DD3">
        <w:trPr>
          <w:cantSplit/>
          <w:jc w:val="center"/>
        </w:trPr>
        <w:tc>
          <w:tcPr>
            <w:tcW w:w="3024" w:type="dxa"/>
            <w:tcBorders>
              <w:top w:val="single" w:sz="4" w:space="0" w:color="C9D3DF"/>
              <w:left w:val="single" w:sz="4" w:space="0" w:color="C9D3DF"/>
              <w:bottom w:val="single" w:sz="4" w:space="0" w:color="C9D3DF"/>
              <w:right w:val="single" w:sz="4" w:space="0" w:color="C9D3DF"/>
            </w:tcBorders>
            <w:shd w:val="clear" w:color="auto" w:fill="FFFFFF"/>
          </w:tcPr>
          <w:p w14:paraId="4EB1CB16" w14:textId="77777777" w:rsidR="000E670A" w:rsidRDefault="000E670A" w:rsidP="00721DD3">
            <w:r>
              <w:rPr>
                <w:sz w:val="17"/>
              </w:rPr>
              <w:t>Schedule / Availability</w:t>
            </w:r>
          </w:p>
        </w:tc>
        <w:tc>
          <w:tcPr>
            <w:tcW w:w="7776" w:type="dxa"/>
            <w:tcBorders>
              <w:top w:val="single" w:sz="4" w:space="0" w:color="C9D3DF"/>
              <w:left w:val="single" w:sz="4" w:space="0" w:color="C9D3DF"/>
              <w:bottom w:val="single" w:sz="4" w:space="0" w:color="C9D3DF"/>
              <w:right w:val="single" w:sz="4" w:space="0" w:color="C9D3DF"/>
            </w:tcBorders>
            <w:shd w:val="clear" w:color="auto" w:fill="FFFFFF"/>
          </w:tcPr>
          <w:p w14:paraId="15C8EAAE" w14:textId="77777777" w:rsidR="000E670A" w:rsidRDefault="000E670A" w:rsidP="00721DD3">
            <w:r>
              <w:rPr>
                <w:sz w:val="17"/>
              </w:rPr>
              <w:t>Full-time executive availability with flexibility based on client needs, placement coordination, assigned accounts, strategic calls, and company launch priorities.</w:t>
            </w:r>
          </w:p>
        </w:tc>
      </w:tr>
      <w:tr w:rsidR="000E670A" w14:paraId="3F8A7260" w14:textId="77777777" w:rsidTr="00721DD3">
        <w:trPr>
          <w:cantSplit/>
          <w:jc w:val="center"/>
        </w:trPr>
        <w:tc>
          <w:tcPr>
            <w:tcW w:w="3024" w:type="dxa"/>
            <w:tcBorders>
              <w:top w:val="single" w:sz="4" w:space="0" w:color="C9D3DF"/>
              <w:left w:val="single" w:sz="4" w:space="0" w:color="C9D3DF"/>
              <w:bottom w:val="single" w:sz="4" w:space="0" w:color="C9D3DF"/>
              <w:right w:val="single" w:sz="4" w:space="0" w:color="C9D3DF"/>
            </w:tcBorders>
            <w:shd w:val="clear" w:color="auto" w:fill="FFFFFF"/>
          </w:tcPr>
          <w:p w14:paraId="3EE0BC96" w14:textId="77777777" w:rsidR="000E670A" w:rsidRDefault="000E670A" w:rsidP="00721DD3">
            <w:r>
              <w:rPr>
                <w:sz w:val="17"/>
              </w:rPr>
              <w:t>90-Day Review Target</w:t>
            </w:r>
          </w:p>
        </w:tc>
        <w:tc>
          <w:tcPr>
            <w:tcW w:w="7776" w:type="dxa"/>
            <w:tcBorders>
              <w:top w:val="single" w:sz="4" w:space="0" w:color="C9D3DF"/>
              <w:left w:val="single" w:sz="4" w:space="0" w:color="C9D3DF"/>
              <w:bottom w:val="single" w:sz="4" w:space="0" w:color="C9D3DF"/>
              <w:right w:val="single" w:sz="4" w:space="0" w:color="C9D3DF"/>
            </w:tcBorders>
            <w:shd w:val="clear" w:color="auto" w:fill="FFFFFF"/>
          </w:tcPr>
          <w:p w14:paraId="4EAF8B93" w14:textId="77777777" w:rsidR="000E670A" w:rsidRDefault="000E670A" w:rsidP="00721DD3">
            <w:r>
              <w:rPr>
                <w:sz w:val="17"/>
              </w:rPr>
              <w:t>Potential review for increased weekly compensation, expanded bonus eligibility, or additional placement/growth incentives based on revenue, role performance, account stability, placement contribution, and company cash flow.</w:t>
            </w:r>
          </w:p>
        </w:tc>
      </w:tr>
      <w:tr w:rsidR="000E670A" w14:paraId="084F5DE2" w14:textId="77777777" w:rsidTr="00721DD3">
        <w:trPr>
          <w:cantSplit/>
          <w:jc w:val="center"/>
        </w:trPr>
        <w:tc>
          <w:tcPr>
            <w:tcW w:w="3024" w:type="dxa"/>
            <w:tcBorders>
              <w:top w:val="single" w:sz="4" w:space="0" w:color="C9D3DF"/>
              <w:left w:val="single" w:sz="4" w:space="0" w:color="C9D3DF"/>
              <w:bottom w:val="single" w:sz="4" w:space="0" w:color="C9D3DF"/>
              <w:right w:val="single" w:sz="4" w:space="0" w:color="C9D3DF"/>
            </w:tcBorders>
            <w:shd w:val="clear" w:color="auto" w:fill="FFFFFF"/>
          </w:tcPr>
          <w:p w14:paraId="3D529CE6" w14:textId="77777777" w:rsidR="000E670A" w:rsidRDefault="000E670A" w:rsidP="00721DD3">
            <w:r>
              <w:rPr>
                <w:sz w:val="17"/>
              </w:rPr>
              <w:t>Primary Bonus Path</w:t>
            </w:r>
          </w:p>
        </w:tc>
        <w:tc>
          <w:tcPr>
            <w:tcW w:w="7776" w:type="dxa"/>
            <w:tcBorders>
              <w:top w:val="single" w:sz="4" w:space="0" w:color="C9D3DF"/>
              <w:left w:val="single" w:sz="4" w:space="0" w:color="C9D3DF"/>
              <w:bottom w:val="single" w:sz="4" w:space="0" w:color="C9D3DF"/>
              <w:right w:val="single" w:sz="4" w:space="0" w:color="C9D3DF"/>
            </w:tcBorders>
            <w:shd w:val="clear" w:color="auto" w:fill="FFFFFF"/>
          </w:tcPr>
          <w:p w14:paraId="2559FD19" w14:textId="77777777" w:rsidR="000E670A" w:rsidRDefault="000E670A" w:rsidP="00721DD3">
            <w:r>
              <w:rPr>
                <w:sz w:val="17"/>
              </w:rPr>
              <w:t>Placement coordination, Licensed Qualifier Network buildout, high-value account stability, monitoring conversion, expansion support, and client-save outcomes.</w:t>
            </w:r>
          </w:p>
        </w:tc>
      </w:tr>
      <w:tr w:rsidR="000E670A" w14:paraId="105C73AF" w14:textId="77777777" w:rsidTr="00721DD3">
        <w:trPr>
          <w:cantSplit/>
          <w:jc w:val="center"/>
        </w:trPr>
        <w:tc>
          <w:tcPr>
            <w:tcW w:w="3024" w:type="dxa"/>
            <w:tcBorders>
              <w:top w:val="single" w:sz="4" w:space="0" w:color="C9D3DF"/>
              <w:left w:val="single" w:sz="4" w:space="0" w:color="C9D3DF"/>
              <w:bottom w:val="single" w:sz="4" w:space="0" w:color="C9D3DF"/>
              <w:right w:val="single" w:sz="4" w:space="0" w:color="C9D3DF"/>
            </w:tcBorders>
            <w:shd w:val="clear" w:color="auto" w:fill="FFFFFF"/>
          </w:tcPr>
          <w:p w14:paraId="67D16A9C" w14:textId="77777777" w:rsidR="000E670A" w:rsidRDefault="000E670A" w:rsidP="00721DD3">
            <w:r>
              <w:rPr>
                <w:sz w:val="17"/>
              </w:rPr>
              <w:t>Ownership / Equity</w:t>
            </w:r>
          </w:p>
        </w:tc>
        <w:tc>
          <w:tcPr>
            <w:tcW w:w="7776" w:type="dxa"/>
            <w:tcBorders>
              <w:top w:val="single" w:sz="4" w:space="0" w:color="C9D3DF"/>
              <w:left w:val="single" w:sz="4" w:space="0" w:color="C9D3DF"/>
              <w:bottom w:val="single" w:sz="4" w:space="0" w:color="C9D3DF"/>
              <w:right w:val="single" w:sz="4" w:space="0" w:color="C9D3DF"/>
            </w:tcBorders>
            <w:shd w:val="clear" w:color="auto" w:fill="FFFFFF"/>
          </w:tcPr>
          <w:p w14:paraId="67F3D5C2" w14:textId="77777777" w:rsidR="000E670A" w:rsidRDefault="000E670A" w:rsidP="00721DD3">
            <w:r>
              <w:rPr>
                <w:sz w:val="17"/>
              </w:rPr>
              <w:t>Officer compensation is separate from equity, voting rights, banking authority, and distributions unless separately documented.</w:t>
            </w:r>
          </w:p>
        </w:tc>
      </w:tr>
    </w:tbl>
    <w:p w14:paraId="45CEABE2" w14:textId="77777777" w:rsidR="000E670A" w:rsidRDefault="000E670A" w:rsidP="000E670A"/>
    <w:p w14:paraId="24A4D67E" w14:textId="77777777" w:rsidR="000E670A" w:rsidRDefault="000E670A" w:rsidP="000E670A">
      <w:pPr>
        <w:pStyle w:val="Heading1"/>
      </w:pPr>
      <w:r>
        <w:rPr>
          <w:rFonts w:ascii="Aptos" w:eastAsia="Aptos" w:hAnsi="Aptos"/>
        </w:rPr>
        <w:t>BONUS OPPORTUNITIES</w:t>
      </w:r>
    </w:p>
    <w:tbl>
      <w:tblPr>
        <w:tblStyle w:val="TableGrid"/>
        <w:tblW w:w="0" w:type="auto"/>
        <w:jc w:val="center"/>
        <w:tblLook w:val="04A0" w:firstRow="1" w:lastRow="0" w:firstColumn="1" w:lastColumn="0" w:noHBand="0" w:noVBand="1"/>
      </w:tblPr>
      <w:tblGrid>
        <w:gridCol w:w="2768"/>
        <w:gridCol w:w="2162"/>
        <w:gridCol w:w="5366"/>
      </w:tblGrid>
      <w:tr w:rsidR="000E670A" w14:paraId="243DB43D" w14:textId="77777777" w:rsidTr="00721DD3">
        <w:trPr>
          <w:cantSplit/>
          <w:jc w:val="center"/>
        </w:trPr>
        <w:tc>
          <w:tcPr>
            <w:tcW w:w="2880" w:type="dxa"/>
            <w:tcBorders>
              <w:top w:val="single" w:sz="4" w:space="0" w:color="C9D3DF"/>
              <w:left w:val="single" w:sz="4" w:space="0" w:color="C9D3DF"/>
              <w:bottom w:val="single" w:sz="4" w:space="0" w:color="C9D3DF"/>
              <w:right w:val="single" w:sz="4" w:space="0" w:color="C9D3DF"/>
            </w:tcBorders>
            <w:shd w:val="clear" w:color="auto" w:fill="1F4E79"/>
          </w:tcPr>
          <w:p w14:paraId="62C56DFF" w14:textId="77777777" w:rsidR="000E670A" w:rsidRDefault="000E670A" w:rsidP="00721DD3">
            <w:r>
              <w:rPr>
                <w:b/>
                <w:color w:val="FFFFFF"/>
                <w:sz w:val="15"/>
              </w:rPr>
              <w:t>Bonus Type</w:t>
            </w:r>
          </w:p>
        </w:tc>
        <w:tc>
          <w:tcPr>
            <w:tcW w:w="2232" w:type="dxa"/>
            <w:tcBorders>
              <w:top w:val="single" w:sz="4" w:space="0" w:color="C9D3DF"/>
              <w:left w:val="single" w:sz="4" w:space="0" w:color="C9D3DF"/>
              <w:bottom w:val="single" w:sz="4" w:space="0" w:color="C9D3DF"/>
              <w:right w:val="single" w:sz="4" w:space="0" w:color="C9D3DF"/>
            </w:tcBorders>
            <w:shd w:val="clear" w:color="auto" w:fill="1F4E79"/>
          </w:tcPr>
          <w:p w14:paraId="4B19C1C1" w14:textId="77777777" w:rsidR="000E670A" w:rsidRDefault="000E670A" w:rsidP="00721DD3">
            <w:r>
              <w:rPr>
                <w:b/>
                <w:color w:val="FFFFFF"/>
                <w:sz w:val="15"/>
              </w:rPr>
              <w:t>Potential Amount</w:t>
            </w:r>
          </w:p>
        </w:tc>
        <w:tc>
          <w:tcPr>
            <w:tcW w:w="5616" w:type="dxa"/>
            <w:tcBorders>
              <w:top w:val="single" w:sz="4" w:space="0" w:color="C9D3DF"/>
              <w:left w:val="single" w:sz="4" w:space="0" w:color="C9D3DF"/>
              <w:bottom w:val="single" w:sz="4" w:space="0" w:color="C9D3DF"/>
              <w:right w:val="single" w:sz="4" w:space="0" w:color="C9D3DF"/>
            </w:tcBorders>
            <w:shd w:val="clear" w:color="auto" w:fill="1F4E79"/>
          </w:tcPr>
          <w:p w14:paraId="362AD517" w14:textId="77777777" w:rsidR="000E670A" w:rsidRDefault="000E670A" w:rsidP="00721DD3">
            <w:r>
              <w:rPr>
                <w:b/>
                <w:color w:val="FFFFFF"/>
                <w:sz w:val="15"/>
              </w:rPr>
              <w:t>Example Criteria</w:t>
            </w:r>
          </w:p>
        </w:tc>
      </w:tr>
      <w:tr w:rsidR="000E670A" w14:paraId="65AFC713" w14:textId="77777777" w:rsidTr="00721DD3">
        <w:trPr>
          <w:cantSplit/>
          <w:jc w:val="center"/>
        </w:trPr>
        <w:tc>
          <w:tcPr>
            <w:tcW w:w="2880" w:type="dxa"/>
            <w:tcBorders>
              <w:top w:val="single" w:sz="4" w:space="0" w:color="C9D3DF"/>
              <w:left w:val="single" w:sz="4" w:space="0" w:color="C9D3DF"/>
              <w:bottom w:val="single" w:sz="4" w:space="0" w:color="C9D3DF"/>
              <w:right w:val="single" w:sz="4" w:space="0" w:color="C9D3DF"/>
            </w:tcBorders>
            <w:shd w:val="clear" w:color="auto" w:fill="FFFFFF"/>
          </w:tcPr>
          <w:p w14:paraId="6E385CAD" w14:textId="77777777" w:rsidR="000E670A" w:rsidRDefault="000E670A" w:rsidP="00721DD3">
            <w:r>
              <w:rPr>
                <w:sz w:val="15"/>
              </w:rPr>
              <w:t>Placement Coordination Success Bonus</w:t>
            </w:r>
          </w:p>
        </w:tc>
        <w:tc>
          <w:tcPr>
            <w:tcW w:w="2232" w:type="dxa"/>
            <w:tcBorders>
              <w:top w:val="single" w:sz="4" w:space="0" w:color="C9D3DF"/>
              <w:left w:val="single" w:sz="4" w:space="0" w:color="C9D3DF"/>
              <w:bottom w:val="single" w:sz="4" w:space="0" w:color="C9D3DF"/>
              <w:right w:val="single" w:sz="4" w:space="0" w:color="C9D3DF"/>
            </w:tcBorders>
            <w:shd w:val="clear" w:color="auto" w:fill="FFFFFF"/>
          </w:tcPr>
          <w:p w14:paraId="034854DC" w14:textId="77777777" w:rsidR="000E670A" w:rsidRDefault="000E670A" w:rsidP="00721DD3">
            <w:r>
              <w:rPr>
                <w:sz w:val="15"/>
              </w:rPr>
              <w:t>$500-$1,500 per successful placement or placement milestone</w:t>
            </w:r>
          </w:p>
        </w:tc>
        <w:tc>
          <w:tcPr>
            <w:tcW w:w="5616" w:type="dxa"/>
            <w:tcBorders>
              <w:top w:val="single" w:sz="4" w:space="0" w:color="C9D3DF"/>
              <w:left w:val="single" w:sz="4" w:space="0" w:color="C9D3DF"/>
              <w:bottom w:val="single" w:sz="4" w:space="0" w:color="C9D3DF"/>
              <w:right w:val="single" w:sz="4" w:space="0" w:color="C9D3DF"/>
            </w:tcBorders>
            <w:shd w:val="clear" w:color="auto" w:fill="FFFFFF"/>
          </w:tcPr>
          <w:p w14:paraId="08EC20B7" w14:textId="77777777" w:rsidR="000E670A" w:rsidRDefault="000E670A" w:rsidP="00721DD3">
            <w:r>
              <w:rPr>
                <w:sz w:val="15"/>
              </w:rPr>
              <w:t>Supports a documented placement that closes and produces collected retained revenue.</w:t>
            </w:r>
          </w:p>
        </w:tc>
      </w:tr>
      <w:tr w:rsidR="000E670A" w14:paraId="3C9BC14A" w14:textId="77777777" w:rsidTr="00721DD3">
        <w:trPr>
          <w:cantSplit/>
          <w:jc w:val="center"/>
        </w:trPr>
        <w:tc>
          <w:tcPr>
            <w:tcW w:w="2880" w:type="dxa"/>
            <w:tcBorders>
              <w:top w:val="single" w:sz="4" w:space="0" w:color="C9D3DF"/>
              <w:left w:val="single" w:sz="4" w:space="0" w:color="C9D3DF"/>
              <w:bottom w:val="single" w:sz="4" w:space="0" w:color="C9D3DF"/>
              <w:right w:val="single" w:sz="4" w:space="0" w:color="C9D3DF"/>
            </w:tcBorders>
            <w:shd w:val="clear" w:color="auto" w:fill="FFFFFF"/>
          </w:tcPr>
          <w:p w14:paraId="23751663" w14:textId="77777777" w:rsidR="000E670A" w:rsidRDefault="000E670A" w:rsidP="00721DD3">
            <w:r>
              <w:rPr>
                <w:sz w:val="15"/>
              </w:rPr>
              <w:t>Qualifier Network Buildout Bonus</w:t>
            </w:r>
          </w:p>
        </w:tc>
        <w:tc>
          <w:tcPr>
            <w:tcW w:w="2232" w:type="dxa"/>
            <w:tcBorders>
              <w:top w:val="single" w:sz="4" w:space="0" w:color="C9D3DF"/>
              <w:left w:val="single" w:sz="4" w:space="0" w:color="C9D3DF"/>
              <w:bottom w:val="single" w:sz="4" w:space="0" w:color="C9D3DF"/>
              <w:right w:val="single" w:sz="4" w:space="0" w:color="C9D3DF"/>
            </w:tcBorders>
            <w:shd w:val="clear" w:color="auto" w:fill="FFFFFF"/>
          </w:tcPr>
          <w:p w14:paraId="5DE88D22" w14:textId="77777777" w:rsidR="000E670A" w:rsidRDefault="000E670A" w:rsidP="00721DD3">
            <w:r>
              <w:rPr>
                <w:sz w:val="15"/>
              </w:rPr>
              <w:t>$500-$1,500 per project</w:t>
            </w:r>
          </w:p>
        </w:tc>
        <w:tc>
          <w:tcPr>
            <w:tcW w:w="5616" w:type="dxa"/>
            <w:tcBorders>
              <w:top w:val="single" w:sz="4" w:space="0" w:color="C9D3DF"/>
              <w:left w:val="single" w:sz="4" w:space="0" w:color="C9D3DF"/>
              <w:bottom w:val="single" w:sz="4" w:space="0" w:color="C9D3DF"/>
              <w:right w:val="single" w:sz="4" w:space="0" w:color="C9D3DF"/>
            </w:tcBorders>
            <w:shd w:val="clear" w:color="auto" w:fill="FFFFFF"/>
          </w:tcPr>
          <w:p w14:paraId="3D7B41E5" w14:textId="77777777" w:rsidR="000E670A" w:rsidRDefault="000E670A" w:rsidP="00721DD3">
            <w:r>
              <w:rPr>
                <w:sz w:val="15"/>
              </w:rPr>
              <w:t>Builds usable intake, tracker, candidate list, templates, lifecycle tracking, or follow-up workflow.</w:t>
            </w:r>
          </w:p>
        </w:tc>
      </w:tr>
      <w:tr w:rsidR="000E670A" w14:paraId="39721E05" w14:textId="77777777" w:rsidTr="00721DD3">
        <w:trPr>
          <w:cantSplit/>
          <w:jc w:val="center"/>
        </w:trPr>
        <w:tc>
          <w:tcPr>
            <w:tcW w:w="2880" w:type="dxa"/>
            <w:tcBorders>
              <w:top w:val="single" w:sz="4" w:space="0" w:color="C9D3DF"/>
              <w:left w:val="single" w:sz="4" w:space="0" w:color="C9D3DF"/>
              <w:bottom w:val="single" w:sz="4" w:space="0" w:color="C9D3DF"/>
              <w:right w:val="single" w:sz="4" w:space="0" w:color="C9D3DF"/>
            </w:tcBorders>
            <w:shd w:val="clear" w:color="auto" w:fill="FFFFFF"/>
          </w:tcPr>
          <w:p w14:paraId="3E52F838" w14:textId="77777777" w:rsidR="000E670A" w:rsidRDefault="000E670A" w:rsidP="00721DD3">
            <w:r>
              <w:rPr>
                <w:sz w:val="15"/>
              </w:rPr>
              <w:t>Expansion Support Bonus</w:t>
            </w:r>
          </w:p>
        </w:tc>
        <w:tc>
          <w:tcPr>
            <w:tcW w:w="2232" w:type="dxa"/>
            <w:tcBorders>
              <w:top w:val="single" w:sz="4" w:space="0" w:color="C9D3DF"/>
              <w:left w:val="single" w:sz="4" w:space="0" w:color="C9D3DF"/>
              <w:bottom w:val="single" w:sz="4" w:space="0" w:color="C9D3DF"/>
              <w:right w:val="single" w:sz="4" w:space="0" w:color="C9D3DF"/>
            </w:tcBorders>
            <w:shd w:val="clear" w:color="auto" w:fill="FFFFFF"/>
          </w:tcPr>
          <w:p w14:paraId="10094900" w14:textId="77777777" w:rsidR="000E670A" w:rsidRDefault="000E670A" w:rsidP="00721DD3">
            <w:r>
              <w:rPr>
                <w:sz w:val="15"/>
              </w:rPr>
              <w:t>2%-3% of collected retained revenue</w:t>
            </w:r>
          </w:p>
        </w:tc>
        <w:tc>
          <w:tcPr>
            <w:tcW w:w="5616" w:type="dxa"/>
            <w:tcBorders>
              <w:top w:val="single" w:sz="4" w:space="0" w:color="C9D3DF"/>
              <w:left w:val="single" w:sz="4" w:space="0" w:color="C9D3DF"/>
              <w:bottom w:val="single" w:sz="4" w:space="0" w:color="C9D3DF"/>
              <w:right w:val="single" w:sz="4" w:space="0" w:color="C9D3DF"/>
            </w:tcBorders>
            <w:shd w:val="clear" w:color="auto" w:fill="FFFFFF"/>
          </w:tcPr>
          <w:p w14:paraId="4F423182" w14:textId="77777777" w:rsidR="000E670A" w:rsidRDefault="000E670A" w:rsidP="00721DD3">
            <w:r>
              <w:rPr>
                <w:sz w:val="15"/>
              </w:rPr>
              <w:t>Assists an existing client into an additional paid service or package.</w:t>
            </w:r>
          </w:p>
        </w:tc>
      </w:tr>
      <w:tr w:rsidR="000E670A" w14:paraId="6EE987A6" w14:textId="77777777" w:rsidTr="00721DD3">
        <w:trPr>
          <w:cantSplit/>
          <w:jc w:val="center"/>
        </w:trPr>
        <w:tc>
          <w:tcPr>
            <w:tcW w:w="2880" w:type="dxa"/>
            <w:tcBorders>
              <w:top w:val="single" w:sz="4" w:space="0" w:color="C9D3DF"/>
              <w:left w:val="single" w:sz="4" w:space="0" w:color="C9D3DF"/>
              <w:bottom w:val="single" w:sz="4" w:space="0" w:color="C9D3DF"/>
              <w:right w:val="single" w:sz="4" w:space="0" w:color="C9D3DF"/>
            </w:tcBorders>
            <w:shd w:val="clear" w:color="auto" w:fill="FFFFFF"/>
          </w:tcPr>
          <w:p w14:paraId="69F67ED4" w14:textId="77777777" w:rsidR="000E670A" w:rsidRDefault="000E670A" w:rsidP="00721DD3">
            <w:r>
              <w:rPr>
                <w:sz w:val="15"/>
              </w:rPr>
              <w:t>Monitoring Conversion Bonus</w:t>
            </w:r>
          </w:p>
        </w:tc>
        <w:tc>
          <w:tcPr>
            <w:tcW w:w="2232" w:type="dxa"/>
            <w:tcBorders>
              <w:top w:val="single" w:sz="4" w:space="0" w:color="C9D3DF"/>
              <w:left w:val="single" w:sz="4" w:space="0" w:color="C9D3DF"/>
              <w:bottom w:val="single" w:sz="4" w:space="0" w:color="C9D3DF"/>
              <w:right w:val="single" w:sz="4" w:space="0" w:color="C9D3DF"/>
            </w:tcBorders>
            <w:shd w:val="clear" w:color="auto" w:fill="FFFFFF"/>
          </w:tcPr>
          <w:p w14:paraId="306C8320" w14:textId="77777777" w:rsidR="000E670A" w:rsidRDefault="000E670A" w:rsidP="00721DD3">
            <w:r>
              <w:rPr>
                <w:sz w:val="15"/>
              </w:rPr>
              <w:t>$250-$500 per converted client</w:t>
            </w:r>
          </w:p>
        </w:tc>
        <w:tc>
          <w:tcPr>
            <w:tcW w:w="5616" w:type="dxa"/>
            <w:tcBorders>
              <w:top w:val="single" w:sz="4" w:space="0" w:color="C9D3DF"/>
              <w:left w:val="single" w:sz="4" w:space="0" w:color="C9D3DF"/>
              <w:bottom w:val="single" w:sz="4" w:space="0" w:color="C9D3DF"/>
              <w:right w:val="single" w:sz="4" w:space="0" w:color="C9D3DF"/>
            </w:tcBorders>
            <w:shd w:val="clear" w:color="auto" w:fill="FFFFFF"/>
          </w:tcPr>
          <w:p w14:paraId="4DEF42FB" w14:textId="77777777" w:rsidR="000E670A" w:rsidRDefault="000E670A" w:rsidP="00721DD3">
            <w:r>
              <w:rPr>
                <w:sz w:val="15"/>
              </w:rPr>
              <w:t>Assigned client converts to monitoring/retainer with documented support.</w:t>
            </w:r>
          </w:p>
        </w:tc>
      </w:tr>
      <w:tr w:rsidR="000E670A" w14:paraId="1EE11009" w14:textId="77777777" w:rsidTr="00721DD3">
        <w:trPr>
          <w:cantSplit/>
          <w:jc w:val="center"/>
        </w:trPr>
        <w:tc>
          <w:tcPr>
            <w:tcW w:w="2880" w:type="dxa"/>
            <w:tcBorders>
              <w:top w:val="single" w:sz="4" w:space="0" w:color="C9D3DF"/>
              <w:left w:val="single" w:sz="4" w:space="0" w:color="C9D3DF"/>
              <w:bottom w:val="single" w:sz="4" w:space="0" w:color="C9D3DF"/>
              <w:right w:val="single" w:sz="4" w:space="0" w:color="C9D3DF"/>
            </w:tcBorders>
            <w:shd w:val="clear" w:color="auto" w:fill="FFFFFF"/>
          </w:tcPr>
          <w:p w14:paraId="1005DDCC" w14:textId="77777777" w:rsidR="000E670A" w:rsidRDefault="000E670A" w:rsidP="00721DD3">
            <w:r>
              <w:rPr>
                <w:sz w:val="15"/>
              </w:rPr>
              <w:t>Client Save Bonus</w:t>
            </w:r>
          </w:p>
        </w:tc>
        <w:tc>
          <w:tcPr>
            <w:tcW w:w="2232" w:type="dxa"/>
            <w:tcBorders>
              <w:top w:val="single" w:sz="4" w:space="0" w:color="C9D3DF"/>
              <w:left w:val="single" w:sz="4" w:space="0" w:color="C9D3DF"/>
              <w:bottom w:val="single" w:sz="4" w:space="0" w:color="C9D3DF"/>
              <w:right w:val="single" w:sz="4" w:space="0" w:color="C9D3DF"/>
            </w:tcBorders>
            <w:shd w:val="clear" w:color="auto" w:fill="FFFFFF"/>
          </w:tcPr>
          <w:p w14:paraId="4C1AA391" w14:textId="77777777" w:rsidR="000E670A" w:rsidRDefault="000E670A" w:rsidP="00721DD3">
            <w:r>
              <w:rPr>
                <w:sz w:val="15"/>
              </w:rPr>
              <w:t>$250-$1,000 discretionary</w:t>
            </w:r>
          </w:p>
        </w:tc>
        <w:tc>
          <w:tcPr>
            <w:tcW w:w="5616" w:type="dxa"/>
            <w:tcBorders>
              <w:top w:val="single" w:sz="4" w:space="0" w:color="C9D3DF"/>
              <w:left w:val="single" w:sz="4" w:space="0" w:color="C9D3DF"/>
              <w:bottom w:val="single" w:sz="4" w:space="0" w:color="C9D3DF"/>
              <w:right w:val="single" w:sz="4" w:space="0" w:color="C9D3DF"/>
            </w:tcBorders>
            <w:shd w:val="clear" w:color="auto" w:fill="FFFFFF"/>
          </w:tcPr>
          <w:p w14:paraId="3501BDF4" w14:textId="77777777" w:rsidR="000E670A" w:rsidRDefault="000E670A" w:rsidP="00721DD3">
            <w:r>
              <w:rPr>
                <w:sz w:val="15"/>
              </w:rPr>
              <w:t>Helps retain an at-risk client. Requires approval and documentation.</w:t>
            </w:r>
          </w:p>
        </w:tc>
      </w:tr>
      <w:tr w:rsidR="000E670A" w14:paraId="68E50024" w14:textId="77777777" w:rsidTr="00721DD3">
        <w:trPr>
          <w:cantSplit/>
          <w:jc w:val="center"/>
        </w:trPr>
        <w:tc>
          <w:tcPr>
            <w:tcW w:w="2880" w:type="dxa"/>
            <w:tcBorders>
              <w:top w:val="single" w:sz="4" w:space="0" w:color="C9D3DF"/>
              <w:left w:val="single" w:sz="4" w:space="0" w:color="C9D3DF"/>
              <w:bottom w:val="single" w:sz="4" w:space="0" w:color="C9D3DF"/>
              <w:right w:val="single" w:sz="4" w:space="0" w:color="C9D3DF"/>
            </w:tcBorders>
            <w:shd w:val="clear" w:color="auto" w:fill="FFFFFF"/>
          </w:tcPr>
          <w:p w14:paraId="3B30ED4E" w14:textId="77777777" w:rsidR="000E670A" w:rsidRDefault="000E670A" w:rsidP="00721DD3">
            <w:r>
              <w:rPr>
                <w:sz w:val="15"/>
              </w:rPr>
              <w:t>High-Value Account Stability Bonus</w:t>
            </w:r>
          </w:p>
        </w:tc>
        <w:tc>
          <w:tcPr>
            <w:tcW w:w="2232" w:type="dxa"/>
            <w:tcBorders>
              <w:top w:val="single" w:sz="4" w:space="0" w:color="C9D3DF"/>
              <w:left w:val="single" w:sz="4" w:space="0" w:color="C9D3DF"/>
              <w:bottom w:val="single" w:sz="4" w:space="0" w:color="C9D3DF"/>
              <w:right w:val="single" w:sz="4" w:space="0" w:color="C9D3DF"/>
            </w:tcBorders>
            <w:shd w:val="clear" w:color="auto" w:fill="FFFFFF"/>
          </w:tcPr>
          <w:p w14:paraId="5F0CA07A" w14:textId="77777777" w:rsidR="000E670A" w:rsidRDefault="000E670A" w:rsidP="00721DD3">
            <w:r>
              <w:rPr>
                <w:sz w:val="15"/>
              </w:rPr>
              <w:t>$250-$500 per month</w:t>
            </w:r>
          </w:p>
        </w:tc>
        <w:tc>
          <w:tcPr>
            <w:tcW w:w="5616" w:type="dxa"/>
            <w:tcBorders>
              <w:top w:val="single" w:sz="4" w:space="0" w:color="C9D3DF"/>
              <w:left w:val="single" w:sz="4" w:space="0" w:color="C9D3DF"/>
              <w:bottom w:val="single" w:sz="4" w:space="0" w:color="C9D3DF"/>
              <w:right w:val="single" w:sz="4" w:space="0" w:color="C9D3DF"/>
            </w:tcBorders>
            <w:shd w:val="clear" w:color="auto" w:fill="FFFFFF"/>
          </w:tcPr>
          <w:p w14:paraId="02754BAE" w14:textId="77777777" w:rsidR="000E670A" w:rsidRDefault="000E670A" w:rsidP="00721DD3">
            <w:r>
              <w:rPr>
                <w:sz w:val="15"/>
              </w:rPr>
              <w:t>High-value accounts remain current, informed, documented, and stable.</w:t>
            </w:r>
          </w:p>
        </w:tc>
      </w:tr>
      <w:tr w:rsidR="000E670A" w14:paraId="4A8A7E83" w14:textId="77777777" w:rsidTr="00721DD3">
        <w:trPr>
          <w:cantSplit/>
          <w:jc w:val="center"/>
        </w:trPr>
        <w:tc>
          <w:tcPr>
            <w:tcW w:w="2880" w:type="dxa"/>
            <w:tcBorders>
              <w:top w:val="single" w:sz="4" w:space="0" w:color="C9D3DF"/>
              <w:left w:val="single" w:sz="4" w:space="0" w:color="C9D3DF"/>
              <w:bottom w:val="single" w:sz="4" w:space="0" w:color="C9D3DF"/>
              <w:right w:val="single" w:sz="4" w:space="0" w:color="C9D3DF"/>
            </w:tcBorders>
            <w:shd w:val="clear" w:color="auto" w:fill="FFFFFF"/>
          </w:tcPr>
          <w:p w14:paraId="34434C2F" w14:textId="77777777" w:rsidR="000E670A" w:rsidRDefault="000E670A" w:rsidP="00721DD3">
            <w:r>
              <w:rPr>
                <w:sz w:val="15"/>
              </w:rPr>
              <w:t>Clean Placement / Client Success Team Bonus</w:t>
            </w:r>
          </w:p>
        </w:tc>
        <w:tc>
          <w:tcPr>
            <w:tcW w:w="2232" w:type="dxa"/>
            <w:tcBorders>
              <w:top w:val="single" w:sz="4" w:space="0" w:color="C9D3DF"/>
              <w:left w:val="single" w:sz="4" w:space="0" w:color="C9D3DF"/>
              <w:bottom w:val="single" w:sz="4" w:space="0" w:color="C9D3DF"/>
              <w:right w:val="single" w:sz="4" w:space="0" w:color="C9D3DF"/>
            </w:tcBorders>
            <w:shd w:val="clear" w:color="auto" w:fill="FFFFFF"/>
          </w:tcPr>
          <w:p w14:paraId="14CE6F28" w14:textId="77777777" w:rsidR="000E670A" w:rsidRDefault="000E670A" w:rsidP="00721DD3">
            <w:r>
              <w:rPr>
                <w:sz w:val="15"/>
              </w:rPr>
              <w:t>$250-$500 per month</w:t>
            </w:r>
          </w:p>
        </w:tc>
        <w:tc>
          <w:tcPr>
            <w:tcW w:w="5616" w:type="dxa"/>
            <w:tcBorders>
              <w:top w:val="single" w:sz="4" w:space="0" w:color="C9D3DF"/>
              <w:left w:val="single" w:sz="4" w:space="0" w:color="C9D3DF"/>
              <w:bottom w:val="single" w:sz="4" w:space="0" w:color="C9D3DF"/>
              <w:right w:val="single" w:sz="4" w:space="0" w:color="C9D3DF"/>
            </w:tcBorders>
            <w:shd w:val="clear" w:color="auto" w:fill="FFFFFF"/>
          </w:tcPr>
          <w:p w14:paraId="4E8B2154" w14:textId="77777777" w:rsidR="000E670A" w:rsidRDefault="000E670A" w:rsidP="00721DD3">
            <w:r>
              <w:rPr>
                <w:sz w:val="15"/>
              </w:rPr>
              <w:t>Placement/client success workflows remain current, documented, and escalated.</w:t>
            </w:r>
          </w:p>
        </w:tc>
      </w:tr>
    </w:tbl>
    <w:p w14:paraId="3E24501E" w14:textId="77777777" w:rsidR="000E670A" w:rsidRDefault="000E670A" w:rsidP="000E670A"/>
    <w:p w14:paraId="1222514A" w14:textId="77777777" w:rsidR="000E670A" w:rsidRDefault="000E670A" w:rsidP="00E41D5B">
      <w:pPr>
        <w:pStyle w:val="Heading1"/>
        <w:spacing w:before="360"/>
      </w:pPr>
      <w:r>
        <w:rPr>
          <w:rFonts w:ascii="Aptos" w:eastAsia="Aptos" w:hAnsi="Aptos"/>
        </w:rPr>
        <w:t>90-DAY AND 180-DAY SUCCESS MEASURES</w:t>
      </w:r>
    </w:p>
    <w:p w14:paraId="499534D0" w14:textId="77777777" w:rsidR="000E670A" w:rsidRDefault="000E670A" w:rsidP="000E670A">
      <w:pPr>
        <w:pStyle w:val="Heading2"/>
      </w:pPr>
      <w:r>
        <w:rPr>
          <w:rFonts w:ascii="Aptos" w:eastAsia="Aptos" w:hAnsi="Aptos"/>
        </w:rPr>
        <w:t>First 90 Days</w:t>
      </w:r>
    </w:p>
    <w:p w14:paraId="7C17DA7D" w14:textId="77777777" w:rsidR="000E670A" w:rsidRDefault="000E670A" w:rsidP="000E670A">
      <w:pPr>
        <w:pStyle w:val="ListBullet"/>
        <w:spacing w:after="40" w:line="276" w:lineRule="auto"/>
      </w:pPr>
      <w:r>
        <w:rPr>
          <w:rFonts w:ascii="Aptos" w:eastAsia="Aptos" w:hAnsi="Aptos"/>
        </w:rPr>
        <w:t>Understands and helps refine the CCA service model, placement coordination lane, communication standards, and approved systems.</w:t>
      </w:r>
    </w:p>
    <w:p w14:paraId="3A25DFD4" w14:textId="77777777" w:rsidR="000E670A" w:rsidRDefault="000E670A" w:rsidP="000E670A">
      <w:pPr>
        <w:pStyle w:val="ListBullet"/>
        <w:spacing w:after="40" w:line="276" w:lineRule="auto"/>
      </w:pPr>
      <w:r>
        <w:rPr>
          <w:rFonts w:ascii="Aptos" w:eastAsia="Aptos" w:hAnsi="Aptos"/>
        </w:rPr>
        <w:t>Maintains clear documentation on assigned client and placement interactions.</w:t>
      </w:r>
    </w:p>
    <w:p w14:paraId="5A088994" w14:textId="77777777" w:rsidR="000E670A" w:rsidRDefault="000E670A" w:rsidP="000E670A">
      <w:pPr>
        <w:pStyle w:val="ListBullet"/>
        <w:spacing w:after="40" w:line="276" w:lineRule="auto"/>
      </w:pPr>
      <w:r>
        <w:rPr>
          <w:rFonts w:ascii="Aptos" w:eastAsia="Aptos" w:hAnsi="Aptos"/>
        </w:rPr>
        <w:t>Supports assigned client relationships without unsupported promises or scope confusion.</w:t>
      </w:r>
    </w:p>
    <w:p w14:paraId="1492CA23" w14:textId="77777777" w:rsidR="000E670A" w:rsidRDefault="000E670A" w:rsidP="000E670A">
      <w:pPr>
        <w:pStyle w:val="ListBullet"/>
        <w:spacing w:after="40" w:line="276" w:lineRule="auto"/>
      </w:pPr>
      <w:r>
        <w:rPr>
          <w:rFonts w:ascii="Aptos" w:eastAsia="Aptos" w:hAnsi="Aptos"/>
        </w:rPr>
        <w:t>Helps organize placement coordination workflow and identifies practical gaps.</w:t>
      </w:r>
    </w:p>
    <w:p w14:paraId="5E614C3F" w14:textId="77777777" w:rsidR="000E670A" w:rsidRDefault="000E670A" w:rsidP="000E670A">
      <w:pPr>
        <w:pStyle w:val="ListBullet"/>
        <w:spacing w:after="40" w:line="276" w:lineRule="auto"/>
      </w:pPr>
      <w:r>
        <w:rPr>
          <w:rFonts w:ascii="Aptos" w:eastAsia="Aptos" w:hAnsi="Aptos"/>
        </w:rPr>
        <w:t>Escalates high-risk client, placement, refund, legal, or financial issues promptly.</w:t>
      </w:r>
    </w:p>
    <w:p w14:paraId="55B6FB2E" w14:textId="77777777" w:rsidR="000E670A" w:rsidRDefault="000E670A" w:rsidP="000E670A">
      <w:pPr>
        <w:pStyle w:val="ListBullet"/>
        <w:spacing w:after="40" w:line="276" w:lineRule="auto"/>
      </w:pPr>
      <w:r>
        <w:rPr>
          <w:rFonts w:ascii="Aptos" w:eastAsia="Aptos" w:hAnsi="Aptos"/>
        </w:rPr>
        <w:t>Supports monitoring, expansion, and placement opportunities through proper routing and documentation.</w:t>
      </w:r>
    </w:p>
    <w:p w14:paraId="67CEFBEF" w14:textId="77777777" w:rsidR="000E670A" w:rsidRDefault="000E670A" w:rsidP="000E670A">
      <w:pPr>
        <w:pStyle w:val="ListBullet"/>
        <w:spacing w:after="40" w:line="276" w:lineRule="auto"/>
      </w:pPr>
      <w:r>
        <w:rPr>
          <w:rFonts w:ascii="Aptos" w:eastAsia="Aptos" w:hAnsi="Aptos"/>
        </w:rPr>
        <w:t>Demonstrates consistent communication, follow-through, and ability to operate within the new company structure.</w:t>
      </w:r>
    </w:p>
    <w:p w14:paraId="0AA3F311" w14:textId="77777777" w:rsidR="000E670A" w:rsidRDefault="000E670A" w:rsidP="000E670A">
      <w:pPr>
        <w:pStyle w:val="Heading2"/>
      </w:pPr>
      <w:r>
        <w:rPr>
          <w:rFonts w:ascii="Aptos" w:eastAsia="Aptos" w:hAnsi="Aptos"/>
        </w:rPr>
        <w:lastRenderedPageBreak/>
        <w:t>First 180 Days</w:t>
      </w:r>
    </w:p>
    <w:p w14:paraId="4EB09496" w14:textId="77777777" w:rsidR="000E670A" w:rsidRDefault="000E670A" w:rsidP="000E670A">
      <w:pPr>
        <w:pStyle w:val="ListBullet"/>
        <w:spacing w:after="40" w:line="276" w:lineRule="auto"/>
      </w:pPr>
      <w:r>
        <w:rPr>
          <w:rFonts w:ascii="Aptos" w:eastAsia="Aptos" w:hAnsi="Aptos"/>
        </w:rPr>
        <w:t>Licensed Qualifier Network has a clearer placement coordination workflow and tracker.</w:t>
      </w:r>
    </w:p>
    <w:p w14:paraId="67412E48" w14:textId="77777777" w:rsidR="000E670A" w:rsidRDefault="000E670A" w:rsidP="000E670A">
      <w:pPr>
        <w:pStyle w:val="ListBullet"/>
        <w:spacing w:after="40" w:line="276" w:lineRule="auto"/>
      </w:pPr>
      <w:r>
        <w:rPr>
          <w:rFonts w:ascii="Aptos" w:eastAsia="Aptos" w:hAnsi="Aptos"/>
        </w:rPr>
        <w:t>Key qualifier and contractor relationship notes are documented and organized.</w:t>
      </w:r>
    </w:p>
    <w:p w14:paraId="4A9980A8" w14:textId="77777777" w:rsidR="000E670A" w:rsidRDefault="000E670A" w:rsidP="000E670A">
      <w:pPr>
        <w:pStyle w:val="ListBullet"/>
        <w:spacing w:after="40" w:line="276" w:lineRule="auto"/>
      </w:pPr>
      <w:r>
        <w:rPr>
          <w:rFonts w:ascii="Aptos" w:eastAsia="Aptos" w:hAnsi="Aptos"/>
        </w:rPr>
        <w:t>Assigned high-value client relationships are stable and appropriately updated.</w:t>
      </w:r>
    </w:p>
    <w:p w14:paraId="7DE99A93" w14:textId="77777777" w:rsidR="000E670A" w:rsidRDefault="000E670A" w:rsidP="000E670A">
      <w:pPr>
        <w:pStyle w:val="ListBullet"/>
        <w:spacing w:after="40" w:line="276" w:lineRule="auto"/>
      </w:pPr>
      <w:r>
        <w:rPr>
          <w:rFonts w:ascii="Aptos" w:eastAsia="Aptos" w:hAnsi="Aptos"/>
        </w:rPr>
        <w:t>Placement coordination gaps and process improvements are documented.</w:t>
      </w:r>
    </w:p>
    <w:p w14:paraId="05DBE8AD" w14:textId="77777777" w:rsidR="000E670A" w:rsidRDefault="000E670A" w:rsidP="000E670A">
      <w:pPr>
        <w:pStyle w:val="ListBullet"/>
        <w:spacing w:after="40" w:line="276" w:lineRule="auto"/>
      </w:pPr>
      <w:r>
        <w:rPr>
          <w:rFonts w:ascii="Aptos" w:eastAsia="Aptos" w:hAnsi="Aptos"/>
        </w:rPr>
        <w:t>Referral, expansion, monitoring, and placement opportunities are captured and routed properly.</w:t>
      </w:r>
    </w:p>
    <w:p w14:paraId="6079DE48" w14:textId="77777777" w:rsidR="000E670A" w:rsidRDefault="000E670A" w:rsidP="000E670A">
      <w:pPr>
        <w:pStyle w:val="ListBullet"/>
        <w:spacing w:after="40" w:line="276" w:lineRule="auto"/>
      </w:pPr>
      <w:r>
        <w:rPr>
          <w:rFonts w:ascii="Aptos" w:eastAsia="Aptos" w:hAnsi="Aptos"/>
        </w:rPr>
        <w:t>Compensation, bonus eligibility, role fit, officer responsibilities, and possible expanded executive responsibilities are reviewed formally.</w:t>
      </w:r>
    </w:p>
    <w:p w14:paraId="3E515B27" w14:textId="77777777" w:rsidR="000E670A" w:rsidRDefault="000E670A" w:rsidP="000E670A">
      <w:pPr>
        <w:pStyle w:val="Heading1"/>
      </w:pPr>
      <w:r>
        <w:rPr>
          <w:rFonts w:ascii="Aptos" w:eastAsia="Aptos" w:hAnsi="Aptos"/>
        </w:rPr>
        <w:t>SUPPORT NEEDED FOR GREGG TO SUCCEED</w:t>
      </w:r>
    </w:p>
    <w:p w14:paraId="5222CFB1" w14:textId="77777777" w:rsidR="000E670A" w:rsidRDefault="000E670A" w:rsidP="000E670A">
      <w:pPr>
        <w:pStyle w:val="ListBullet"/>
        <w:spacing w:after="40" w:line="276" w:lineRule="auto"/>
      </w:pPr>
      <w:r>
        <w:rPr>
          <w:rFonts w:ascii="Aptos" w:eastAsia="Aptos" w:hAnsi="Aptos"/>
        </w:rPr>
        <w:t>Clear CCA service menu, placement support offer, and pricing boundaries.</w:t>
      </w:r>
    </w:p>
    <w:p w14:paraId="1C86A20E" w14:textId="77777777" w:rsidR="000E670A" w:rsidRDefault="000E670A" w:rsidP="000E670A">
      <w:pPr>
        <w:pStyle w:val="ListBullet"/>
        <w:spacing w:after="40" w:line="276" w:lineRule="auto"/>
      </w:pPr>
      <w:r>
        <w:rPr>
          <w:rFonts w:ascii="Aptos" w:eastAsia="Aptos" w:hAnsi="Aptos"/>
        </w:rPr>
        <w:t>Approved communication language for client updates, placement conversations, and escalation issues.</w:t>
      </w:r>
    </w:p>
    <w:p w14:paraId="7403A403" w14:textId="77777777" w:rsidR="000E670A" w:rsidRDefault="000E670A" w:rsidP="000E670A">
      <w:pPr>
        <w:pStyle w:val="ListBullet"/>
        <w:spacing w:after="40" w:line="276" w:lineRule="auto"/>
      </w:pPr>
      <w:r>
        <w:rPr>
          <w:rFonts w:ascii="Aptos" w:eastAsia="Aptos" w:hAnsi="Aptos"/>
        </w:rPr>
        <w:t>CRM access and placement tracking tools with clear fields, statuses, and ownership.</w:t>
      </w:r>
    </w:p>
    <w:p w14:paraId="4AB7F862" w14:textId="77777777" w:rsidR="000E670A" w:rsidRDefault="000E670A" w:rsidP="000E670A">
      <w:pPr>
        <w:pStyle w:val="ListBullet"/>
        <w:spacing w:after="40" w:line="276" w:lineRule="auto"/>
      </w:pPr>
      <w:r>
        <w:rPr>
          <w:rFonts w:ascii="Aptos" w:eastAsia="Aptos" w:hAnsi="Aptos"/>
        </w:rPr>
        <w:t>Defined handoff process between sales, account management, licensing, board follow-up, and placement coordination.</w:t>
      </w:r>
    </w:p>
    <w:p w14:paraId="0EC093A8" w14:textId="77777777" w:rsidR="000E670A" w:rsidRDefault="000E670A" w:rsidP="000E670A">
      <w:pPr>
        <w:pStyle w:val="ListBullet"/>
        <w:spacing w:after="40" w:line="276" w:lineRule="auto"/>
      </w:pPr>
      <w:r>
        <w:rPr>
          <w:rFonts w:ascii="Aptos" w:eastAsia="Aptos" w:hAnsi="Aptos"/>
        </w:rPr>
        <w:t>Clear escalation path for Sandra/Rose, legal concerns, refund/chargeback risk, high-value clients, and placement approval questions.</w:t>
      </w:r>
    </w:p>
    <w:p w14:paraId="0CED5586" w14:textId="77777777" w:rsidR="000E670A" w:rsidRDefault="000E670A" w:rsidP="000E670A">
      <w:pPr>
        <w:pStyle w:val="ListBullet"/>
        <w:spacing w:after="40" w:line="276" w:lineRule="auto"/>
      </w:pPr>
      <w:r>
        <w:rPr>
          <w:rFonts w:ascii="Aptos" w:eastAsia="Aptos" w:hAnsi="Aptos"/>
        </w:rPr>
        <w:t>Administrative support for CRM notes, call preparation, follow-up reminders, and document organization when available.</w:t>
      </w:r>
    </w:p>
    <w:p w14:paraId="07F69FB8" w14:textId="77777777" w:rsidR="000E670A" w:rsidRDefault="000E670A" w:rsidP="000E670A">
      <w:pPr>
        <w:pStyle w:val="ListBullet"/>
        <w:spacing w:after="40" w:line="276" w:lineRule="auto"/>
      </w:pPr>
      <w:r>
        <w:rPr>
          <w:rFonts w:ascii="Aptos" w:eastAsia="Aptos" w:hAnsi="Aptos"/>
        </w:rPr>
        <w:t>Defined governance documents clarifying officer authority, banking authority, ownership, compensation, and decision rights.</w:t>
      </w:r>
    </w:p>
    <w:p w14:paraId="1B5A0580" w14:textId="77777777" w:rsidR="000E670A" w:rsidRDefault="000E670A" w:rsidP="000E670A">
      <w:pPr>
        <w:pStyle w:val="Heading1"/>
      </w:pPr>
      <w:r>
        <w:rPr>
          <w:rFonts w:ascii="Aptos" w:eastAsia="Aptos" w:hAnsi="Aptos"/>
        </w:rPr>
        <w:t>DOCUMENTS NEEDED BEFORE FINALIZING</w:t>
      </w:r>
    </w:p>
    <w:p w14:paraId="6791C70E" w14:textId="77777777" w:rsidR="000E670A" w:rsidRDefault="000E670A" w:rsidP="000E670A">
      <w:pPr>
        <w:pStyle w:val="ListBullet"/>
        <w:spacing w:after="40" w:line="276" w:lineRule="auto"/>
      </w:pPr>
      <w:r>
        <w:rPr>
          <w:rFonts w:ascii="Aptos" w:eastAsia="Aptos" w:hAnsi="Aptos"/>
        </w:rPr>
        <w:t xml:space="preserve">Official officer appointment or employment/executive compensation agreement, </w:t>
      </w:r>
      <w:proofErr w:type="gramStart"/>
      <w:r>
        <w:rPr>
          <w:rFonts w:ascii="Aptos" w:eastAsia="Aptos" w:hAnsi="Aptos"/>
        </w:rPr>
        <w:t>depending</w:t>
      </w:r>
      <w:proofErr w:type="gramEnd"/>
      <w:r>
        <w:rPr>
          <w:rFonts w:ascii="Aptos" w:eastAsia="Aptos" w:hAnsi="Aptos"/>
        </w:rPr>
        <w:t xml:space="preserve"> classification and accounting review.</w:t>
      </w:r>
    </w:p>
    <w:p w14:paraId="5E8E4FD5" w14:textId="77777777" w:rsidR="000E670A" w:rsidRDefault="000E670A" w:rsidP="000E670A">
      <w:pPr>
        <w:pStyle w:val="ListBullet"/>
        <w:spacing w:after="40" w:line="276" w:lineRule="auto"/>
      </w:pPr>
      <w:r>
        <w:rPr>
          <w:rFonts w:ascii="Aptos" w:eastAsia="Aptos" w:hAnsi="Aptos"/>
        </w:rPr>
        <w:t>Confidentiality, IP protection, data security, and system access acknowledgments.</w:t>
      </w:r>
    </w:p>
    <w:p w14:paraId="14997FDD" w14:textId="77777777" w:rsidR="000E670A" w:rsidRDefault="000E670A" w:rsidP="000E670A">
      <w:pPr>
        <w:pStyle w:val="ListBullet"/>
        <w:spacing w:after="40" w:line="276" w:lineRule="auto"/>
      </w:pPr>
      <w:r>
        <w:rPr>
          <w:rFonts w:ascii="Aptos" w:eastAsia="Aptos" w:hAnsi="Aptos"/>
        </w:rPr>
        <w:t>Commission/bonus plan or addendum defining collected retained revenue, payout timing, eligibility, and approval requirements.</w:t>
      </w:r>
    </w:p>
    <w:p w14:paraId="5FCB00D3" w14:textId="77777777" w:rsidR="000E670A" w:rsidRDefault="000E670A" w:rsidP="000E670A">
      <w:pPr>
        <w:pStyle w:val="ListBullet"/>
        <w:spacing w:after="40" w:line="276" w:lineRule="auto"/>
      </w:pPr>
      <w:r>
        <w:rPr>
          <w:rFonts w:ascii="Aptos" w:eastAsia="Aptos" w:hAnsi="Aptos"/>
        </w:rPr>
        <w:t>Placement coordination SOP and escalation process.</w:t>
      </w:r>
    </w:p>
    <w:p w14:paraId="09EB79B2" w14:textId="77777777" w:rsidR="000E670A" w:rsidRDefault="000E670A" w:rsidP="000E670A">
      <w:pPr>
        <w:pStyle w:val="ListBullet"/>
        <w:spacing w:after="40" w:line="276" w:lineRule="auto"/>
      </w:pPr>
      <w:r>
        <w:rPr>
          <w:rFonts w:ascii="Aptos" w:eastAsia="Aptos" w:hAnsi="Aptos"/>
        </w:rPr>
        <w:t>Banking resolutions and governance documents defining any signing authority, if applicable.</w:t>
      </w:r>
    </w:p>
    <w:p w14:paraId="29A84961" w14:textId="77777777" w:rsidR="000E670A" w:rsidRDefault="000E670A" w:rsidP="000E670A">
      <w:pPr>
        <w:pStyle w:val="ListBullet"/>
        <w:spacing w:after="40" w:line="276" w:lineRule="auto"/>
      </w:pPr>
      <w:r>
        <w:rPr>
          <w:rFonts w:ascii="Aptos" w:eastAsia="Aptos" w:hAnsi="Aptos"/>
        </w:rPr>
        <w:t>Clear statement of any ownership, equity, voting rights, or distributions if those are intended, documented separately from this role proposal.</w:t>
      </w:r>
    </w:p>
    <w:p w14:paraId="2E223883" w14:textId="77777777" w:rsidR="00E41D5B" w:rsidRDefault="00E41D5B">
      <w:pPr>
        <w:rPr>
          <w:rFonts w:ascii="Aptos" w:eastAsia="Aptos" w:hAnsi="Aptos" w:cstheme="majorBidi"/>
          <w:b/>
          <w:bCs/>
          <w:color w:val="0B5294" w:themeColor="accent1" w:themeShade="BF"/>
          <w:sz w:val="24"/>
          <w:szCs w:val="24"/>
        </w:rPr>
      </w:pPr>
      <w:r>
        <w:rPr>
          <w:rFonts w:ascii="Aptos" w:eastAsia="Aptos" w:hAnsi="Aptos"/>
        </w:rPr>
        <w:br w:type="page"/>
      </w:r>
    </w:p>
    <w:p w14:paraId="3813CC0E" w14:textId="2F5A169C" w:rsidR="000E670A" w:rsidRDefault="000E670A" w:rsidP="000E670A">
      <w:pPr>
        <w:pStyle w:val="Heading1"/>
      </w:pPr>
      <w:r>
        <w:rPr>
          <w:rFonts w:ascii="Aptos" w:eastAsia="Aptos" w:hAnsi="Aptos"/>
        </w:rPr>
        <w:lastRenderedPageBreak/>
        <w:t>FINAL RECOMMENDED POSITION</w:t>
      </w:r>
    </w:p>
    <w:p w14:paraId="6A88094E" w14:textId="77777777" w:rsidR="000E670A" w:rsidRDefault="000E670A" w:rsidP="000E670A">
      <w:pPr>
        <w:spacing w:after="100" w:line="252" w:lineRule="auto"/>
      </w:pPr>
      <w:r>
        <w:rPr>
          <w:rFonts w:ascii="Aptos" w:eastAsia="Aptos" w:hAnsi="Aptos"/>
        </w:rPr>
        <w:t>The recommended approach is to position Gregg as an officer-level leader rather than a standard employee. Gregg’s value is not limited to client communication. He brings contractor-world perspective, placement coordination ability, relationship judgment, and executive-level support that can help Contractor Compliance Authority and Licensed Qualifier Network build trust, protect high-value accounts, and create a strong foundation for future growth.</w:t>
      </w:r>
    </w:p>
    <w:p w14:paraId="7FD9D577" w14:textId="77777777" w:rsidR="000E670A" w:rsidRDefault="000E670A" w:rsidP="000E670A">
      <w:pPr>
        <w:spacing w:after="100" w:line="252" w:lineRule="auto"/>
      </w:pPr>
      <w:r>
        <w:rPr>
          <w:rFonts w:ascii="Aptos" w:eastAsia="Aptos" w:hAnsi="Aptos"/>
        </w:rPr>
        <w:t>This structure recognizes Gregg as President / Chief Contractor Relations &amp; Placement Officer while still preserving clear governance, documentation, authority boundaries, and separation between officer compensation, ownership rights, banking authority, and legal control.</w:t>
      </w:r>
    </w:p>
    <w:p w14:paraId="62DF3828" w14:textId="77777777" w:rsidR="000E670A" w:rsidRDefault="000E670A" w:rsidP="000E670A">
      <w:pPr>
        <w:pStyle w:val="Heading1"/>
      </w:pPr>
      <w:r>
        <w:rPr>
          <w:rFonts w:ascii="Aptos" w:eastAsia="Aptos" w:hAnsi="Aptos"/>
        </w:rPr>
        <w:t>ACKNOWLEDGMENT</w:t>
      </w:r>
    </w:p>
    <w:p w14:paraId="287A2F06" w14:textId="77777777" w:rsidR="000E670A" w:rsidRDefault="000E670A" w:rsidP="000E670A">
      <w:pPr>
        <w:spacing w:after="100" w:line="252" w:lineRule="auto"/>
      </w:pPr>
      <w:r>
        <w:rPr>
          <w:rFonts w:ascii="Aptos" w:eastAsia="Aptos" w:hAnsi="Aptos"/>
        </w:rPr>
        <w:t>This document is a discussion draft and does not create final employment, ownership, equity, tax, legal, compensation, officer authority, banking authority, or management control obligations until the appropriate company documents are reviewed and executed.</w:t>
      </w:r>
    </w:p>
    <w:tbl>
      <w:tblPr>
        <w:tblStyle w:val="TableGrid"/>
        <w:tblW w:w="0" w:type="auto"/>
        <w:jc w:val="center"/>
        <w:tblLook w:val="04A0" w:firstRow="1" w:lastRow="0" w:firstColumn="1" w:lastColumn="0" w:noHBand="0" w:noVBand="1"/>
      </w:tblPr>
      <w:tblGrid>
        <w:gridCol w:w="5146"/>
        <w:gridCol w:w="5150"/>
      </w:tblGrid>
      <w:tr w:rsidR="000E670A" w14:paraId="2D49C1E2" w14:textId="77777777" w:rsidTr="00721DD3">
        <w:trPr>
          <w:cantSplit/>
          <w:jc w:val="center"/>
        </w:trPr>
        <w:tc>
          <w:tcPr>
            <w:tcW w:w="5184" w:type="dxa"/>
            <w:tcBorders>
              <w:top w:val="nil"/>
              <w:left w:val="nil"/>
              <w:bottom w:val="nil"/>
              <w:right w:val="nil"/>
            </w:tcBorders>
            <w:shd w:val="clear" w:color="auto" w:fill="FFFFFF"/>
          </w:tcPr>
          <w:p w14:paraId="0B28A2BC" w14:textId="77777777" w:rsidR="000E670A" w:rsidRDefault="000E670A" w:rsidP="00E41D5B">
            <w:pPr>
              <w:ind w:firstLine="0"/>
              <w:rPr>
                <w:b/>
                <w:sz w:val="17"/>
              </w:rPr>
            </w:pPr>
            <w:r>
              <w:rPr>
                <w:b/>
                <w:sz w:val="17"/>
              </w:rPr>
              <w:t>Gregg Taylor Signature:</w:t>
            </w:r>
          </w:p>
          <w:p w14:paraId="726AC082" w14:textId="77777777" w:rsidR="00E41D5B" w:rsidRDefault="00E41D5B" w:rsidP="00721DD3"/>
        </w:tc>
        <w:tc>
          <w:tcPr>
            <w:tcW w:w="5184" w:type="dxa"/>
            <w:tcBorders>
              <w:top w:val="nil"/>
              <w:left w:val="nil"/>
              <w:bottom w:val="nil"/>
              <w:right w:val="nil"/>
            </w:tcBorders>
            <w:shd w:val="clear" w:color="auto" w:fill="FFFFFF"/>
          </w:tcPr>
          <w:p w14:paraId="04683870" w14:textId="77777777" w:rsidR="000E670A" w:rsidRDefault="000E670A" w:rsidP="00E41D5B">
            <w:pPr>
              <w:ind w:firstLine="0"/>
            </w:pPr>
            <w:r>
              <w:rPr>
                <w:b/>
                <w:sz w:val="17"/>
              </w:rPr>
              <w:t>Date:</w:t>
            </w:r>
          </w:p>
        </w:tc>
      </w:tr>
      <w:tr w:rsidR="000E670A" w14:paraId="1840BEF3" w14:textId="77777777" w:rsidTr="00721DD3">
        <w:trPr>
          <w:cantSplit/>
          <w:jc w:val="center"/>
        </w:trPr>
        <w:tc>
          <w:tcPr>
            <w:tcW w:w="5184" w:type="dxa"/>
            <w:tcBorders>
              <w:top w:val="nil"/>
              <w:left w:val="nil"/>
              <w:bottom w:val="nil"/>
              <w:right w:val="nil"/>
            </w:tcBorders>
            <w:shd w:val="clear" w:color="auto" w:fill="FFFFFF"/>
          </w:tcPr>
          <w:p w14:paraId="3E704D3E" w14:textId="75501485" w:rsidR="000E670A" w:rsidRDefault="000E670A" w:rsidP="00721DD3">
            <w:pPr>
              <w:pBdr>
                <w:bottom w:val="single" w:sz="12" w:space="1" w:color="auto"/>
              </w:pBdr>
              <w:rPr>
                <w:sz w:val="17"/>
              </w:rPr>
            </w:pPr>
          </w:p>
          <w:p w14:paraId="019FC07D" w14:textId="77777777" w:rsidR="00E41D5B" w:rsidRDefault="00E41D5B" w:rsidP="00721DD3"/>
        </w:tc>
        <w:tc>
          <w:tcPr>
            <w:tcW w:w="5184" w:type="dxa"/>
            <w:tcBorders>
              <w:top w:val="nil"/>
              <w:left w:val="nil"/>
              <w:bottom w:val="nil"/>
              <w:right w:val="nil"/>
            </w:tcBorders>
            <w:shd w:val="clear" w:color="auto" w:fill="FFFFFF"/>
          </w:tcPr>
          <w:p w14:paraId="7C5774CB" w14:textId="42287E7E" w:rsidR="000E670A" w:rsidRDefault="000E670A" w:rsidP="00721DD3">
            <w:pPr>
              <w:pBdr>
                <w:bottom w:val="single" w:sz="12" w:space="1" w:color="auto"/>
              </w:pBdr>
              <w:rPr>
                <w:sz w:val="17"/>
              </w:rPr>
            </w:pPr>
          </w:p>
          <w:p w14:paraId="68A83687" w14:textId="77777777" w:rsidR="00E41D5B" w:rsidRDefault="00E41D5B" w:rsidP="00721DD3"/>
        </w:tc>
      </w:tr>
      <w:tr w:rsidR="000E670A" w14:paraId="5E8B03EE" w14:textId="77777777" w:rsidTr="00721DD3">
        <w:trPr>
          <w:cantSplit/>
          <w:jc w:val="center"/>
        </w:trPr>
        <w:tc>
          <w:tcPr>
            <w:tcW w:w="5184" w:type="dxa"/>
            <w:tcBorders>
              <w:top w:val="nil"/>
              <w:left w:val="nil"/>
              <w:bottom w:val="nil"/>
              <w:right w:val="nil"/>
            </w:tcBorders>
            <w:shd w:val="clear" w:color="auto" w:fill="FFFFFF"/>
          </w:tcPr>
          <w:p w14:paraId="28E40685" w14:textId="77777777" w:rsidR="000E670A" w:rsidRDefault="000E670A" w:rsidP="00E41D5B">
            <w:pPr>
              <w:ind w:firstLine="0"/>
              <w:rPr>
                <w:b/>
                <w:sz w:val="17"/>
              </w:rPr>
            </w:pPr>
            <w:r>
              <w:rPr>
                <w:b/>
                <w:sz w:val="17"/>
              </w:rPr>
              <w:t>Printed Name:</w:t>
            </w:r>
          </w:p>
          <w:p w14:paraId="06EA306B" w14:textId="77777777" w:rsidR="00E41D5B" w:rsidRDefault="00E41D5B" w:rsidP="00721DD3"/>
        </w:tc>
        <w:tc>
          <w:tcPr>
            <w:tcW w:w="5184" w:type="dxa"/>
            <w:tcBorders>
              <w:top w:val="nil"/>
              <w:left w:val="nil"/>
              <w:bottom w:val="nil"/>
              <w:right w:val="nil"/>
            </w:tcBorders>
            <w:shd w:val="clear" w:color="auto" w:fill="FFFFFF"/>
          </w:tcPr>
          <w:p w14:paraId="61503EED" w14:textId="77777777" w:rsidR="000E670A" w:rsidRDefault="000E670A" w:rsidP="00E41D5B">
            <w:pPr>
              <w:ind w:firstLine="0"/>
            </w:pPr>
            <w:r>
              <w:rPr>
                <w:b/>
                <w:sz w:val="17"/>
              </w:rPr>
              <w:t>Company Representative:</w:t>
            </w:r>
          </w:p>
        </w:tc>
      </w:tr>
      <w:tr w:rsidR="000E670A" w14:paraId="5010F5DE" w14:textId="77777777" w:rsidTr="00721DD3">
        <w:trPr>
          <w:cantSplit/>
          <w:jc w:val="center"/>
        </w:trPr>
        <w:tc>
          <w:tcPr>
            <w:tcW w:w="5184" w:type="dxa"/>
            <w:tcBorders>
              <w:top w:val="nil"/>
              <w:left w:val="nil"/>
              <w:bottom w:val="nil"/>
              <w:right w:val="nil"/>
            </w:tcBorders>
            <w:shd w:val="clear" w:color="auto" w:fill="FFFFFF"/>
          </w:tcPr>
          <w:p w14:paraId="012A9925" w14:textId="5A41E41A" w:rsidR="000E670A" w:rsidRDefault="000E670A" w:rsidP="00721DD3">
            <w:pPr>
              <w:pBdr>
                <w:bottom w:val="single" w:sz="12" w:space="1" w:color="auto"/>
              </w:pBdr>
              <w:rPr>
                <w:sz w:val="17"/>
              </w:rPr>
            </w:pPr>
          </w:p>
          <w:p w14:paraId="1622A8A4" w14:textId="77777777" w:rsidR="00E41D5B" w:rsidRDefault="00E41D5B" w:rsidP="00721DD3"/>
        </w:tc>
        <w:tc>
          <w:tcPr>
            <w:tcW w:w="5184" w:type="dxa"/>
            <w:tcBorders>
              <w:top w:val="nil"/>
              <w:left w:val="nil"/>
              <w:bottom w:val="nil"/>
              <w:right w:val="nil"/>
            </w:tcBorders>
            <w:shd w:val="clear" w:color="auto" w:fill="FFFFFF"/>
          </w:tcPr>
          <w:p w14:paraId="0BB6D33D" w14:textId="7FD26F32" w:rsidR="000E670A" w:rsidRDefault="000E670A" w:rsidP="00721DD3">
            <w:pPr>
              <w:pBdr>
                <w:bottom w:val="single" w:sz="12" w:space="1" w:color="auto"/>
              </w:pBdr>
              <w:rPr>
                <w:sz w:val="17"/>
              </w:rPr>
            </w:pPr>
          </w:p>
          <w:p w14:paraId="4AAC53A0" w14:textId="77777777" w:rsidR="00E41D5B" w:rsidRDefault="00E41D5B" w:rsidP="00721DD3"/>
        </w:tc>
      </w:tr>
    </w:tbl>
    <w:p w14:paraId="35B53033" w14:textId="77777777" w:rsidR="000E670A" w:rsidRDefault="000E670A" w:rsidP="000E670A"/>
    <w:p w14:paraId="2AF25E3D" w14:textId="77777777" w:rsidR="000748EB" w:rsidRPr="000E670A" w:rsidRDefault="000748EB" w:rsidP="000E670A"/>
    <w:sectPr w:rsidR="000748EB" w:rsidRPr="000E670A" w:rsidSect="00B31111">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08B36" w14:textId="77777777" w:rsidR="00960C19" w:rsidRDefault="00960C19">
      <w:r>
        <w:separator/>
      </w:r>
    </w:p>
  </w:endnote>
  <w:endnote w:type="continuationSeparator" w:id="0">
    <w:p w14:paraId="7E272215" w14:textId="77777777" w:rsidR="00960C19" w:rsidRDefault="00960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HGMaruGothicMPRO">
    <w:panose1 w:val="020F0600000000000000"/>
    <w:charset w:val="80"/>
    <w:family w:val="swiss"/>
    <w:pitch w:val="variable"/>
    <w:sig w:usb0="E00002FF" w:usb1="6AC7FDFB" w:usb2="00000012" w:usb3="00000000" w:csb0="0002009F" w:csb1="00000000"/>
  </w:font>
  <w:font w:name="HGGothicM">
    <w:altName w:val="Yu Gothic"/>
    <w:panose1 w:val="020B0604020202020204"/>
    <w:charset w:val="80"/>
    <w:family w:val="roman"/>
    <w:notTrueType/>
    <w:pitch w:val="default"/>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AE962" w14:textId="77777777" w:rsidR="00AD2D25" w:rsidRDefault="00000000">
    <w:pPr>
      <w:pStyle w:val="Footer"/>
      <w:jc w:val="center"/>
    </w:pPr>
    <w:r>
      <w:rPr>
        <w:rFonts w:ascii="Aptos" w:eastAsia="Aptos" w:hAnsi="Aptos"/>
        <w:b/>
        <w:color w:val="18365E"/>
        <w:sz w:val="16"/>
      </w:rPr>
      <w:t>Compliance Simplified  |  Risks Reduced  |  Businesses Empowered  |  Futures Secured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D2F9C" w14:textId="77777777" w:rsidR="00960C19" w:rsidRDefault="00960C19">
      <w:r>
        <w:separator/>
      </w:r>
    </w:p>
  </w:footnote>
  <w:footnote w:type="continuationSeparator" w:id="0">
    <w:p w14:paraId="1FF2726A" w14:textId="77777777" w:rsidR="00960C19" w:rsidRDefault="00960C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6ABF3" w14:textId="77777777" w:rsidR="00AD2D25" w:rsidRDefault="00400EF8" w:rsidP="00400EF8">
    <w:pPr>
      <w:pStyle w:val="Header"/>
      <w:ind w:left="720"/>
      <w:jc w:val="center"/>
    </w:pPr>
    <w:r>
      <w:rPr>
        <w:noProof/>
      </w:rPr>
      <w:drawing>
        <wp:anchor distT="0" distB="0" distL="114300" distR="114300" simplePos="0" relativeHeight="251661312" behindDoc="0" locked="0" layoutInCell="1" allowOverlap="1" wp14:anchorId="766FBB3F" wp14:editId="6A7C258A">
          <wp:simplePos x="0" y="0"/>
          <wp:positionH relativeFrom="column">
            <wp:posOffset>2170430</wp:posOffset>
          </wp:positionH>
          <wp:positionV relativeFrom="paragraph">
            <wp:posOffset>-537210</wp:posOffset>
          </wp:positionV>
          <wp:extent cx="2386965" cy="803910"/>
          <wp:effectExtent l="0" t="0" r="635" b="0"/>
          <wp:wrapNone/>
          <wp:docPr id="78658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89093" name="Picture 786589093"/>
                  <pic:cNvPicPr/>
                </pic:nvPicPr>
                <pic:blipFill rotWithShape="1">
                  <a:blip r:embed="rId1">
                    <a:extLst>
                      <a:ext uri="{28A0092B-C50C-407E-A947-70E740481C1C}">
                        <a14:useLocalDpi xmlns:a14="http://schemas.microsoft.com/office/drawing/2010/main" val="0"/>
                      </a:ext>
                    </a:extLst>
                  </a:blip>
                  <a:srcRect t="19525" b="29929"/>
                  <a:stretch>
                    <a:fillRect/>
                  </a:stretch>
                </pic:blipFill>
                <pic:spPr bwMode="auto">
                  <a:xfrm>
                    <a:off x="0" y="0"/>
                    <a:ext cx="2386965" cy="8039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21717C5E" wp14:editId="0F493D66">
              <wp:simplePos x="0" y="0"/>
              <wp:positionH relativeFrom="column">
                <wp:posOffset>-676758</wp:posOffset>
              </wp:positionH>
              <wp:positionV relativeFrom="paragraph">
                <wp:posOffset>-539598</wp:posOffset>
              </wp:positionV>
              <wp:extent cx="7899400" cy="806603"/>
              <wp:effectExtent l="38100" t="101600" r="101600" b="44450"/>
              <wp:wrapNone/>
              <wp:docPr id="665285227" name="Rectangle 2"/>
              <wp:cNvGraphicFramePr/>
              <a:graphic xmlns:a="http://schemas.openxmlformats.org/drawingml/2006/main">
                <a:graphicData uri="http://schemas.microsoft.com/office/word/2010/wordprocessingShape">
                  <wps:wsp>
                    <wps:cNvSpPr/>
                    <wps:spPr>
                      <a:xfrm>
                        <a:off x="0" y="0"/>
                        <a:ext cx="7899400" cy="806603"/>
                      </a:xfrm>
                      <a:prstGeom prst="rect">
                        <a:avLst/>
                      </a:prstGeom>
                      <a:solidFill>
                        <a:srgbClr val="010512"/>
                      </a:solidFill>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1B64A" id="Rectangle 2" o:spid="_x0000_s1026" style="position:absolute;margin-left:-53.3pt;margin-top:-42.5pt;width:622pt;height: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" fillcolor="#010512" strokecolor="#02101d [484]" strokeweight="1pt">
              <v:shadow on="t" color="black" opacity="26214f" origin="-.5,.5" offset=".74836mm,-.74836mm"/>
            </v:rect>
          </w:pict>
        </mc:Fallback>
      </mc:AlternateContent>
    </w:r>
    <w:r>
      <w:rPr>
        <w:b/>
        <w:color w:val="0B1F3A"/>
        <w:sz w:val="16"/>
      </w:rPr>
      <w:t xml:space="preserve">CONTRACTOR COMPLIANCE </w:t>
    </w:r>
    <w:proofErr w:type="gramStart"/>
    <w:r>
      <w:rPr>
        <w:b/>
        <w:color w:val="0B1F3A"/>
        <w:sz w:val="16"/>
      </w:rPr>
      <w:t>AUTHORITY  |</w:t>
    </w:r>
    <w:proofErr w:type="gramEnd"/>
    <w:r>
      <w:rPr>
        <w:b/>
        <w:color w:val="0B1F3A"/>
        <w:sz w:val="16"/>
      </w:rPr>
      <w:t xml:space="preserve">  BRAND AMBASSADOR &amp; STRATEGIC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1156712">
    <w:abstractNumId w:val="8"/>
  </w:num>
  <w:num w:numId="2" w16cid:durableId="132522317">
    <w:abstractNumId w:val="6"/>
  </w:num>
  <w:num w:numId="3" w16cid:durableId="1885294036">
    <w:abstractNumId w:val="5"/>
  </w:num>
  <w:num w:numId="4" w16cid:durableId="1691562789">
    <w:abstractNumId w:val="4"/>
  </w:num>
  <w:num w:numId="5" w16cid:durableId="309096453">
    <w:abstractNumId w:val="7"/>
  </w:num>
  <w:num w:numId="6" w16cid:durableId="1883319233">
    <w:abstractNumId w:val="3"/>
  </w:num>
  <w:num w:numId="7" w16cid:durableId="791216333">
    <w:abstractNumId w:val="2"/>
  </w:num>
  <w:num w:numId="8" w16cid:durableId="918057071">
    <w:abstractNumId w:val="1"/>
  </w:num>
  <w:num w:numId="9" w16cid:durableId="813957703">
    <w:abstractNumId w:val="0"/>
  </w:num>
  <w:num w:numId="10" w16cid:durableId="493642427">
    <w:abstractNumId w:val="9"/>
  </w:num>
  <w:num w:numId="11" w16cid:durableId="1424715871">
    <w:abstractNumId w:val="9"/>
  </w:num>
  <w:num w:numId="12" w16cid:durableId="1020547763">
    <w:abstractNumId w:val="9"/>
  </w:num>
  <w:num w:numId="13" w16cid:durableId="2080710340">
    <w:abstractNumId w:val="9"/>
  </w:num>
  <w:num w:numId="14" w16cid:durableId="1379356119">
    <w:abstractNumId w:val="9"/>
  </w:num>
  <w:num w:numId="15" w16cid:durableId="3822204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9CE"/>
    <w:rsid w:val="00034616"/>
    <w:rsid w:val="0006063C"/>
    <w:rsid w:val="000748EB"/>
    <w:rsid w:val="000E670A"/>
    <w:rsid w:val="0015074B"/>
    <w:rsid w:val="00172A9A"/>
    <w:rsid w:val="0029639D"/>
    <w:rsid w:val="002A4AB0"/>
    <w:rsid w:val="00326F90"/>
    <w:rsid w:val="003413B9"/>
    <w:rsid w:val="00400EF8"/>
    <w:rsid w:val="004732A7"/>
    <w:rsid w:val="004F28DD"/>
    <w:rsid w:val="00605B09"/>
    <w:rsid w:val="00651A76"/>
    <w:rsid w:val="006F0B3C"/>
    <w:rsid w:val="008A329E"/>
    <w:rsid w:val="00960C19"/>
    <w:rsid w:val="00974B31"/>
    <w:rsid w:val="00AA1D8D"/>
    <w:rsid w:val="00AD2D25"/>
    <w:rsid w:val="00B31111"/>
    <w:rsid w:val="00B47730"/>
    <w:rsid w:val="00B819CB"/>
    <w:rsid w:val="00BF40F9"/>
    <w:rsid w:val="00C63C71"/>
    <w:rsid w:val="00C87B1C"/>
    <w:rsid w:val="00C96C6B"/>
    <w:rsid w:val="00CA6B3D"/>
    <w:rsid w:val="00CB0664"/>
    <w:rsid w:val="00D927C4"/>
    <w:rsid w:val="00E41D5B"/>
    <w:rsid w:val="00F743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8F0F74"/>
  <w14:defaultImageDpi w14:val="300"/>
  <w15:docId w15:val="{358B3A17-C1ED-8B41-910A-8129993D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111"/>
  </w:style>
  <w:style w:type="paragraph" w:styleId="Heading1">
    <w:name w:val="heading 1"/>
    <w:basedOn w:val="Normal"/>
    <w:next w:val="Normal"/>
    <w:link w:val="Heading1Char"/>
    <w:uiPriority w:val="9"/>
    <w:qFormat/>
    <w:rsid w:val="00B31111"/>
    <w:pPr>
      <w:pBdr>
        <w:bottom w:val="single" w:sz="12" w:space="1" w:color="0B5294" w:themeColor="accent1" w:themeShade="BF"/>
      </w:pBdr>
      <w:spacing w:before="600" w:after="80"/>
      <w:ind w:firstLine="0"/>
      <w:outlineLvl w:val="0"/>
    </w:pPr>
    <w:rPr>
      <w:rFonts w:asciiTheme="majorHAnsi" w:eastAsiaTheme="majorEastAsia" w:hAnsiTheme="majorHAnsi" w:cstheme="majorBidi"/>
      <w:b/>
      <w:bCs/>
      <w:color w:val="0B5294" w:themeColor="accent1" w:themeShade="BF"/>
      <w:sz w:val="24"/>
      <w:szCs w:val="24"/>
    </w:rPr>
  </w:style>
  <w:style w:type="paragraph" w:styleId="Heading2">
    <w:name w:val="heading 2"/>
    <w:basedOn w:val="Normal"/>
    <w:next w:val="Normal"/>
    <w:link w:val="Heading2Char"/>
    <w:uiPriority w:val="9"/>
    <w:unhideWhenUsed/>
    <w:qFormat/>
    <w:rsid w:val="00B31111"/>
    <w:pPr>
      <w:pBdr>
        <w:bottom w:val="single" w:sz="8" w:space="1" w:color="0F6FC6" w:themeColor="accent1"/>
      </w:pBdr>
      <w:spacing w:before="200" w:after="80"/>
      <w:ind w:firstLine="0"/>
      <w:outlineLvl w:val="1"/>
    </w:pPr>
    <w:rPr>
      <w:rFonts w:asciiTheme="majorHAnsi" w:eastAsiaTheme="majorEastAsia" w:hAnsiTheme="majorHAnsi" w:cstheme="majorBidi"/>
      <w:color w:val="0B5294" w:themeColor="accent1" w:themeShade="BF"/>
      <w:sz w:val="24"/>
      <w:szCs w:val="24"/>
    </w:rPr>
  </w:style>
  <w:style w:type="paragraph" w:styleId="Heading3">
    <w:name w:val="heading 3"/>
    <w:basedOn w:val="Normal"/>
    <w:next w:val="Normal"/>
    <w:link w:val="Heading3Char"/>
    <w:uiPriority w:val="9"/>
    <w:unhideWhenUsed/>
    <w:qFormat/>
    <w:rsid w:val="00B31111"/>
    <w:pPr>
      <w:pBdr>
        <w:bottom w:val="single" w:sz="4" w:space="1" w:color="59A9F2" w:themeColor="accent1" w:themeTint="99"/>
      </w:pBdr>
      <w:spacing w:before="200" w:after="80"/>
      <w:ind w:firstLine="0"/>
      <w:outlineLvl w:val="2"/>
    </w:pPr>
    <w:rPr>
      <w:rFonts w:asciiTheme="majorHAnsi" w:eastAsiaTheme="majorEastAsia" w:hAnsiTheme="majorHAnsi" w:cstheme="majorBidi"/>
      <w:color w:val="0F6FC6" w:themeColor="accent1"/>
      <w:sz w:val="24"/>
      <w:szCs w:val="24"/>
    </w:rPr>
  </w:style>
  <w:style w:type="paragraph" w:styleId="Heading4">
    <w:name w:val="heading 4"/>
    <w:basedOn w:val="Normal"/>
    <w:next w:val="Normal"/>
    <w:link w:val="Heading4Char"/>
    <w:uiPriority w:val="9"/>
    <w:semiHidden/>
    <w:unhideWhenUsed/>
    <w:qFormat/>
    <w:rsid w:val="00B31111"/>
    <w:pPr>
      <w:pBdr>
        <w:bottom w:val="single" w:sz="4" w:space="2" w:color="90C5F6" w:themeColor="accent1" w:themeTint="66"/>
      </w:pBdr>
      <w:spacing w:before="200" w:after="80"/>
      <w:ind w:firstLine="0"/>
      <w:outlineLvl w:val="3"/>
    </w:pPr>
    <w:rPr>
      <w:rFonts w:asciiTheme="majorHAnsi" w:eastAsiaTheme="majorEastAsia" w:hAnsiTheme="majorHAnsi" w:cstheme="majorBidi"/>
      <w:i/>
      <w:iCs/>
      <w:color w:val="0F6FC6" w:themeColor="accent1"/>
      <w:sz w:val="24"/>
      <w:szCs w:val="24"/>
    </w:rPr>
  </w:style>
  <w:style w:type="paragraph" w:styleId="Heading5">
    <w:name w:val="heading 5"/>
    <w:basedOn w:val="Normal"/>
    <w:next w:val="Normal"/>
    <w:link w:val="Heading5Char"/>
    <w:uiPriority w:val="9"/>
    <w:semiHidden/>
    <w:unhideWhenUsed/>
    <w:qFormat/>
    <w:rsid w:val="00B31111"/>
    <w:pPr>
      <w:spacing w:before="200" w:after="80"/>
      <w:ind w:firstLine="0"/>
      <w:outlineLvl w:val="4"/>
    </w:pPr>
    <w:rPr>
      <w:rFonts w:asciiTheme="majorHAnsi" w:eastAsiaTheme="majorEastAsia" w:hAnsiTheme="majorHAnsi" w:cstheme="majorBidi"/>
      <w:color w:val="0F6FC6" w:themeColor="accent1"/>
    </w:rPr>
  </w:style>
  <w:style w:type="paragraph" w:styleId="Heading6">
    <w:name w:val="heading 6"/>
    <w:basedOn w:val="Normal"/>
    <w:next w:val="Normal"/>
    <w:link w:val="Heading6Char"/>
    <w:uiPriority w:val="9"/>
    <w:semiHidden/>
    <w:unhideWhenUsed/>
    <w:qFormat/>
    <w:rsid w:val="00B31111"/>
    <w:pPr>
      <w:spacing w:before="280" w:after="100"/>
      <w:ind w:firstLine="0"/>
      <w:outlineLvl w:val="5"/>
    </w:pPr>
    <w:rPr>
      <w:rFonts w:asciiTheme="majorHAnsi" w:eastAsiaTheme="majorEastAsia" w:hAnsiTheme="majorHAnsi" w:cstheme="majorBidi"/>
      <w:i/>
      <w:iCs/>
      <w:color w:val="0F6FC6" w:themeColor="accent1"/>
    </w:rPr>
  </w:style>
  <w:style w:type="paragraph" w:styleId="Heading7">
    <w:name w:val="heading 7"/>
    <w:basedOn w:val="Normal"/>
    <w:next w:val="Normal"/>
    <w:link w:val="Heading7Char"/>
    <w:uiPriority w:val="9"/>
    <w:semiHidden/>
    <w:unhideWhenUsed/>
    <w:qFormat/>
    <w:rsid w:val="00B31111"/>
    <w:pPr>
      <w:spacing w:before="320" w:after="100"/>
      <w:ind w:firstLine="0"/>
      <w:outlineLvl w:val="6"/>
    </w:pPr>
    <w:rPr>
      <w:rFonts w:asciiTheme="majorHAnsi" w:eastAsiaTheme="majorEastAsia" w:hAnsiTheme="majorHAnsi" w:cstheme="majorBidi"/>
      <w:b/>
      <w:bCs/>
      <w:color w:val="0BD0D9" w:themeColor="accent3"/>
      <w:sz w:val="20"/>
      <w:szCs w:val="20"/>
    </w:rPr>
  </w:style>
  <w:style w:type="paragraph" w:styleId="Heading8">
    <w:name w:val="heading 8"/>
    <w:basedOn w:val="Normal"/>
    <w:next w:val="Normal"/>
    <w:link w:val="Heading8Char"/>
    <w:uiPriority w:val="9"/>
    <w:semiHidden/>
    <w:unhideWhenUsed/>
    <w:qFormat/>
    <w:rsid w:val="00B31111"/>
    <w:pPr>
      <w:spacing w:before="320" w:after="100"/>
      <w:ind w:firstLine="0"/>
      <w:outlineLvl w:val="7"/>
    </w:pPr>
    <w:rPr>
      <w:rFonts w:asciiTheme="majorHAnsi" w:eastAsiaTheme="majorEastAsia" w:hAnsiTheme="majorHAnsi" w:cstheme="majorBidi"/>
      <w:b/>
      <w:bCs/>
      <w:i/>
      <w:iCs/>
      <w:color w:val="0BD0D9" w:themeColor="accent3"/>
      <w:sz w:val="20"/>
      <w:szCs w:val="20"/>
    </w:rPr>
  </w:style>
  <w:style w:type="paragraph" w:styleId="Heading9">
    <w:name w:val="heading 9"/>
    <w:basedOn w:val="Normal"/>
    <w:next w:val="Normal"/>
    <w:link w:val="Heading9Char"/>
    <w:uiPriority w:val="9"/>
    <w:semiHidden/>
    <w:unhideWhenUsed/>
    <w:qFormat/>
    <w:rsid w:val="00B31111"/>
    <w:pPr>
      <w:spacing w:before="320" w:after="100"/>
      <w:ind w:firstLine="0"/>
      <w:outlineLvl w:val="8"/>
    </w:pPr>
    <w:rPr>
      <w:rFonts w:asciiTheme="majorHAnsi" w:eastAsiaTheme="majorEastAsia" w:hAnsiTheme="majorHAnsi" w:cstheme="majorBidi"/>
      <w:i/>
      <w:iCs/>
      <w:color w:val="0BD0D9"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B31111"/>
    <w:pPr>
      <w:ind w:firstLine="0"/>
    </w:pPr>
  </w:style>
  <w:style w:type="character" w:customStyle="1" w:styleId="Heading1Char">
    <w:name w:val="Heading 1 Char"/>
    <w:basedOn w:val="DefaultParagraphFont"/>
    <w:link w:val="Heading1"/>
    <w:uiPriority w:val="9"/>
    <w:rsid w:val="00B31111"/>
    <w:rPr>
      <w:rFonts w:asciiTheme="majorHAnsi" w:eastAsiaTheme="majorEastAsia" w:hAnsiTheme="majorHAnsi" w:cstheme="majorBidi"/>
      <w:b/>
      <w:bCs/>
      <w:color w:val="0B5294" w:themeColor="accent1" w:themeShade="BF"/>
      <w:sz w:val="24"/>
      <w:szCs w:val="24"/>
    </w:rPr>
  </w:style>
  <w:style w:type="character" w:customStyle="1" w:styleId="Heading2Char">
    <w:name w:val="Heading 2 Char"/>
    <w:basedOn w:val="DefaultParagraphFont"/>
    <w:link w:val="Heading2"/>
    <w:uiPriority w:val="9"/>
    <w:rsid w:val="00B31111"/>
    <w:rPr>
      <w:rFonts w:asciiTheme="majorHAnsi" w:eastAsiaTheme="majorEastAsia" w:hAnsiTheme="majorHAnsi" w:cstheme="majorBidi"/>
      <w:color w:val="0B5294" w:themeColor="accent1" w:themeShade="BF"/>
      <w:sz w:val="24"/>
      <w:szCs w:val="24"/>
    </w:rPr>
  </w:style>
  <w:style w:type="character" w:customStyle="1" w:styleId="Heading3Char">
    <w:name w:val="Heading 3 Char"/>
    <w:basedOn w:val="DefaultParagraphFont"/>
    <w:link w:val="Heading3"/>
    <w:uiPriority w:val="9"/>
    <w:rsid w:val="00B31111"/>
    <w:rPr>
      <w:rFonts w:asciiTheme="majorHAnsi" w:eastAsiaTheme="majorEastAsia" w:hAnsiTheme="majorHAnsi" w:cstheme="majorBidi"/>
      <w:color w:val="0F6FC6" w:themeColor="accent1"/>
      <w:sz w:val="24"/>
      <w:szCs w:val="24"/>
    </w:rPr>
  </w:style>
  <w:style w:type="paragraph" w:styleId="Title">
    <w:name w:val="Title"/>
    <w:basedOn w:val="Normal"/>
    <w:next w:val="Normal"/>
    <w:link w:val="TitleChar"/>
    <w:uiPriority w:val="10"/>
    <w:qFormat/>
    <w:rsid w:val="00B31111"/>
    <w:pPr>
      <w:pBdr>
        <w:top w:val="single" w:sz="8" w:space="10" w:color="75B7F4" w:themeColor="accent1" w:themeTint="7F"/>
        <w:bottom w:val="single" w:sz="24" w:space="15" w:color="0BD0D9" w:themeColor="accent3"/>
      </w:pBdr>
      <w:ind w:firstLine="0"/>
      <w:jc w:val="center"/>
    </w:pPr>
    <w:rPr>
      <w:rFonts w:asciiTheme="majorHAnsi" w:eastAsiaTheme="majorEastAsia" w:hAnsiTheme="majorHAnsi" w:cstheme="majorBidi"/>
      <w:i/>
      <w:iCs/>
      <w:color w:val="073662" w:themeColor="accent1" w:themeShade="7F"/>
      <w:sz w:val="60"/>
      <w:szCs w:val="60"/>
    </w:rPr>
  </w:style>
  <w:style w:type="character" w:customStyle="1" w:styleId="TitleChar">
    <w:name w:val="Title Char"/>
    <w:basedOn w:val="DefaultParagraphFont"/>
    <w:link w:val="Title"/>
    <w:uiPriority w:val="10"/>
    <w:rsid w:val="00B31111"/>
    <w:rPr>
      <w:rFonts w:asciiTheme="majorHAnsi" w:eastAsiaTheme="majorEastAsia" w:hAnsiTheme="majorHAnsi" w:cstheme="majorBidi"/>
      <w:i/>
      <w:iCs/>
      <w:color w:val="073662" w:themeColor="accent1" w:themeShade="7F"/>
      <w:sz w:val="60"/>
      <w:szCs w:val="60"/>
    </w:rPr>
  </w:style>
  <w:style w:type="paragraph" w:styleId="Subtitle">
    <w:name w:val="Subtitle"/>
    <w:basedOn w:val="Normal"/>
    <w:next w:val="Normal"/>
    <w:link w:val="SubtitleChar"/>
    <w:uiPriority w:val="11"/>
    <w:qFormat/>
    <w:rsid w:val="00B31111"/>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B31111"/>
    <w:rPr>
      <w:i/>
      <w:iCs/>
      <w:sz w:val="24"/>
      <w:szCs w:val="24"/>
    </w:rPr>
  </w:style>
  <w:style w:type="paragraph" w:styleId="ListParagraph">
    <w:name w:val="List Paragraph"/>
    <w:basedOn w:val="Normal"/>
    <w:uiPriority w:val="34"/>
    <w:qFormat/>
    <w:rsid w:val="00B31111"/>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31111"/>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B31111"/>
    <w:rPr>
      <w:rFonts w:asciiTheme="majorHAnsi" w:eastAsiaTheme="majorEastAsia" w:hAnsiTheme="majorHAnsi" w:cstheme="majorBidi"/>
      <w:i/>
      <w:iCs/>
      <w:color w:val="5A5A5A" w:themeColor="text1" w:themeTint="A5"/>
    </w:rPr>
  </w:style>
  <w:style w:type="character" w:customStyle="1" w:styleId="Heading4Char">
    <w:name w:val="Heading 4 Char"/>
    <w:basedOn w:val="DefaultParagraphFont"/>
    <w:link w:val="Heading4"/>
    <w:uiPriority w:val="9"/>
    <w:semiHidden/>
    <w:rsid w:val="00B31111"/>
    <w:rPr>
      <w:rFonts w:asciiTheme="majorHAnsi" w:eastAsiaTheme="majorEastAsia" w:hAnsiTheme="majorHAnsi" w:cstheme="majorBidi"/>
      <w:i/>
      <w:iCs/>
      <w:color w:val="0F6FC6" w:themeColor="accent1"/>
      <w:sz w:val="24"/>
      <w:szCs w:val="24"/>
    </w:rPr>
  </w:style>
  <w:style w:type="character" w:customStyle="1" w:styleId="Heading5Char">
    <w:name w:val="Heading 5 Char"/>
    <w:basedOn w:val="DefaultParagraphFont"/>
    <w:link w:val="Heading5"/>
    <w:uiPriority w:val="9"/>
    <w:semiHidden/>
    <w:rsid w:val="00B31111"/>
    <w:rPr>
      <w:rFonts w:asciiTheme="majorHAnsi" w:eastAsiaTheme="majorEastAsia" w:hAnsiTheme="majorHAnsi" w:cstheme="majorBidi"/>
      <w:color w:val="0F6FC6" w:themeColor="accent1"/>
    </w:rPr>
  </w:style>
  <w:style w:type="character" w:customStyle="1" w:styleId="Heading6Char">
    <w:name w:val="Heading 6 Char"/>
    <w:basedOn w:val="DefaultParagraphFont"/>
    <w:link w:val="Heading6"/>
    <w:uiPriority w:val="9"/>
    <w:semiHidden/>
    <w:rsid w:val="00B31111"/>
    <w:rPr>
      <w:rFonts w:asciiTheme="majorHAnsi" w:eastAsiaTheme="majorEastAsia" w:hAnsiTheme="majorHAnsi" w:cstheme="majorBidi"/>
      <w:i/>
      <w:iCs/>
      <w:color w:val="0F6FC6" w:themeColor="accent1"/>
    </w:rPr>
  </w:style>
  <w:style w:type="character" w:customStyle="1" w:styleId="Heading7Char">
    <w:name w:val="Heading 7 Char"/>
    <w:basedOn w:val="DefaultParagraphFont"/>
    <w:link w:val="Heading7"/>
    <w:uiPriority w:val="9"/>
    <w:semiHidden/>
    <w:rsid w:val="00B31111"/>
    <w:rPr>
      <w:rFonts w:asciiTheme="majorHAnsi" w:eastAsiaTheme="majorEastAsia" w:hAnsiTheme="majorHAnsi" w:cstheme="majorBidi"/>
      <w:b/>
      <w:bCs/>
      <w:color w:val="0BD0D9" w:themeColor="accent3"/>
      <w:sz w:val="20"/>
      <w:szCs w:val="20"/>
    </w:rPr>
  </w:style>
  <w:style w:type="character" w:customStyle="1" w:styleId="Heading8Char">
    <w:name w:val="Heading 8 Char"/>
    <w:basedOn w:val="DefaultParagraphFont"/>
    <w:link w:val="Heading8"/>
    <w:uiPriority w:val="9"/>
    <w:semiHidden/>
    <w:rsid w:val="00B31111"/>
    <w:rPr>
      <w:rFonts w:asciiTheme="majorHAnsi" w:eastAsiaTheme="majorEastAsia" w:hAnsiTheme="majorHAnsi" w:cstheme="majorBidi"/>
      <w:b/>
      <w:bCs/>
      <w:i/>
      <w:iCs/>
      <w:color w:val="0BD0D9" w:themeColor="accent3"/>
      <w:sz w:val="20"/>
      <w:szCs w:val="20"/>
    </w:rPr>
  </w:style>
  <w:style w:type="character" w:customStyle="1" w:styleId="Heading9Char">
    <w:name w:val="Heading 9 Char"/>
    <w:basedOn w:val="DefaultParagraphFont"/>
    <w:link w:val="Heading9"/>
    <w:uiPriority w:val="9"/>
    <w:semiHidden/>
    <w:rsid w:val="00B31111"/>
    <w:rPr>
      <w:rFonts w:asciiTheme="majorHAnsi" w:eastAsiaTheme="majorEastAsia" w:hAnsiTheme="majorHAnsi" w:cstheme="majorBidi"/>
      <w:i/>
      <w:iCs/>
      <w:color w:val="0BD0D9" w:themeColor="accent3"/>
      <w:sz w:val="20"/>
      <w:szCs w:val="20"/>
    </w:rPr>
  </w:style>
  <w:style w:type="paragraph" w:styleId="Caption">
    <w:name w:val="caption"/>
    <w:basedOn w:val="Normal"/>
    <w:next w:val="Normal"/>
    <w:uiPriority w:val="35"/>
    <w:semiHidden/>
    <w:unhideWhenUsed/>
    <w:qFormat/>
    <w:rsid w:val="00B31111"/>
    <w:rPr>
      <w:b/>
      <w:bCs/>
      <w:sz w:val="18"/>
      <w:szCs w:val="18"/>
    </w:rPr>
  </w:style>
  <w:style w:type="character" w:styleId="Strong">
    <w:name w:val="Strong"/>
    <w:basedOn w:val="DefaultParagraphFont"/>
    <w:uiPriority w:val="22"/>
    <w:qFormat/>
    <w:rsid w:val="00B31111"/>
    <w:rPr>
      <w:b/>
      <w:bCs/>
      <w:spacing w:val="0"/>
    </w:rPr>
  </w:style>
  <w:style w:type="character" w:styleId="Emphasis">
    <w:name w:val="Emphasis"/>
    <w:uiPriority w:val="20"/>
    <w:qFormat/>
    <w:rsid w:val="00B31111"/>
    <w:rPr>
      <w:b/>
      <w:bCs/>
      <w:i/>
      <w:iCs/>
      <w:color w:val="5A5A5A" w:themeColor="text1" w:themeTint="A5"/>
    </w:rPr>
  </w:style>
  <w:style w:type="paragraph" w:styleId="IntenseQuote">
    <w:name w:val="Intense Quote"/>
    <w:basedOn w:val="Normal"/>
    <w:next w:val="Normal"/>
    <w:link w:val="IntenseQuoteChar"/>
    <w:uiPriority w:val="30"/>
    <w:qFormat/>
    <w:rsid w:val="00B31111"/>
    <w:pPr>
      <w:pBdr>
        <w:top w:val="single" w:sz="12" w:space="10" w:color="90C5F6" w:themeColor="accent1" w:themeTint="66"/>
        <w:left w:val="single" w:sz="36" w:space="4" w:color="0F6FC6" w:themeColor="accent1"/>
        <w:bottom w:val="single" w:sz="24" w:space="10" w:color="0BD0D9" w:themeColor="accent3"/>
        <w:right w:val="single" w:sz="36" w:space="4" w:color="0F6FC6" w:themeColor="accent1"/>
      </w:pBdr>
      <w:shd w:val="clear" w:color="auto" w:fill="0F6FC6"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B31111"/>
    <w:rPr>
      <w:rFonts w:asciiTheme="majorHAnsi" w:eastAsiaTheme="majorEastAsia" w:hAnsiTheme="majorHAnsi" w:cstheme="majorBidi"/>
      <w:i/>
      <w:iCs/>
      <w:color w:val="FFFFFF" w:themeColor="background1"/>
      <w:sz w:val="24"/>
      <w:szCs w:val="24"/>
      <w:shd w:val="clear" w:color="auto" w:fill="0F6FC6" w:themeFill="accent1"/>
    </w:rPr>
  </w:style>
  <w:style w:type="character" w:styleId="SubtleEmphasis">
    <w:name w:val="Subtle Emphasis"/>
    <w:uiPriority w:val="19"/>
    <w:qFormat/>
    <w:rsid w:val="00B31111"/>
    <w:rPr>
      <w:i/>
      <w:iCs/>
      <w:color w:val="5A5A5A" w:themeColor="text1" w:themeTint="A5"/>
    </w:rPr>
  </w:style>
  <w:style w:type="character" w:styleId="IntenseEmphasis">
    <w:name w:val="Intense Emphasis"/>
    <w:uiPriority w:val="21"/>
    <w:qFormat/>
    <w:rsid w:val="00B31111"/>
    <w:rPr>
      <w:b/>
      <w:bCs/>
      <w:i/>
      <w:iCs/>
      <w:color w:val="0F6FC6" w:themeColor="accent1"/>
      <w:sz w:val="22"/>
      <w:szCs w:val="22"/>
    </w:rPr>
  </w:style>
  <w:style w:type="character" w:styleId="SubtleReference">
    <w:name w:val="Subtle Reference"/>
    <w:uiPriority w:val="31"/>
    <w:qFormat/>
    <w:rsid w:val="00B31111"/>
    <w:rPr>
      <w:color w:val="auto"/>
      <w:u w:val="single" w:color="0BD0D9" w:themeColor="accent3"/>
    </w:rPr>
  </w:style>
  <w:style w:type="character" w:styleId="IntenseReference">
    <w:name w:val="Intense Reference"/>
    <w:basedOn w:val="DefaultParagraphFont"/>
    <w:uiPriority w:val="32"/>
    <w:qFormat/>
    <w:rsid w:val="00B31111"/>
    <w:rPr>
      <w:b/>
      <w:bCs/>
      <w:color w:val="089BA2" w:themeColor="accent3" w:themeShade="BF"/>
      <w:u w:val="single" w:color="0BD0D9" w:themeColor="accent3"/>
    </w:rPr>
  </w:style>
  <w:style w:type="character" w:styleId="BookTitle">
    <w:name w:val="Book Title"/>
    <w:basedOn w:val="DefaultParagraphFont"/>
    <w:uiPriority w:val="33"/>
    <w:qFormat/>
    <w:rsid w:val="00B31111"/>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B31111"/>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0B5294" w:themeColor="accent1" w:themeShade="BF"/>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table" w:styleId="LightShading-Accent2">
    <w:name w:val="Light Shading Accent 2"/>
    <w:basedOn w:val="TableNormal"/>
    <w:uiPriority w:val="60"/>
    <w:rsid w:val="00FC693F"/>
    <w:rPr>
      <w:color w:val="0075A2" w:themeColor="accent2" w:themeShade="BF"/>
    </w:rPr>
    <w:tblPr>
      <w:tblStyleRowBandSize w:val="1"/>
      <w:tblStyleColBandSize w:val="1"/>
      <w:tblBorders>
        <w:top w:val="single" w:sz="8" w:space="0" w:color="009DD9" w:themeColor="accent2"/>
        <w:bottom w:val="single" w:sz="8" w:space="0" w:color="009DD9" w:themeColor="accent2"/>
      </w:tblBorders>
    </w:tblPr>
    <w:tblStylePr w:type="firstRow">
      <w:pPr>
        <w:spacing w:before="0" w:after="0" w:line="240" w:lineRule="auto"/>
      </w:pPr>
      <w:rPr>
        <w:b/>
        <w:bCs/>
      </w:rPr>
      <w:tblPr/>
      <w:tcPr>
        <w:tcBorders>
          <w:top w:val="single" w:sz="8" w:space="0" w:color="009DD9" w:themeColor="accent2"/>
          <w:left w:val="nil"/>
          <w:bottom w:val="single" w:sz="8" w:space="0" w:color="009DD9" w:themeColor="accent2"/>
          <w:right w:val="nil"/>
          <w:insideH w:val="nil"/>
          <w:insideV w:val="nil"/>
        </w:tcBorders>
      </w:tcPr>
    </w:tblStylePr>
    <w:tblStylePr w:type="lastRow">
      <w:pPr>
        <w:spacing w:before="0" w:after="0" w:line="240" w:lineRule="auto"/>
      </w:pPr>
      <w:rPr>
        <w:b/>
        <w:bCs/>
      </w:rPr>
      <w:tblPr/>
      <w:tcPr>
        <w:tcBorders>
          <w:top w:val="single" w:sz="8" w:space="0" w:color="009DD9" w:themeColor="accent2"/>
          <w:left w:val="nil"/>
          <w:bottom w:val="single" w:sz="8" w:space="0" w:color="009D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AFF" w:themeFill="accent2" w:themeFillTint="3F"/>
      </w:tcPr>
    </w:tblStylePr>
    <w:tblStylePr w:type="band1Horz">
      <w:tblPr/>
      <w:tcPr>
        <w:tcBorders>
          <w:left w:val="nil"/>
          <w:right w:val="nil"/>
          <w:insideH w:val="nil"/>
          <w:insideV w:val="nil"/>
        </w:tcBorders>
        <w:shd w:val="clear" w:color="auto" w:fill="B6EAFF" w:themeFill="accent2" w:themeFillTint="3F"/>
      </w:tcPr>
    </w:tblStylePr>
  </w:style>
  <w:style w:type="table" w:styleId="LightShading-Accent3">
    <w:name w:val="Light Shading Accent 3"/>
    <w:basedOn w:val="TableNormal"/>
    <w:uiPriority w:val="60"/>
    <w:rsid w:val="00FC693F"/>
    <w:rPr>
      <w:color w:val="089BA2" w:themeColor="accent3" w:themeShade="BF"/>
    </w:rPr>
    <w:tblPr>
      <w:tblStyleRowBandSize w:val="1"/>
      <w:tblStyleColBandSize w:val="1"/>
      <w:tblBorders>
        <w:top w:val="single" w:sz="8" w:space="0" w:color="0BD0D9" w:themeColor="accent3"/>
        <w:bottom w:val="single" w:sz="8" w:space="0" w:color="0BD0D9" w:themeColor="accent3"/>
      </w:tblBorders>
    </w:tblPr>
    <w:tblStylePr w:type="firstRow">
      <w:pPr>
        <w:spacing w:before="0" w:after="0" w:line="240" w:lineRule="auto"/>
      </w:pPr>
      <w:rPr>
        <w:b/>
        <w:bCs/>
      </w:rPr>
      <w:tblPr/>
      <w:tcPr>
        <w:tcBorders>
          <w:top w:val="single" w:sz="8" w:space="0" w:color="0BD0D9" w:themeColor="accent3"/>
          <w:left w:val="nil"/>
          <w:bottom w:val="single" w:sz="8" w:space="0" w:color="0BD0D9" w:themeColor="accent3"/>
          <w:right w:val="nil"/>
          <w:insideH w:val="nil"/>
          <w:insideV w:val="nil"/>
        </w:tcBorders>
      </w:tcPr>
    </w:tblStylePr>
    <w:tblStylePr w:type="lastRow">
      <w:pPr>
        <w:spacing w:before="0" w:after="0" w:line="240" w:lineRule="auto"/>
      </w:pPr>
      <w:rPr>
        <w:b/>
        <w:bCs/>
      </w:rPr>
      <w:tblPr/>
      <w:tcPr>
        <w:tcBorders>
          <w:top w:val="single" w:sz="8" w:space="0" w:color="0BD0D9" w:themeColor="accent3"/>
          <w:left w:val="nil"/>
          <w:bottom w:val="single" w:sz="8" w:space="0" w:color="0BD0D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F8FB" w:themeFill="accent3" w:themeFillTint="3F"/>
      </w:tcPr>
    </w:tblStylePr>
    <w:tblStylePr w:type="band1Horz">
      <w:tblPr/>
      <w:tcPr>
        <w:tcBorders>
          <w:left w:val="nil"/>
          <w:right w:val="nil"/>
          <w:insideH w:val="nil"/>
          <w:insideV w:val="nil"/>
        </w:tcBorders>
        <w:shd w:val="clear" w:color="auto" w:fill="BCF8FB" w:themeFill="accent3" w:themeFillTint="3F"/>
      </w:tcPr>
    </w:tblStylePr>
  </w:style>
  <w:style w:type="table" w:styleId="LightShading-Accent4">
    <w:name w:val="Light Shading Accent 4"/>
    <w:basedOn w:val="TableNormal"/>
    <w:uiPriority w:val="60"/>
    <w:rsid w:val="00FC693F"/>
    <w:rPr>
      <w:color w:val="0C9A73" w:themeColor="accent4" w:themeShade="BF"/>
    </w:rPr>
    <w:tblPr>
      <w:tblStyleRowBandSize w:val="1"/>
      <w:tblStyleColBandSize w:val="1"/>
      <w:tblBorders>
        <w:top w:val="single" w:sz="8" w:space="0" w:color="10CF9B" w:themeColor="accent4"/>
        <w:bottom w:val="single" w:sz="8" w:space="0" w:color="10CF9B" w:themeColor="accent4"/>
      </w:tblBorders>
    </w:tblPr>
    <w:tblStylePr w:type="fir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la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FAE9" w:themeFill="accent4" w:themeFillTint="3F"/>
      </w:tcPr>
    </w:tblStylePr>
    <w:tblStylePr w:type="band1Horz">
      <w:tblPr/>
      <w:tcPr>
        <w:tcBorders>
          <w:left w:val="nil"/>
          <w:right w:val="nil"/>
          <w:insideH w:val="nil"/>
          <w:insideV w:val="nil"/>
        </w:tcBorders>
        <w:shd w:val="clear" w:color="auto" w:fill="BDFAE9" w:themeFill="accent4" w:themeFillTint="3F"/>
      </w:tcPr>
    </w:tblStylePr>
  </w:style>
  <w:style w:type="table" w:styleId="LightShading-Accent5">
    <w:name w:val="Light Shading Accent 5"/>
    <w:basedOn w:val="TableNormal"/>
    <w:uiPriority w:val="60"/>
    <w:rsid w:val="00FC693F"/>
    <w:rPr>
      <w:color w:val="54A738" w:themeColor="accent5" w:themeShade="BF"/>
    </w:rPr>
    <w:tblPr>
      <w:tblStyleRowBandSize w:val="1"/>
      <w:tblStyleColBandSize w:val="1"/>
      <w:tblBorders>
        <w:top w:val="single" w:sz="8" w:space="0" w:color="7CCA62" w:themeColor="accent5"/>
        <w:bottom w:val="single" w:sz="8" w:space="0" w:color="7CCA62" w:themeColor="accent5"/>
      </w:tblBorders>
    </w:tblPr>
    <w:tblStylePr w:type="firstRow">
      <w:pPr>
        <w:spacing w:before="0" w:after="0" w:line="240" w:lineRule="auto"/>
      </w:pPr>
      <w:rPr>
        <w:b/>
        <w:bCs/>
      </w:rPr>
      <w:tblPr/>
      <w:tcPr>
        <w:tcBorders>
          <w:top w:val="single" w:sz="8" w:space="0" w:color="7CCA62" w:themeColor="accent5"/>
          <w:left w:val="nil"/>
          <w:bottom w:val="single" w:sz="8" w:space="0" w:color="7CCA62" w:themeColor="accent5"/>
          <w:right w:val="nil"/>
          <w:insideH w:val="nil"/>
          <w:insideV w:val="nil"/>
        </w:tcBorders>
      </w:tcPr>
    </w:tblStylePr>
    <w:tblStylePr w:type="lastRow">
      <w:pPr>
        <w:spacing w:before="0" w:after="0" w:line="240" w:lineRule="auto"/>
      </w:pPr>
      <w:rPr>
        <w:b/>
        <w:bCs/>
      </w:rPr>
      <w:tblPr/>
      <w:tcPr>
        <w:tcBorders>
          <w:top w:val="single" w:sz="8" w:space="0" w:color="7CCA62" w:themeColor="accent5"/>
          <w:left w:val="nil"/>
          <w:bottom w:val="single" w:sz="8" w:space="0" w:color="7CCA6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F2D8" w:themeFill="accent5" w:themeFillTint="3F"/>
      </w:tcPr>
    </w:tblStylePr>
    <w:tblStylePr w:type="band1Horz">
      <w:tblPr/>
      <w:tcPr>
        <w:tcBorders>
          <w:left w:val="nil"/>
          <w:right w:val="nil"/>
          <w:insideH w:val="nil"/>
          <w:insideV w:val="nil"/>
        </w:tcBorders>
        <w:shd w:val="clear" w:color="auto" w:fill="DEF2D8" w:themeFill="accent5" w:themeFillTint="3F"/>
      </w:tcPr>
    </w:tblStylePr>
  </w:style>
  <w:style w:type="table" w:styleId="LightShading-Accent6">
    <w:name w:val="Light Shading Accent 6"/>
    <w:basedOn w:val="TableNormal"/>
    <w:uiPriority w:val="60"/>
    <w:rsid w:val="00FC693F"/>
    <w:rPr>
      <w:color w:val="7D9532" w:themeColor="accent6" w:themeShade="BF"/>
    </w:rPr>
    <w:tblPr>
      <w:tblStyleRowBandSize w:val="1"/>
      <w:tblStyleColBandSize w:val="1"/>
      <w:tblBorders>
        <w:top w:val="single" w:sz="8" w:space="0" w:color="A5C249" w:themeColor="accent6"/>
        <w:bottom w:val="single" w:sz="8" w:space="0" w:color="A5C249" w:themeColor="accent6"/>
      </w:tblBorders>
    </w:tblPr>
    <w:tblStylePr w:type="fir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la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F0D1" w:themeFill="accent6" w:themeFillTint="3F"/>
      </w:tcPr>
    </w:tblStylePr>
    <w:tblStylePr w:type="band1Horz">
      <w:tblPr/>
      <w:tcPr>
        <w:tcBorders>
          <w:left w:val="nil"/>
          <w:right w:val="nil"/>
          <w:insideH w:val="nil"/>
          <w:insideV w:val="nil"/>
        </w:tcBorders>
        <w:shd w:val="clear" w:color="auto" w:fill="E8F0D1"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tblBorders>
    </w:tblPr>
    <w:tblStylePr w:type="firstRow">
      <w:pPr>
        <w:spacing w:before="0" w:after="0" w:line="240" w:lineRule="auto"/>
      </w:pPr>
      <w:rPr>
        <w:b/>
        <w:bCs/>
        <w:color w:val="FFFFFF" w:themeColor="background1"/>
      </w:rPr>
      <w:tblPr/>
      <w:tcPr>
        <w:shd w:val="clear" w:color="auto" w:fill="0F6FC6" w:themeFill="accent1"/>
      </w:tcPr>
    </w:tblStylePr>
    <w:tblStylePr w:type="lastRow">
      <w:pPr>
        <w:spacing w:before="0" w:after="0" w:line="240" w:lineRule="auto"/>
      </w:pPr>
      <w:rPr>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tcBorders>
      </w:tcPr>
    </w:tblStylePr>
    <w:tblStylePr w:type="firstCol">
      <w:rPr>
        <w:b/>
        <w:bCs/>
      </w:rPr>
    </w:tblStylePr>
    <w:tblStylePr w:type="lastCol">
      <w:rPr>
        <w:b/>
        <w:bCs/>
      </w:r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tblBorders>
    </w:tblPr>
    <w:tblStylePr w:type="firstRow">
      <w:pPr>
        <w:spacing w:before="0" w:after="0" w:line="240" w:lineRule="auto"/>
      </w:pPr>
      <w:rPr>
        <w:b/>
        <w:bCs/>
        <w:color w:val="FFFFFF" w:themeColor="background1"/>
      </w:rPr>
      <w:tblPr/>
      <w:tcPr>
        <w:shd w:val="clear" w:color="auto" w:fill="009DD9" w:themeFill="accent2"/>
      </w:tcPr>
    </w:tblStylePr>
    <w:tblStylePr w:type="lastRow">
      <w:pPr>
        <w:spacing w:before="0" w:after="0" w:line="240" w:lineRule="auto"/>
      </w:pPr>
      <w:rPr>
        <w:b/>
        <w:bCs/>
      </w:rPr>
      <w:tblPr/>
      <w:tcPr>
        <w:tcBorders>
          <w:top w:val="double" w:sz="6" w:space="0" w:color="009DD9" w:themeColor="accent2"/>
          <w:left w:val="single" w:sz="8" w:space="0" w:color="009DD9" w:themeColor="accent2"/>
          <w:bottom w:val="single" w:sz="8" w:space="0" w:color="009DD9" w:themeColor="accent2"/>
          <w:right w:val="single" w:sz="8" w:space="0" w:color="009DD9" w:themeColor="accent2"/>
        </w:tcBorders>
      </w:tcPr>
    </w:tblStylePr>
    <w:tblStylePr w:type="firstCol">
      <w:rPr>
        <w:b/>
        <w:bCs/>
      </w:rPr>
    </w:tblStylePr>
    <w:tblStylePr w:type="lastCol">
      <w:rPr>
        <w:b/>
        <w:bCs/>
      </w:rPr>
    </w:tblStylePr>
    <w:tblStylePr w:type="band1Vert">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tcPr>
    </w:tblStylePr>
    <w:tblStylePr w:type="band1Horz">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tblBorders>
    </w:tblPr>
    <w:tblStylePr w:type="firstRow">
      <w:pPr>
        <w:spacing w:before="0" w:after="0" w:line="240" w:lineRule="auto"/>
      </w:pPr>
      <w:rPr>
        <w:b/>
        <w:bCs/>
        <w:color w:val="FFFFFF" w:themeColor="background1"/>
      </w:rPr>
      <w:tblPr/>
      <w:tcPr>
        <w:shd w:val="clear" w:color="auto" w:fill="0BD0D9" w:themeFill="accent3"/>
      </w:tcPr>
    </w:tblStylePr>
    <w:tblStylePr w:type="lastRow">
      <w:pPr>
        <w:spacing w:before="0" w:after="0" w:line="240" w:lineRule="auto"/>
      </w:pPr>
      <w:rPr>
        <w:b/>
        <w:bCs/>
      </w:rPr>
      <w:tblPr/>
      <w:tcPr>
        <w:tcBorders>
          <w:top w:val="double" w:sz="6" w:space="0" w:color="0BD0D9" w:themeColor="accent3"/>
          <w:left w:val="single" w:sz="8" w:space="0" w:color="0BD0D9" w:themeColor="accent3"/>
          <w:bottom w:val="single" w:sz="8" w:space="0" w:color="0BD0D9" w:themeColor="accent3"/>
          <w:right w:val="single" w:sz="8" w:space="0" w:color="0BD0D9" w:themeColor="accent3"/>
        </w:tcBorders>
      </w:tcPr>
    </w:tblStylePr>
    <w:tblStylePr w:type="firstCol">
      <w:rPr>
        <w:b/>
        <w:bCs/>
      </w:rPr>
    </w:tblStylePr>
    <w:tblStylePr w:type="lastCol">
      <w:rPr>
        <w:b/>
        <w:bCs/>
      </w:rPr>
    </w:tblStylePr>
    <w:tblStylePr w:type="band1Vert">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tcPr>
    </w:tblStylePr>
    <w:tblStylePr w:type="band1Horz">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tblBorders>
    </w:tblPr>
    <w:tblStylePr w:type="firstRow">
      <w:pPr>
        <w:spacing w:before="0" w:after="0" w:line="240" w:lineRule="auto"/>
      </w:pPr>
      <w:rPr>
        <w:b/>
        <w:bCs/>
        <w:color w:val="FFFFFF" w:themeColor="background1"/>
      </w:rPr>
      <w:tblPr/>
      <w:tcPr>
        <w:shd w:val="clear" w:color="auto" w:fill="10CF9B" w:themeFill="accent4"/>
      </w:tcPr>
    </w:tblStylePr>
    <w:tblStylePr w:type="lastRow">
      <w:pPr>
        <w:spacing w:before="0" w:after="0" w:line="240" w:lineRule="auto"/>
      </w:pPr>
      <w:rPr>
        <w:b/>
        <w:bCs/>
      </w:rPr>
      <w:tblPr/>
      <w:tcPr>
        <w:tcBorders>
          <w:top w:val="double" w:sz="6" w:space="0" w:color="10CF9B" w:themeColor="accent4"/>
          <w:left w:val="single" w:sz="8" w:space="0" w:color="10CF9B" w:themeColor="accent4"/>
          <w:bottom w:val="single" w:sz="8" w:space="0" w:color="10CF9B" w:themeColor="accent4"/>
          <w:right w:val="single" w:sz="8" w:space="0" w:color="10CF9B" w:themeColor="accent4"/>
        </w:tcBorders>
      </w:tcPr>
    </w:tblStylePr>
    <w:tblStylePr w:type="firstCol">
      <w:rPr>
        <w:b/>
        <w:bCs/>
      </w:rPr>
    </w:tblStylePr>
    <w:tblStylePr w:type="lastCol">
      <w:rPr>
        <w:b/>
        <w:bCs/>
      </w:rPr>
    </w:tblStylePr>
    <w:tblStylePr w:type="band1Vert">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tblStylePr w:type="band1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tblBorders>
    </w:tblPr>
    <w:tblStylePr w:type="firstRow">
      <w:pPr>
        <w:spacing w:before="0" w:after="0" w:line="240" w:lineRule="auto"/>
      </w:pPr>
      <w:rPr>
        <w:b/>
        <w:bCs/>
        <w:color w:val="FFFFFF" w:themeColor="background1"/>
      </w:rPr>
      <w:tblPr/>
      <w:tcPr>
        <w:shd w:val="clear" w:color="auto" w:fill="7CCA62" w:themeFill="accent5"/>
      </w:tcPr>
    </w:tblStylePr>
    <w:tblStylePr w:type="lastRow">
      <w:pPr>
        <w:spacing w:before="0" w:after="0" w:line="240" w:lineRule="auto"/>
      </w:pPr>
      <w:rPr>
        <w:b/>
        <w:bCs/>
      </w:rPr>
      <w:tblPr/>
      <w:tcPr>
        <w:tcBorders>
          <w:top w:val="double" w:sz="6" w:space="0" w:color="7CCA62" w:themeColor="accent5"/>
          <w:left w:val="single" w:sz="8" w:space="0" w:color="7CCA62" w:themeColor="accent5"/>
          <w:bottom w:val="single" w:sz="8" w:space="0" w:color="7CCA62" w:themeColor="accent5"/>
          <w:right w:val="single" w:sz="8" w:space="0" w:color="7CCA62" w:themeColor="accent5"/>
        </w:tcBorders>
      </w:tcPr>
    </w:tblStylePr>
    <w:tblStylePr w:type="firstCol">
      <w:rPr>
        <w:b/>
        <w:bCs/>
      </w:rPr>
    </w:tblStylePr>
    <w:tblStylePr w:type="lastCol">
      <w:rPr>
        <w:b/>
        <w:bCs/>
      </w:rPr>
    </w:tblStylePr>
    <w:tblStylePr w:type="band1Vert">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tblStylePr w:type="band1Horz">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tblBorders>
    </w:tblPr>
    <w:tblStylePr w:type="firstRow">
      <w:pPr>
        <w:spacing w:before="0" w:after="0" w:line="240" w:lineRule="auto"/>
      </w:pPr>
      <w:rPr>
        <w:b/>
        <w:bCs/>
        <w:color w:val="FFFFFF" w:themeColor="background1"/>
      </w:rPr>
      <w:tblPr/>
      <w:tcPr>
        <w:shd w:val="clear" w:color="auto" w:fill="A5C249" w:themeFill="accent6"/>
      </w:tcPr>
    </w:tblStylePr>
    <w:tblStylePr w:type="lastRow">
      <w:pPr>
        <w:spacing w:before="0" w:after="0" w:line="240" w:lineRule="auto"/>
      </w:pPr>
      <w:rPr>
        <w:b/>
        <w:bCs/>
      </w:rPr>
      <w:tblPr/>
      <w:tcPr>
        <w:tcBorders>
          <w:top w:val="double" w:sz="6" w:space="0" w:color="A5C249" w:themeColor="accent6"/>
          <w:left w:val="single" w:sz="8" w:space="0" w:color="A5C249" w:themeColor="accent6"/>
          <w:bottom w:val="single" w:sz="8" w:space="0" w:color="A5C249" w:themeColor="accent6"/>
          <w:right w:val="single" w:sz="8" w:space="0" w:color="A5C249" w:themeColor="accent6"/>
        </w:tcBorders>
      </w:tcPr>
    </w:tblStylePr>
    <w:tblStylePr w:type="firstCol">
      <w:rPr>
        <w:b/>
        <w:bCs/>
      </w:rPr>
    </w:tblStylePr>
    <w:tblStylePr w:type="lastCol">
      <w:rPr>
        <w:b/>
        <w:bCs/>
      </w:rPr>
    </w:tblStylePr>
    <w:tblStylePr w:type="band1Vert">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tcPr>
    </w:tblStylePr>
    <w:tblStylePr w:type="band1Horz">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insideH w:val="single" w:sz="8" w:space="0" w:color="0F6FC6" w:themeColor="accent1"/>
        <w:insideV w:val="single" w:sz="8" w:space="0" w:color="0F6FC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18" w:space="0" w:color="0F6FC6" w:themeColor="accent1"/>
          <w:right w:val="single" w:sz="8" w:space="0" w:color="0F6FC6" w:themeColor="accent1"/>
          <w:insideH w:val="nil"/>
          <w:insideV w:val="single" w:sz="8" w:space="0" w:color="0F6FC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insideH w:val="nil"/>
          <w:insideV w:val="single" w:sz="8" w:space="0" w:color="0F6FC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shd w:val="clear" w:color="auto" w:fill="BADBF9" w:themeFill="accent1" w:themeFillTint="3F"/>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shd w:val="clear" w:color="auto" w:fill="BADBF9" w:themeFill="accent1" w:themeFillTint="3F"/>
      </w:tcPr>
    </w:tblStylePr>
    <w:tblStylePr w:type="band2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insideH w:val="single" w:sz="8" w:space="0" w:color="009DD9" w:themeColor="accent2"/>
        <w:insideV w:val="single" w:sz="8" w:space="0" w:color="009DD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DD9" w:themeColor="accent2"/>
          <w:left w:val="single" w:sz="8" w:space="0" w:color="009DD9" w:themeColor="accent2"/>
          <w:bottom w:val="single" w:sz="18" w:space="0" w:color="009DD9" w:themeColor="accent2"/>
          <w:right w:val="single" w:sz="8" w:space="0" w:color="009DD9" w:themeColor="accent2"/>
          <w:insideH w:val="nil"/>
          <w:insideV w:val="single" w:sz="8" w:space="0" w:color="009DD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DD9" w:themeColor="accent2"/>
          <w:left w:val="single" w:sz="8" w:space="0" w:color="009DD9" w:themeColor="accent2"/>
          <w:bottom w:val="single" w:sz="8" w:space="0" w:color="009DD9" w:themeColor="accent2"/>
          <w:right w:val="single" w:sz="8" w:space="0" w:color="009DD9" w:themeColor="accent2"/>
          <w:insideH w:val="nil"/>
          <w:insideV w:val="single" w:sz="8" w:space="0" w:color="009DD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tcPr>
    </w:tblStylePr>
    <w:tblStylePr w:type="band1Vert">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shd w:val="clear" w:color="auto" w:fill="B6EAFF" w:themeFill="accent2" w:themeFillTint="3F"/>
      </w:tcPr>
    </w:tblStylePr>
    <w:tblStylePr w:type="band1Horz">
      <w:tblPr/>
      <w:tcPr>
        <w:tcBorders>
          <w:top w:val="single" w:sz="8" w:space="0" w:color="009DD9" w:themeColor="accent2"/>
          <w:left w:val="single" w:sz="8" w:space="0" w:color="009DD9" w:themeColor="accent2"/>
          <w:bottom w:val="single" w:sz="8" w:space="0" w:color="009DD9" w:themeColor="accent2"/>
          <w:right w:val="single" w:sz="8" w:space="0" w:color="009DD9" w:themeColor="accent2"/>
          <w:insideV w:val="single" w:sz="8" w:space="0" w:color="009DD9" w:themeColor="accent2"/>
        </w:tcBorders>
        <w:shd w:val="clear" w:color="auto" w:fill="B6EAFF" w:themeFill="accent2" w:themeFillTint="3F"/>
      </w:tcPr>
    </w:tblStylePr>
    <w:tblStylePr w:type="band2Horz">
      <w:tblPr/>
      <w:tcPr>
        <w:tcBorders>
          <w:top w:val="single" w:sz="8" w:space="0" w:color="009DD9" w:themeColor="accent2"/>
          <w:left w:val="single" w:sz="8" w:space="0" w:color="009DD9" w:themeColor="accent2"/>
          <w:bottom w:val="single" w:sz="8" w:space="0" w:color="009DD9" w:themeColor="accent2"/>
          <w:right w:val="single" w:sz="8" w:space="0" w:color="009DD9" w:themeColor="accent2"/>
          <w:insideV w:val="single" w:sz="8" w:space="0" w:color="009DD9"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insideH w:val="single" w:sz="8" w:space="0" w:color="0BD0D9" w:themeColor="accent3"/>
        <w:insideV w:val="single" w:sz="8" w:space="0" w:color="0BD0D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BD0D9" w:themeColor="accent3"/>
          <w:left w:val="single" w:sz="8" w:space="0" w:color="0BD0D9" w:themeColor="accent3"/>
          <w:bottom w:val="single" w:sz="18" w:space="0" w:color="0BD0D9" w:themeColor="accent3"/>
          <w:right w:val="single" w:sz="8" w:space="0" w:color="0BD0D9" w:themeColor="accent3"/>
          <w:insideH w:val="nil"/>
          <w:insideV w:val="single" w:sz="8" w:space="0" w:color="0BD0D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BD0D9" w:themeColor="accent3"/>
          <w:left w:val="single" w:sz="8" w:space="0" w:color="0BD0D9" w:themeColor="accent3"/>
          <w:bottom w:val="single" w:sz="8" w:space="0" w:color="0BD0D9" w:themeColor="accent3"/>
          <w:right w:val="single" w:sz="8" w:space="0" w:color="0BD0D9" w:themeColor="accent3"/>
          <w:insideH w:val="nil"/>
          <w:insideV w:val="single" w:sz="8" w:space="0" w:color="0BD0D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tcPr>
    </w:tblStylePr>
    <w:tblStylePr w:type="band1Vert">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shd w:val="clear" w:color="auto" w:fill="BCF8FB" w:themeFill="accent3" w:themeFillTint="3F"/>
      </w:tcPr>
    </w:tblStylePr>
    <w:tblStylePr w:type="band1Horz">
      <w:tblPr/>
      <w:tcPr>
        <w:tcBorders>
          <w:top w:val="single" w:sz="8" w:space="0" w:color="0BD0D9" w:themeColor="accent3"/>
          <w:left w:val="single" w:sz="8" w:space="0" w:color="0BD0D9" w:themeColor="accent3"/>
          <w:bottom w:val="single" w:sz="8" w:space="0" w:color="0BD0D9" w:themeColor="accent3"/>
          <w:right w:val="single" w:sz="8" w:space="0" w:color="0BD0D9" w:themeColor="accent3"/>
          <w:insideV w:val="single" w:sz="8" w:space="0" w:color="0BD0D9" w:themeColor="accent3"/>
        </w:tcBorders>
        <w:shd w:val="clear" w:color="auto" w:fill="BCF8FB" w:themeFill="accent3" w:themeFillTint="3F"/>
      </w:tcPr>
    </w:tblStylePr>
    <w:tblStylePr w:type="band2Horz">
      <w:tblPr/>
      <w:tcPr>
        <w:tcBorders>
          <w:top w:val="single" w:sz="8" w:space="0" w:color="0BD0D9" w:themeColor="accent3"/>
          <w:left w:val="single" w:sz="8" w:space="0" w:color="0BD0D9" w:themeColor="accent3"/>
          <w:bottom w:val="single" w:sz="8" w:space="0" w:color="0BD0D9" w:themeColor="accent3"/>
          <w:right w:val="single" w:sz="8" w:space="0" w:color="0BD0D9" w:themeColor="accent3"/>
          <w:insideV w:val="single" w:sz="8" w:space="0" w:color="0BD0D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insideH w:val="single" w:sz="8" w:space="0" w:color="10CF9B" w:themeColor="accent4"/>
        <w:insideV w:val="single" w:sz="8" w:space="0" w:color="10CF9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0CF9B" w:themeColor="accent4"/>
          <w:left w:val="single" w:sz="8" w:space="0" w:color="10CF9B" w:themeColor="accent4"/>
          <w:bottom w:val="single" w:sz="18" w:space="0" w:color="10CF9B" w:themeColor="accent4"/>
          <w:right w:val="single" w:sz="8" w:space="0" w:color="10CF9B" w:themeColor="accent4"/>
          <w:insideH w:val="nil"/>
          <w:insideV w:val="single" w:sz="8" w:space="0" w:color="10CF9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0CF9B" w:themeColor="accent4"/>
          <w:left w:val="single" w:sz="8" w:space="0" w:color="10CF9B" w:themeColor="accent4"/>
          <w:bottom w:val="single" w:sz="8" w:space="0" w:color="10CF9B" w:themeColor="accent4"/>
          <w:right w:val="single" w:sz="8" w:space="0" w:color="10CF9B" w:themeColor="accent4"/>
          <w:insideH w:val="nil"/>
          <w:insideV w:val="single" w:sz="8" w:space="0" w:color="10CF9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tblStylePr w:type="band1Vert">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shd w:val="clear" w:color="auto" w:fill="BDFAE9" w:themeFill="accent4" w:themeFillTint="3F"/>
      </w:tcPr>
    </w:tblStylePr>
    <w:tblStylePr w:type="band1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insideV w:val="single" w:sz="8" w:space="0" w:color="10CF9B" w:themeColor="accent4"/>
        </w:tcBorders>
        <w:shd w:val="clear" w:color="auto" w:fill="BDFAE9" w:themeFill="accent4" w:themeFillTint="3F"/>
      </w:tcPr>
    </w:tblStylePr>
    <w:tblStylePr w:type="band2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insideV w:val="single" w:sz="8" w:space="0" w:color="10CF9B"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insideH w:val="single" w:sz="8" w:space="0" w:color="7CCA62" w:themeColor="accent5"/>
        <w:insideV w:val="single" w:sz="8" w:space="0" w:color="7CCA6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CCA62" w:themeColor="accent5"/>
          <w:left w:val="single" w:sz="8" w:space="0" w:color="7CCA62" w:themeColor="accent5"/>
          <w:bottom w:val="single" w:sz="18" w:space="0" w:color="7CCA62" w:themeColor="accent5"/>
          <w:right w:val="single" w:sz="8" w:space="0" w:color="7CCA62" w:themeColor="accent5"/>
          <w:insideH w:val="nil"/>
          <w:insideV w:val="single" w:sz="8" w:space="0" w:color="7CCA6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CA62" w:themeColor="accent5"/>
          <w:left w:val="single" w:sz="8" w:space="0" w:color="7CCA62" w:themeColor="accent5"/>
          <w:bottom w:val="single" w:sz="8" w:space="0" w:color="7CCA62" w:themeColor="accent5"/>
          <w:right w:val="single" w:sz="8" w:space="0" w:color="7CCA62" w:themeColor="accent5"/>
          <w:insideH w:val="nil"/>
          <w:insideV w:val="single" w:sz="8" w:space="0" w:color="7CCA6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tblStylePr w:type="band1Vert">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shd w:val="clear" w:color="auto" w:fill="DEF2D8" w:themeFill="accent5" w:themeFillTint="3F"/>
      </w:tcPr>
    </w:tblStylePr>
    <w:tblStylePr w:type="band1Horz">
      <w:tblPr/>
      <w:tcPr>
        <w:tcBorders>
          <w:top w:val="single" w:sz="8" w:space="0" w:color="7CCA62" w:themeColor="accent5"/>
          <w:left w:val="single" w:sz="8" w:space="0" w:color="7CCA62" w:themeColor="accent5"/>
          <w:bottom w:val="single" w:sz="8" w:space="0" w:color="7CCA62" w:themeColor="accent5"/>
          <w:right w:val="single" w:sz="8" w:space="0" w:color="7CCA62" w:themeColor="accent5"/>
          <w:insideV w:val="single" w:sz="8" w:space="0" w:color="7CCA62" w:themeColor="accent5"/>
        </w:tcBorders>
        <w:shd w:val="clear" w:color="auto" w:fill="DEF2D8" w:themeFill="accent5" w:themeFillTint="3F"/>
      </w:tcPr>
    </w:tblStylePr>
    <w:tblStylePr w:type="band2Horz">
      <w:tblPr/>
      <w:tcPr>
        <w:tcBorders>
          <w:top w:val="single" w:sz="8" w:space="0" w:color="7CCA62" w:themeColor="accent5"/>
          <w:left w:val="single" w:sz="8" w:space="0" w:color="7CCA62" w:themeColor="accent5"/>
          <w:bottom w:val="single" w:sz="8" w:space="0" w:color="7CCA62" w:themeColor="accent5"/>
          <w:right w:val="single" w:sz="8" w:space="0" w:color="7CCA62" w:themeColor="accent5"/>
          <w:insideV w:val="single" w:sz="8" w:space="0" w:color="7CCA62"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insideH w:val="single" w:sz="8" w:space="0" w:color="A5C249" w:themeColor="accent6"/>
        <w:insideV w:val="single" w:sz="8" w:space="0" w:color="A5C24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C249" w:themeColor="accent6"/>
          <w:left w:val="single" w:sz="8" w:space="0" w:color="A5C249" w:themeColor="accent6"/>
          <w:bottom w:val="single" w:sz="18" w:space="0" w:color="A5C249" w:themeColor="accent6"/>
          <w:right w:val="single" w:sz="8" w:space="0" w:color="A5C249" w:themeColor="accent6"/>
          <w:insideH w:val="nil"/>
          <w:insideV w:val="single" w:sz="8" w:space="0" w:color="A5C24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C249" w:themeColor="accent6"/>
          <w:left w:val="single" w:sz="8" w:space="0" w:color="A5C249" w:themeColor="accent6"/>
          <w:bottom w:val="single" w:sz="8" w:space="0" w:color="A5C249" w:themeColor="accent6"/>
          <w:right w:val="single" w:sz="8" w:space="0" w:color="A5C249" w:themeColor="accent6"/>
          <w:insideH w:val="nil"/>
          <w:insideV w:val="single" w:sz="8" w:space="0" w:color="A5C24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tcPr>
    </w:tblStylePr>
    <w:tblStylePr w:type="band1Vert">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shd w:val="clear" w:color="auto" w:fill="E8F0D1" w:themeFill="accent6" w:themeFillTint="3F"/>
      </w:tcPr>
    </w:tblStylePr>
    <w:tblStylePr w:type="band1Horz">
      <w:tblPr/>
      <w:tcPr>
        <w:tcBorders>
          <w:top w:val="single" w:sz="8" w:space="0" w:color="A5C249" w:themeColor="accent6"/>
          <w:left w:val="single" w:sz="8" w:space="0" w:color="A5C249" w:themeColor="accent6"/>
          <w:bottom w:val="single" w:sz="8" w:space="0" w:color="A5C249" w:themeColor="accent6"/>
          <w:right w:val="single" w:sz="8" w:space="0" w:color="A5C249" w:themeColor="accent6"/>
          <w:insideV w:val="single" w:sz="8" w:space="0" w:color="A5C249" w:themeColor="accent6"/>
        </w:tcBorders>
        <w:shd w:val="clear" w:color="auto" w:fill="E8F0D1" w:themeFill="accent6" w:themeFillTint="3F"/>
      </w:tcPr>
    </w:tblStylePr>
    <w:tblStylePr w:type="band2Horz">
      <w:tblPr/>
      <w:tcPr>
        <w:tcBorders>
          <w:top w:val="single" w:sz="8" w:space="0" w:color="A5C249" w:themeColor="accent6"/>
          <w:left w:val="single" w:sz="8" w:space="0" w:color="A5C249" w:themeColor="accent6"/>
          <w:bottom w:val="single" w:sz="8" w:space="0" w:color="A5C249" w:themeColor="accent6"/>
          <w:right w:val="single" w:sz="8" w:space="0" w:color="A5C249" w:themeColor="accent6"/>
          <w:insideV w:val="single" w:sz="8" w:space="0" w:color="A5C249"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single" w:sz="8" w:space="0" w:color="3093EF" w:themeColor="accent1" w:themeTint="BF"/>
      </w:tblBorders>
    </w:tblPr>
    <w:tblStylePr w:type="firstRow">
      <w:pPr>
        <w:spacing w:before="0" w:after="0" w:line="240" w:lineRule="auto"/>
      </w:pPr>
      <w:rPr>
        <w:b/>
        <w:bCs/>
        <w:color w:val="FFFFFF" w:themeColor="background1"/>
      </w:rPr>
      <w:tblPr/>
      <w:tcPr>
        <w:tc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nil"/>
          <w:insideV w:val="nil"/>
        </w:tcBorders>
        <w:shd w:val="clear" w:color="auto" w:fill="0F6FC6" w:themeFill="accent1"/>
      </w:tcPr>
    </w:tblStylePr>
    <w:tblStylePr w:type="lastRow">
      <w:pPr>
        <w:spacing w:before="0" w:after="0" w:line="240" w:lineRule="auto"/>
      </w:pPr>
      <w:rPr>
        <w:b/>
        <w:bCs/>
      </w:rPr>
      <w:tblPr/>
      <w:tcPr>
        <w:tcBorders>
          <w:top w:val="double" w:sz="6"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BF9" w:themeFill="accent1" w:themeFillTint="3F"/>
      </w:tcPr>
    </w:tblStylePr>
    <w:tblStylePr w:type="band1Horz">
      <w:tblPr/>
      <w:tcPr>
        <w:tcBorders>
          <w:insideH w:val="nil"/>
          <w:insideV w:val="nil"/>
        </w:tcBorders>
        <w:shd w:val="clear" w:color="auto" w:fill="BADBF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single" w:sz="8" w:space="0" w:color="23C1FF" w:themeColor="accent2" w:themeTint="BF"/>
      </w:tblBorders>
    </w:tblPr>
    <w:tblStylePr w:type="firstRow">
      <w:pPr>
        <w:spacing w:before="0" w:after="0" w:line="240" w:lineRule="auto"/>
      </w:pPr>
      <w:rPr>
        <w:b/>
        <w:bCs/>
        <w:color w:val="FFFFFF" w:themeColor="background1"/>
      </w:rPr>
      <w:tblPr/>
      <w:tcPr>
        <w:tcBorders>
          <w:top w:val="single" w:sz="8"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nil"/>
          <w:insideV w:val="nil"/>
        </w:tcBorders>
        <w:shd w:val="clear" w:color="auto" w:fill="009DD9" w:themeFill="accent2"/>
      </w:tcPr>
    </w:tblStylePr>
    <w:tblStylePr w:type="lastRow">
      <w:pPr>
        <w:spacing w:before="0" w:after="0" w:line="240" w:lineRule="auto"/>
      </w:pPr>
      <w:rPr>
        <w:b/>
        <w:bCs/>
      </w:rPr>
      <w:tblPr/>
      <w:tcPr>
        <w:tcBorders>
          <w:top w:val="double" w:sz="6"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6EAFF" w:themeFill="accent2" w:themeFillTint="3F"/>
      </w:tcPr>
    </w:tblStylePr>
    <w:tblStylePr w:type="band1Horz">
      <w:tblPr/>
      <w:tcPr>
        <w:tcBorders>
          <w:insideH w:val="nil"/>
          <w:insideV w:val="nil"/>
        </w:tcBorders>
        <w:shd w:val="clear" w:color="auto" w:fill="B6EA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single" w:sz="8" w:space="0" w:color="35EBF4" w:themeColor="accent3" w:themeTint="BF"/>
      </w:tblBorders>
    </w:tblPr>
    <w:tblStylePr w:type="firstRow">
      <w:pPr>
        <w:spacing w:before="0" w:after="0" w:line="240" w:lineRule="auto"/>
      </w:pPr>
      <w:rPr>
        <w:b/>
        <w:bCs/>
        <w:color w:val="FFFFFF" w:themeColor="background1"/>
      </w:rPr>
      <w:tblPr/>
      <w:tcPr>
        <w:tcBorders>
          <w:top w:val="single" w:sz="8"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nil"/>
          <w:insideV w:val="nil"/>
        </w:tcBorders>
        <w:shd w:val="clear" w:color="auto" w:fill="0BD0D9" w:themeFill="accent3"/>
      </w:tcPr>
    </w:tblStylePr>
    <w:tblStylePr w:type="lastRow">
      <w:pPr>
        <w:spacing w:before="0" w:after="0" w:line="240" w:lineRule="auto"/>
      </w:pPr>
      <w:rPr>
        <w:b/>
        <w:bCs/>
      </w:rPr>
      <w:tblPr/>
      <w:tcPr>
        <w:tcBorders>
          <w:top w:val="double" w:sz="6"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nil"/>
          <w:insideV w:val="nil"/>
        </w:tcBorders>
      </w:tcPr>
    </w:tblStylePr>
    <w:tblStylePr w:type="firstCol">
      <w:rPr>
        <w:b/>
        <w:bCs/>
      </w:rPr>
    </w:tblStylePr>
    <w:tblStylePr w:type="lastCol">
      <w:rPr>
        <w:b/>
        <w:bCs/>
      </w:rPr>
    </w:tblStylePr>
    <w:tblStylePr w:type="band1Vert">
      <w:tblPr/>
      <w:tcPr>
        <w:shd w:val="clear" w:color="auto" w:fill="BCF8FB" w:themeFill="accent3" w:themeFillTint="3F"/>
      </w:tcPr>
    </w:tblStylePr>
    <w:tblStylePr w:type="band1Horz">
      <w:tblPr/>
      <w:tcPr>
        <w:tcBorders>
          <w:insideH w:val="nil"/>
          <w:insideV w:val="nil"/>
        </w:tcBorders>
        <w:shd w:val="clear" w:color="auto" w:fill="BCF8F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single" w:sz="8" w:space="0" w:color="37EFBD" w:themeColor="accent4" w:themeTint="BF"/>
      </w:tblBorders>
    </w:tblPr>
    <w:tblStylePr w:type="firstRow">
      <w:pPr>
        <w:spacing w:before="0" w:after="0" w:line="240" w:lineRule="auto"/>
      </w:pPr>
      <w:rPr>
        <w:b/>
        <w:bCs/>
        <w:color w:val="FFFFFF" w:themeColor="background1"/>
      </w:rPr>
      <w:tblPr/>
      <w:tcPr>
        <w:tc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nil"/>
          <w:insideV w:val="nil"/>
        </w:tcBorders>
        <w:shd w:val="clear" w:color="auto" w:fill="10CF9B" w:themeFill="accent4"/>
      </w:tcPr>
    </w:tblStylePr>
    <w:tblStylePr w:type="lastRow">
      <w:pPr>
        <w:spacing w:before="0" w:after="0" w:line="240" w:lineRule="auto"/>
      </w:pPr>
      <w:rPr>
        <w:b/>
        <w:bCs/>
      </w:rPr>
      <w:tblPr/>
      <w:tcPr>
        <w:tcBorders>
          <w:top w:val="double" w:sz="6"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FAE9" w:themeFill="accent4" w:themeFillTint="3F"/>
      </w:tcPr>
    </w:tblStylePr>
    <w:tblStylePr w:type="band1Horz">
      <w:tblPr/>
      <w:tcPr>
        <w:tcBorders>
          <w:insideH w:val="nil"/>
          <w:insideV w:val="nil"/>
        </w:tcBorders>
        <w:shd w:val="clear" w:color="auto" w:fill="BDFA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single" w:sz="8" w:space="0" w:color="9CD789" w:themeColor="accent5" w:themeTint="BF"/>
      </w:tblBorders>
    </w:tblPr>
    <w:tblStylePr w:type="firstRow">
      <w:pPr>
        <w:spacing w:before="0" w:after="0" w:line="240" w:lineRule="auto"/>
      </w:pPr>
      <w:rPr>
        <w:b/>
        <w:bCs/>
        <w:color w:val="FFFFFF" w:themeColor="background1"/>
      </w:rPr>
      <w:tblPr/>
      <w:tcPr>
        <w:tcBorders>
          <w:top w:val="single" w:sz="8"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nil"/>
          <w:insideV w:val="nil"/>
        </w:tcBorders>
        <w:shd w:val="clear" w:color="auto" w:fill="7CCA62" w:themeFill="accent5"/>
      </w:tcPr>
    </w:tblStylePr>
    <w:tblStylePr w:type="lastRow">
      <w:pPr>
        <w:spacing w:before="0" w:after="0" w:line="240" w:lineRule="auto"/>
      </w:pPr>
      <w:rPr>
        <w:b/>
        <w:bCs/>
      </w:rPr>
      <w:tblPr/>
      <w:tcPr>
        <w:tcBorders>
          <w:top w:val="double" w:sz="6"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F2D8" w:themeFill="accent5" w:themeFillTint="3F"/>
      </w:tcPr>
    </w:tblStylePr>
    <w:tblStylePr w:type="band1Horz">
      <w:tblPr/>
      <w:tcPr>
        <w:tcBorders>
          <w:insideH w:val="nil"/>
          <w:insideV w:val="nil"/>
        </w:tcBorders>
        <w:shd w:val="clear" w:color="auto" w:fill="DEF2D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single" w:sz="8" w:space="0" w:color="BBD176" w:themeColor="accent6" w:themeTint="BF"/>
      </w:tblBorders>
    </w:tblPr>
    <w:tblStylePr w:type="firstRow">
      <w:pPr>
        <w:spacing w:before="0" w:after="0" w:line="240" w:lineRule="auto"/>
      </w:pPr>
      <w:rPr>
        <w:b/>
        <w:bCs/>
        <w:color w:val="FFFFFF" w:themeColor="background1"/>
      </w:rPr>
      <w:tblPr/>
      <w:tcPr>
        <w:tcBorders>
          <w:top w:val="single" w:sz="8"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nil"/>
          <w:insideV w:val="nil"/>
        </w:tcBorders>
        <w:shd w:val="clear" w:color="auto" w:fill="A5C249" w:themeFill="accent6"/>
      </w:tcPr>
    </w:tblStylePr>
    <w:tblStylePr w:type="lastRow">
      <w:pPr>
        <w:spacing w:before="0" w:after="0" w:line="240" w:lineRule="auto"/>
      </w:pPr>
      <w:rPr>
        <w:b/>
        <w:bCs/>
      </w:rPr>
      <w:tblPr/>
      <w:tcPr>
        <w:tcBorders>
          <w:top w:val="double" w:sz="6"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nil"/>
          <w:insideV w:val="nil"/>
        </w:tcBorders>
      </w:tcPr>
    </w:tblStylePr>
    <w:tblStylePr w:type="firstCol">
      <w:rPr>
        <w:b/>
        <w:bCs/>
      </w:rPr>
    </w:tblStylePr>
    <w:tblStylePr w:type="lastCol">
      <w:rPr>
        <w:b/>
        <w:bCs/>
      </w:rPr>
    </w:tblStylePr>
    <w:tblStylePr w:type="band1Vert">
      <w:tblPr/>
      <w:tcPr>
        <w:shd w:val="clear" w:color="auto" w:fill="E8F0D1" w:themeFill="accent6" w:themeFillTint="3F"/>
      </w:tcPr>
    </w:tblStylePr>
    <w:tblStylePr w:type="band1Horz">
      <w:tblPr/>
      <w:tcPr>
        <w:tcBorders>
          <w:insideH w:val="nil"/>
          <w:insideV w:val="nil"/>
        </w:tcBorders>
        <w:shd w:val="clear" w:color="auto" w:fill="E8F0D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6FC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6FC6" w:themeFill="accent1"/>
      </w:tcPr>
    </w:tblStylePr>
    <w:tblStylePr w:type="lastCol">
      <w:rPr>
        <w:b/>
        <w:bCs/>
        <w:color w:val="FFFFFF" w:themeColor="background1"/>
      </w:rPr>
      <w:tblPr/>
      <w:tcPr>
        <w:tcBorders>
          <w:left w:val="nil"/>
          <w:right w:val="nil"/>
          <w:insideH w:val="nil"/>
          <w:insideV w:val="nil"/>
        </w:tcBorders>
        <w:shd w:val="clear" w:color="auto" w:fill="0F6FC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DD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DD9" w:themeFill="accent2"/>
      </w:tcPr>
    </w:tblStylePr>
    <w:tblStylePr w:type="lastCol">
      <w:rPr>
        <w:b/>
        <w:bCs/>
        <w:color w:val="FFFFFF" w:themeColor="background1"/>
      </w:rPr>
      <w:tblPr/>
      <w:tcPr>
        <w:tcBorders>
          <w:left w:val="nil"/>
          <w:right w:val="nil"/>
          <w:insideH w:val="nil"/>
          <w:insideV w:val="nil"/>
        </w:tcBorders>
        <w:shd w:val="clear" w:color="auto" w:fill="009DD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BD0D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BD0D9" w:themeFill="accent3"/>
      </w:tcPr>
    </w:tblStylePr>
    <w:tblStylePr w:type="lastCol">
      <w:rPr>
        <w:b/>
        <w:bCs/>
        <w:color w:val="FFFFFF" w:themeColor="background1"/>
      </w:rPr>
      <w:tblPr/>
      <w:tcPr>
        <w:tcBorders>
          <w:left w:val="nil"/>
          <w:right w:val="nil"/>
          <w:insideH w:val="nil"/>
          <w:insideV w:val="nil"/>
        </w:tcBorders>
        <w:shd w:val="clear" w:color="auto" w:fill="0BD0D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0CF9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0CF9B" w:themeFill="accent4"/>
      </w:tcPr>
    </w:tblStylePr>
    <w:tblStylePr w:type="lastCol">
      <w:rPr>
        <w:b/>
        <w:bCs/>
        <w:color w:val="FFFFFF" w:themeColor="background1"/>
      </w:rPr>
      <w:tblPr/>
      <w:tcPr>
        <w:tcBorders>
          <w:left w:val="nil"/>
          <w:right w:val="nil"/>
          <w:insideH w:val="nil"/>
          <w:insideV w:val="nil"/>
        </w:tcBorders>
        <w:shd w:val="clear" w:color="auto" w:fill="10CF9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CCA6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CCA62" w:themeFill="accent5"/>
      </w:tcPr>
    </w:tblStylePr>
    <w:tblStylePr w:type="lastCol">
      <w:rPr>
        <w:b/>
        <w:bCs/>
        <w:color w:val="FFFFFF" w:themeColor="background1"/>
      </w:rPr>
      <w:tblPr/>
      <w:tcPr>
        <w:tcBorders>
          <w:left w:val="nil"/>
          <w:right w:val="nil"/>
          <w:insideH w:val="nil"/>
          <w:insideV w:val="nil"/>
        </w:tcBorders>
        <w:shd w:val="clear" w:color="auto" w:fill="7CCA6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C24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C249" w:themeFill="accent6"/>
      </w:tcPr>
    </w:tblStylePr>
    <w:tblStylePr w:type="lastCol">
      <w:rPr>
        <w:b/>
        <w:bCs/>
        <w:color w:val="FFFFFF" w:themeColor="background1"/>
      </w:rPr>
      <w:tblPr/>
      <w:tcPr>
        <w:tcBorders>
          <w:left w:val="nil"/>
          <w:right w:val="nil"/>
          <w:insideH w:val="nil"/>
          <w:insideV w:val="nil"/>
        </w:tcBorders>
        <w:shd w:val="clear" w:color="auto" w:fill="A5C24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7406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0F6FC6" w:themeColor="accent1"/>
        <w:bottom w:val="single" w:sz="8" w:space="0" w:color="0F6FC6" w:themeColor="accent1"/>
      </w:tblBorders>
    </w:tblPr>
    <w:tblStylePr w:type="firstRow">
      <w:rPr>
        <w:rFonts w:asciiTheme="majorHAnsi" w:eastAsiaTheme="majorEastAsia" w:hAnsiTheme="majorHAnsi" w:cstheme="majorBidi"/>
      </w:rPr>
      <w:tblPr/>
      <w:tcPr>
        <w:tcBorders>
          <w:top w:val="nil"/>
          <w:bottom w:val="single" w:sz="8" w:space="0" w:color="0F6FC6" w:themeColor="accent1"/>
        </w:tcBorders>
      </w:tcPr>
    </w:tblStylePr>
    <w:tblStylePr w:type="lastRow">
      <w:rPr>
        <w:b/>
        <w:bCs/>
        <w:color w:val="17406D" w:themeColor="text2"/>
      </w:rPr>
      <w:tblPr/>
      <w:tcPr>
        <w:tcBorders>
          <w:top w:val="single" w:sz="8" w:space="0" w:color="0F6FC6" w:themeColor="accent1"/>
          <w:bottom w:val="single" w:sz="8" w:space="0" w:color="0F6FC6" w:themeColor="accent1"/>
        </w:tcBorders>
      </w:tcPr>
    </w:tblStylePr>
    <w:tblStylePr w:type="firstCol">
      <w:rPr>
        <w:b/>
        <w:bCs/>
      </w:rPr>
    </w:tblStylePr>
    <w:tblStylePr w:type="lastCol">
      <w:rPr>
        <w:b/>
        <w:bCs/>
      </w:rPr>
      <w:tblPr/>
      <w:tcPr>
        <w:tcBorders>
          <w:top w:val="single" w:sz="8" w:space="0" w:color="0F6FC6" w:themeColor="accent1"/>
          <w:bottom w:val="single" w:sz="8" w:space="0" w:color="0F6FC6" w:themeColor="accent1"/>
        </w:tcBorders>
      </w:tcPr>
    </w:tblStylePr>
    <w:tblStylePr w:type="band1Vert">
      <w:tblPr/>
      <w:tcPr>
        <w:shd w:val="clear" w:color="auto" w:fill="BADBF9" w:themeFill="accent1" w:themeFillTint="3F"/>
      </w:tcPr>
    </w:tblStylePr>
    <w:tblStylePr w:type="band1Horz">
      <w:tblPr/>
      <w:tcPr>
        <w:shd w:val="clear" w:color="auto" w:fill="BADBF9"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009DD9" w:themeColor="accent2"/>
        <w:bottom w:val="single" w:sz="8" w:space="0" w:color="009DD9" w:themeColor="accent2"/>
      </w:tblBorders>
    </w:tblPr>
    <w:tblStylePr w:type="firstRow">
      <w:rPr>
        <w:rFonts w:asciiTheme="majorHAnsi" w:eastAsiaTheme="majorEastAsia" w:hAnsiTheme="majorHAnsi" w:cstheme="majorBidi"/>
      </w:rPr>
      <w:tblPr/>
      <w:tcPr>
        <w:tcBorders>
          <w:top w:val="nil"/>
          <w:bottom w:val="single" w:sz="8" w:space="0" w:color="009DD9" w:themeColor="accent2"/>
        </w:tcBorders>
      </w:tcPr>
    </w:tblStylePr>
    <w:tblStylePr w:type="lastRow">
      <w:rPr>
        <w:b/>
        <w:bCs/>
        <w:color w:val="17406D" w:themeColor="text2"/>
      </w:rPr>
      <w:tblPr/>
      <w:tcPr>
        <w:tcBorders>
          <w:top w:val="single" w:sz="8" w:space="0" w:color="009DD9" w:themeColor="accent2"/>
          <w:bottom w:val="single" w:sz="8" w:space="0" w:color="009DD9" w:themeColor="accent2"/>
        </w:tcBorders>
      </w:tcPr>
    </w:tblStylePr>
    <w:tblStylePr w:type="firstCol">
      <w:rPr>
        <w:b/>
        <w:bCs/>
      </w:rPr>
    </w:tblStylePr>
    <w:tblStylePr w:type="lastCol">
      <w:rPr>
        <w:b/>
        <w:bCs/>
      </w:rPr>
      <w:tblPr/>
      <w:tcPr>
        <w:tcBorders>
          <w:top w:val="single" w:sz="8" w:space="0" w:color="009DD9" w:themeColor="accent2"/>
          <w:bottom w:val="single" w:sz="8" w:space="0" w:color="009DD9" w:themeColor="accent2"/>
        </w:tcBorders>
      </w:tcPr>
    </w:tblStylePr>
    <w:tblStylePr w:type="band1Vert">
      <w:tblPr/>
      <w:tcPr>
        <w:shd w:val="clear" w:color="auto" w:fill="B6EAFF" w:themeFill="accent2" w:themeFillTint="3F"/>
      </w:tcPr>
    </w:tblStylePr>
    <w:tblStylePr w:type="band1Horz">
      <w:tblPr/>
      <w:tcPr>
        <w:shd w:val="clear" w:color="auto" w:fill="B6EAFF"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0BD0D9" w:themeColor="accent3"/>
        <w:bottom w:val="single" w:sz="8" w:space="0" w:color="0BD0D9" w:themeColor="accent3"/>
      </w:tblBorders>
    </w:tblPr>
    <w:tblStylePr w:type="firstRow">
      <w:rPr>
        <w:rFonts w:asciiTheme="majorHAnsi" w:eastAsiaTheme="majorEastAsia" w:hAnsiTheme="majorHAnsi" w:cstheme="majorBidi"/>
      </w:rPr>
      <w:tblPr/>
      <w:tcPr>
        <w:tcBorders>
          <w:top w:val="nil"/>
          <w:bottom w:val="single" w:sz="8" w:space="0" w:color="0BD0D9" w:themeColor="accent3"/>
        </w:tcBorders>
      </w:tcPr>
    </w:tblStylePr>
    <w:tblStylePr w:type="lastRow">
      <w:rPr>
        <w:b/>
        <w:bCs/>
        <w:color w:val="17406D" w:themeColor="text2"/>
      </w:rPr>
      <w:tblPr/>
      <w:tcPr>
        <w:tcBorders>
          <w:top w:val="single" w:sz="8" w:space="0" w:color="0BD0D9" w:themeColor="accent3"/>
          <w:bottom w:val="single" w:sz="8" w:space="0" w:color="0BD0D9" w:themeColor="accent3"/>
        </w:tcBorders>
      </w:tcPr>
    </w:tblStylePr>
    <w:tblStylePr w:type="firstCol">
      <w:rPr>
        <w:b/>
        <w:bCs/>
      </w:rPr>
    </w:tblStylePr>
    <w:tblStylePr w:type="lastCol">
      <w:rPr>
        <w:b/>
        <w:bCs/>
      </w:rPr>
      <w:tblPr/>
      <w:tcPr>
        <w:tcBorders>
          <w:top w:val="single" w:sz="8" w:space="0" w:color="0BD0D9" w:themeColor="accent3"/>
          <w:bottom w:val="single" w:sz="8" w:space="0" w:color="0BD0D9" w:themeColor="accent3"/>
        </w:tcBorders>
      </w:tcPr>
    </w:tblStylePr>
    <w:tblStylePr w:type="band1Vert">
      <w:tblPr/>
      <w:tcPr>
        <w:shd w:val="clear" w:color="auto" w:fill="BCF8FB" w:themeFill="accent3" w:themeFillTint="3F"/>
      </w:tcPr>
    </w:tblStylePr>
    <w:tblStylePr w:type="band1Horz">
      <w:tblPr/>
      <w:tcPr>
        <w:shd w:val="clear" w:color="auto" w:fill="BCF8FB"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10CF9B" w:themeColor="accent4"/>
        <w:bottom w:val="single" w:sz="8" w:space="0" w:color="10CF9B" w:themeColor="accent4"/>
      </w:tblBorders>
    </w:tblPr>
    <w:tblStylePr w:type="firstRow">
      <w:rPr>
        <w:rFonts w:asciiTheme="majorHAnsi" w:eastAsiaTheme="majorEastAsia" w:hAnsiTheme="majorHAnsi" w:cstheme="majorBidi"/>
      </w:rPr>
      <w:tblPr/>
      <w:tcPr>
        <w:tcBorders>
          <w:top w:val="nil"/>
          <w:bottom w:val="single" w:sz="8" w:space="0" w:color="10CF9B" w:themeColor="accent4"/>
        </w:tcBorders>
      </w:tcPr>
    </w:tblStylePr>
    <w:tblStylePr w:type="lastRow">
      <w:rPr>
        <w:b/>
        <w:bCs/>
        <w:color w:val="17406D" w:themeColor="text2"/>
      </w:rPr>
      <w:tblPr/>
      <w:tcPr>
        <w:tcBorders>
          <w:top w:val="single" w:sz="8" w:space="0" w:color="10CF9B" w:themeColor="accent4"/>
          <w:bottom w:val="single" w:sz="8" w:space="0" w:color="10CF9B" w:themeColor="accent4"/>
        </w:tcBorders>
      </w:tcPr>
    </w:tblStylePr>
    <w:tblStylePr w:type="firstCol">
      <w:rPr>
        <w:b/>
        <w:bCs/>
      </w:rPr>
    </w:tblStylePr>
    <w:tblStylePr w:type="lastCol">
      <w:rPr>
        <w:b/>
        <w:bCs/>
      </w:rPr>
      <w:tblPr/>
      <w:tcPr>
        <w:tcBorders>
          <w:top w:val="single" w:sz="8" w:space="0" w:color="10CF9B" w:themeColor="accent4"/>
          <w:bottom w:val="single" w:sz="8" w:space="0" w:color="10CF9B" w:themeColor="accent4"/>
        </w:tcBorders>
      </w:tcPr>
    </w:tblStylePr>
    <w:tblStylePr w:type="band1Vert">
      <w:tblPr/>
      <w:tcPr>
        <w:shd w:val="clear" w:color="auto" w:fill="BDFAE9" w:themeFill="accent4" w:themeFillTint="3F"/>
      </w:tcPr>
    </w:tblStylePr>
    <w:tblStylePr w:type="band1Horz">
      <w:tblPr/>
      <w:tcPr>
        <w:shd w:val="clear" w:color="auto" w:fill="BDFAE9"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7CCA62" w:themeColor="accent5"/>
        <w:bottom w:val="single" w:sz="8" w:space="0" w:color="7CCA62" w:themeColor="accent5"/>
      </w:tblBorders>
    </w:tblPr>
    <w:tblStylePr w:type="firstRow">
      <w:rPr>
        <w:rFonts w:asciiTheme="majorHAnsi" w:eastAsiaTheme="majorEastAsia" w:hAnsiTheme="majorHAnsi" w:cstheme="majorBidi"/>
      </w:rPr>
      <w:tblPr/>
      <w:tcPr>
        <w:tcBorders>
          <w:top w:val="nil"/>
          <w:bottom w:val="single" w:sz="8" w:space="0" w:color="7CCA62" w:themeColor="accent5"/>
        </w:tcBorders>
      </w:tcPr>
    </w:tblStylePr>
    <w:tblStylePr w:type="lastRow">
      <w:rPr>
        <w:b/>
        <w:bCs/>
        <w:color w:val="17406D" w:themeColor="text2"/>
      </w:rPr>
      <w:tblPr/>
      <w:tcPr>
        <w:tcBorders>
          <w:top w:val="single" w:sz="8" w:space="0" w:color="7CCA62" w:themeColor="accent5"/>
          <w:bottom w:val="single" w:sz="8" w:space="0" w:color="7CCA62" w:themeColor="accent5"/>
        </w:tcBorders>
      </w:tcPr>
    </w:tblStylePr>
    <w:tblStylePr w:type="firstCol">
      <w:rPr>
        <w:b/>
        <w:bCs/>
      </w:rPr>
    </w:tblStylePr>
    <w:tblStylePr w:type="lastCol">
      <w:rPr>
        <w:b/>
        <w:bCs/>
      </w:rPr>
      <w:tblPr/>
      <w:tcPr>
        <w:tcBorders>
          <w:top w:val="single" w:sz="8" w:space="0" w:color="7CCA62" w:themeColor="accent5"/>
          <w:bottom w:val="single" w:sz="8" w:space="0" w:color="7CCA62" w:themeColor="accent5"/>
        </w:tcBorders>
      </w:tcPr>
    </w:tblStylePr>
    <w:tblStylePr w:type="band1Vert">
      <w:tblPr/>
      <w:tcPr>
        <w:shd w:val="clear" w:color="auto" w:fill="DEF2D8" w:themeFill="accent5" w:themeFillTint="3F"/>
      </w:tcPr>
    </w:tblStylePr>
    <w:tblStylePr w:type="band1Horz">
      <w:tblPr/>
      <w:tcPr>
        <w:shd w:val="clear" w:color="auto" w:fill="DEF2D8"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A5C249" w:themeColor="accent6"/>
        <w:bottom w:val="single" w:sz="8" w:space="0" w:color="A5C249" w:themeColor="accent6"/>
      </w:tblBorders>
    </w:tblPr>
    <w:tblStylePr w:type="firstRow">
      <w:rPr>
        <w:rFonts w:asciiTheme="majorHAnsi" w:eastAsiaTheme="majorEastAsia" w:hAnsiTheme="majorHAnsi" w:cstheme="majorBidi"/>
      </w:rPr>
      <w:tblPr/>
      <w:tcPr>
        <w:tcBorders>
          <w:top w:val="nil"/>
          <w:bottom w:val="single" w:sz="8" w:space="0" w:color="A5C249" w:themeColor="accent6"/>
        </w:tcBorders>
      </w:tcPr>
    </w:tblStylePr>
    <w:tblStylePr w:type="lastRow">
      <w:rPr>
        <w:b/>
        <w:bCs/>
        <w:color w:val="17406D" w:themeColor="text2"/>
      </w:rPr>
      <w:tblPr/>
      <w:tcPr>
        <w:tcBorders>
          <w:top w:val="single" w:sz="8" w:space="0" w:color="A5C249" w:themeColor="accent6"/>
          <w:bottom w:val="single" w:sz="8" w:space="0" w:color="A5C249" w:themeColor="accent6"/>
        </w:tcBorders>
      </w:tcPr>
    </w:tblStylePr>
    <w:tblStylePr w:type="firstCol">
      <w:rPr>
        <w:b/>
        <w:bCs/>
      </w:rPr>
    </w:tblStylePr>
    <w:tblStylePr w:type="lastCol">
      <w:rPr>
        <w:b/>
        <w:bCs/>
      </w:rPr>
      <w:tblPr/>
      <w:tcPr>
        <w:tcBorders>
          <w:top w:val="single" w:sz="8" w:space="0" w:color="A5C249" w:themeColor="accent6"/>
          <w:bottom w:val="single" w:sz="8" w:space="0" w:color="A5C249" w:themeColor="accent6"/>
        </w:tcBorders>
      </w:tcPr>
    </w:tblStylePr>
    <w:tblStylePr w:type="band1Vert">
      <w:tblPr/>
      <w:tcPr>
        <w:shd w:val="clear" w:color="auto" w:fill="E8F0D1" w:themeFill="accent6" w:themeFillTint="3F"/>
      </w:tcPr>
    </w:tblStylePr>
    <w:tblStylePr w:type="band1Horz">
      <w:tblPr/>
      <w:tcPr>
        <w:shd w:val="clear" w:color="auto" w:fill="E8F0D1" w:themeFill="accent6" w:themeFillTint="3F"/>
      </w:tcPr>
    </w:tblStylePr>
  </w:style>
  <w:style w:type="table" w:styleId="MediumList2">
    <w:name w:val="Medium List 2"/>
    <w:basedOn w:val="TableNormal"/>
    <w:uiPriority w:val="66"/>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color w:val="000000" w:themeColor="text1"/>
    </w:r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tblBorders>
    </w:tblPr>
    <w:tblStylePr w:type="firstRow">
      <w:rPr>
        <w:sz w:val="24"/>
        <w:szCs w:val="24"/>
      </w:rPr>
      <w:tblPr/>
      <w:tcPr>
        <w:tcBorders>
          <w:top w:val="nil"/>
          <w:left w:val="nil"/>
          <w:bottom w:val="single" w:sz="24" w:space="0" w:color="0F6FC6" w:themeColor="accent1"/>
          <w:right w:val="nil"/>
          <w:insideH w:val="nil"/>
          <w:insideV w:val="nil"/>
        </w:tcBorders>
        <w:shd w:val="clear" w:color="auto" w:fill="FFFFFF" w:themeFill="background1"/>
      </w:tcPr>
    </w:tblStylePr>
    <w:tblStylePr w:type="lastRow">
      <w:tblPr/>
      <w:tcPr>
        <w:tcBorders>
          <w:top w:val="single" w:sz="8" w:space="0" w:color="0F6FC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6FC6" w:themeColor="accent1"/>
          <w:insideH w:val="nil"/>
          <w:insideV w:val="nil"/>
        </w:tcBorders>
        <w:shd w:val="clear" w:color="auto" w:fill="FFFFFF" w:themeFill="background1"/>
      </w:tcPr>
    </w:tblStylePr>
    <w:tblStylePr w:type="lastCol">
      <w:tblPr/>
      <w:tcPr>
        <w:tcBorders>
          <w:top w:val="nil"/>
          <w:left w:val="single" w:sz="8" w:space="0" w:color="0F6FC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top w:val="nil"/>
          <w:bottom w:val="nil"/>
          <w:insideH w:val="nil"/>
          <w:insideV w:val="nil"/>
        </w:tcBorders>
        <w:shd w:val="clear" w:color="auto" w:fill="BADBF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color w:val="000000" w:themeColor="text1"/>
    </w:rPr>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tblBorders>
    </w:tblPr>
    <w:tblStylePr w:type="firstRow">
      <w:rPr>
        <w:sz w:val="24"/>
        <w:szCs w:val="24"/>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tblPr/>
      <w:tcPr>
        <w:tcBorders>
          <w:top w:val="single" w:sz="8" w:space="0" w:color="009DD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DD9" w:themeColor="accent2"/>
          <w:insideH w:val="nil"/>
          <w:insideV w:val="nil"/>
        </w:tcBorders>
        <w:shd w:val="clear" w:color="auto" w:fill="FFFFFF" w:themeFill="background1"/>
      </w:tcPr>
    </w:tblStylePr>
    <w:tblStylePr w:type="lastCol">
      <w:tblPr/>
      <w:tcPr>
        <w:tcBorders>
          <w:top w:val="nil"/>
          <w:left w:val="single" w:sz="8" w:space="0" w:color="009DD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EAFF" w:themeFill="accent2" w:themeFillTint="3F"/>
      </w:tcPr>
    </w:tblStylePr>
    <w:tblStylePr w:type="band1Horz">
      <w:tblPr/>
      <w:tcPr>
        <w:tcBorders>
          <w:top w:val="nil"/>
          <w:bottom w:val="nil"/>
          <w:insideH w:val="nil"/>
          <w:insideV w:val="nil"/>
        </w:tcBorders>
        <w:shd w:val="clear" w:color="auto" w:fill="B6EA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color w:val="000000" w:themeColor="text1"/>
    </w:rPr>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tblBorders>
    </w:tblPr>
    <w:tblStylePr w:type="firstRow">
      <w:rPr>
        <w:sz w:val="24"/>
        <w:szCs w:val="24"/>
      </w:rPr>
      <w:tblPr/>
      <w:tcPr>
        <w:tcBorders>
          <w:top w:val="nil"/>
          <w:left w:val="nil"/>
          <w:bottom w:val="single" w:sz="24" w:space="0" w:color="0BD0D9" w:themeColor="accent3"/>
          <w:right w:val="nil"/>
          <w:insideH w:val="nil"/>
          <w:insideV w:val="nil"/>
        </w:tcBorders>
        <w:shd w:val="clear" w:color="auto" w:fill="FFFFFF" w:themeFill="background1"/>
      </w:tcPr>
    </w:tblStylePr>
    <w:tblStylePr w:type="lastRow">
      <w:tblPr/>
      <w:tcPr>
        <w:tcBorders>
          <w:top w:val="single" w:sz="8" w:space="0" w:color="0BD0D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BD0D9" w:themeColor="accent3"/>
          <w:insideH w:val="nil"/>
          <w:insideV w:val="nil"/>
        </w:tcBorders>
        <w:shd w:val="clear" w:color="auto" w:fill="FFFFFF" w:themeFill="background1"/>
      </w:tcPr>
    </w:tblStylePr>
    <w:tblStylePr w:type="lastCol">
      <w:tblPr/>
      <w:tcPr>
        <w:tcBorders>
          <w:top w:val="nil"/>
          <w:left w:val="single" w:sz="8" w:space="0" w:color="0BD0D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8FB" w:themeFill="accent3" w:themeFillTint="3F"/>
      </w:tcPr>
    </w:tblStylePr>
    <w:tblStylePr w:type="band1Horz">
      <w:tblPr/>
      <w:tcPr>
        <w:tcBorders>
          <w:top w:val="nil"/>
          <w:bottom w:val="nil"/>
          <w:insideH w:val="nil"/>
          <w:insideV w:val="nil"/>
        </w:tcBorders>
        <w:shd w:val="clear" w:color="auto" w:fill="BCF8F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color w:val="000000" w:themeColor="text1"/>
    </w:r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tblBorders>
    </w:tblPr>
    <w:tblStylePr w:type="firstRow">
      <w:rPr>
        <w:sz w:val="24"/>
        <w:szCs w:val="24"/>
      </w:rPr>
      <w:tblPr/>
      <w:tcPr>
        <w:tcBorders>
          <w:top w:val="nil"/>
          <w:left w:val="nil"/>
          <w:bottom w:val="single" w:sz="24" w:space="0" w:color="10CF9B" w:themeColor="accent4"/>
          <w:right w:val="nil"/>
          <w:insideH w:val="nil"/>
          <w:insideV w:val="nil"/>
        </w:tcBorders>
        <w:shd w:val="clear" w:color="auto" w:fill="FFFFFF" w:themeFill="background1"/>
      </w:tcPr>
    </w:tblStylePr>
    <w:tblStylePr w:type="lastRow">
      <w:tblPr/>
      <w:tcPr>
        <w:tcBorders>
          <w:top w:val="single" w:sz="8" w:space="0" w:color="10CF9B"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0CF9B" w:themeColor="accent4"/>
          <w:insideH w:val="nil"/>
          <w:insideV w:val="nil"/>
        </w:tcBorders>
        <w:shd w:val="clear" w:color="auto" w:fill="FFFFFF" w:themeFill="background1"/>
      </w:tcPr>
    </w:tblStylePr>
    <w:tblStylePr w:type="lastCol">
      <w:tblPr/>
      <w:tcPr>
        <w:tcBorders>
          <w:top w:val="nil"/>
          <w:left w:val="single" w:sz="8" w:space="0" w:color="10CF9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FAE9" w:themeFill="accent4" w:themeFillTint="3F"/>
      </w:tcPr>
    </w:tblStylePr>
    <w:tblStylePr w:type="band1Horz">
      <w:tblPr/>
      <w:tcPr>
        <w:tcBorders>
          <w:top w:val="nil"/>
          <w:bottom w:val="nil"/>
          <w:insideH w:val="nil"/>
          <w:insideV w:val="nil"/>
        </w:tcBorders>
        <w:shd w:val="clear" w:color="auto" w:fill="BDFA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color w:val="000000" w:themeColor="text1"/>
    </w:rPr>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tblBorders>
    </w:tblPr>
    <w:tblStylePr w:type="firstRow">
      <w:rPr>
        <w:sz w:val="24"/>
        <w:szCs w:val="24"/>
      </w:rPr>
      <w:tblPr/>
      <w:tcPr>
        <w:tcBorders>
          <w:top w:val="nil"/>
          <w:left w:val="nil"/>
          <w:bottom w:val="single" w:sz="24" w:space="0" w:color="7CCA62" w:themeColor="accent5"/>
          <w:right w:val="nil"/>
          <w:insideH w:val="nil"/>
          <w:insideV w:val="nil"/>
        </w:tcBorders>
        <w:shd w:val="clear" w:color="auto" w:fill="FFFFFF" w:themeFill="background1"/>
      </w:tcPr>
    </w:tblStylePr>
    <w:tblStylePr w:type="lastRow">
      <w:tblPr/>
      <w:tcPr>
        <w:tcBorders>
          <w:top w:val="single" w:sz="8" w:space="0" w:color="7CCA6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CCA62" w:themeColor="accent5"/>
          <w:insideH w:val="nil"/>
          <w:insideV w:val="nil"/>
        </w:tcBorders>
        <w:shd w:val="clear" w:color="auto" w:fill="FFFFFF" w:themeFill="background1"/>
      </w:tcPr>
    </w:tblStylePr>
    <w:tblStylePr w:type="lastCol">
      <w:tblPr/>
      <w:tcPr>
        <w:tcBorders>
          <w:top w:val="nil"/>
          <w:left w:val="single" w:sz="8" w:space="0" w:color="7CCA6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F2D8" w:themeFill="accent5" w:themeFillTint="3F"/>
      </w:tcPr>
    </w:tblStylePr>
    <w:tblStylePr w:type="band1Horz">
      <w:tblPr/>
      <w:tcPr>
        <w:tcBorders>
          <w:top w:val="nil"/>
          <w:bottom w:val="nil"/>
          <w:insideH w:val="nil"/>
          <w:insideV w:val="nil"/>
        </w:tcBorders>
        <w:shd w:val="clear" w:color="auto" w:fill="DEF2D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color w:val="000000" w:themeColor="text1"/>
    </w:rPr>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tblBorders>
    </w:tblPr>
    <w:tblStylePr w:type="firstRow">
      <w:rPr>
        <w:sz w:val="24"/>
        <w:szCs w:val="24"/>
      </w:rPr>
      <w:tblPr/>
      <w:tcPr>
        <w:tcBorders>
          <w:top w:val="nil"/>
          <w:left w:val="nil"/>
          <w:bottom w:val="single" w:sz="24" w:space="0" w:color="A5C249" w:themeColor="accent6"/>
          <w:right w:val="nil"/>
          <w:insideH w:val="nil"/>
          <w:insideV w:val="nil"/>
        </w:tcBorders>
        <w:shd w:val="clear" w:color="auto" w:fill="FFFFFF" w:themeFill="background1"/>
      </w:tcPr>
    </w:tblStylePr>
    <w:tblStylePr w:type="lastRow">
      <w:tblPr/>
      <w:tcPr>
        <w:tcBorders>
          <w:top w:val="single" w:sz="8" w:space="0" w:color="A5C24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C249" w:themeColor="accent6"/>
          <w:insideH w:val="nil"/>
          <w:insideV w:val="nil"/>
        </w:tcBorders>
        <w:shd w:val="clear" w:color="auto" w:fill="FFFFFF" w:themeFill="background1"/>
      </w:tcPr>
    </w:tblStylePr>
    <w:tblStylePr w:type="lastCol">
      <w:tblPr/>
      <w:tcPr>
        <w:tcBorders>
          <w:top w:val="nil"/>
          <w:left w:val="single" w:sz="8" w:space="0" w:color="A5C24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F0D1" w:themeFill="accent6" w:themeFillTint="3F"/>
      </w:tcPr>
    </w:tblStylePr>
    <w:tblStylePr w:type="band1Horz">
      <w:tblPr/>
      <w:tcPr>
        <w:tcBorders>
          <w:top w:val="nil"/>
          <w:bottom w:val="nil"/>
          <w:insideH w:val="nil"/>
          <w:insideV w:val="nil"/>
        </w:tcBorders>
        <w:shd w:val="clear" w:color="auto" w:fill="E8F0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single" w:sz="8" w:space="0" w:color="3093EF" w:themeColor="accent1" w:themeTint="BF"/>
        <w:insideV w:val="single" w:sz="8" w:space="0" w:color="3093EF" w:themeColor="accent1" w:themeTint="BF"/>
      </w:tblBorders>
    </w:tblPr>
    <w:tcPr>
      <w:shd w:val="clear" w:color="auto" w:fill="BADBF9" w:themeFill="accent1" w:themeFillTint="3F"/>
    </w:tcPr>
    <w:tblStylePr w:type="firstRow">
      <w:rPr>
        <w:b/>
        <w:bCs/>
      </w:rPr>
    </w:tblStylePr>
    <w:tblStylePr w:type="lastRow">
      <w:rPr>
        <w:b/>
        <w:bCs/>
      </w:rPr>
      <w:tblPr/>
      <w:tcPr>
        <w:tcBorders>
          <w:top w:val="single" w:sz="18" w:space="0" w:color="3093EF" w:themeColor="accent1" w:themeTint="BF"/>
        </w:tcBorders>
      </w:tcPr>
    </w:tblStylePr>
    <w:tblStylePr w:type="firstCol">
      <w:rPr>
        <w:b/>
        <w:bCs/>
      </w:rPr>
    </w:tblStylePr>
    <w:tblStylePr w:type="lastCol">
      <w:rPr>
        <w:b/>
        <w:bCs/>
      </w:rPr>
    </w:tblStylePr>
    <w:tblStylePr w:type="band1Vert">
      <w:tblPr/>
      <w:tcPr>
        <w:shd w:val="clear" w:color="auto" w:fill="75B7F4" w:themeFill="accent1" w:themeFillTint="7F"/>
      </w:tcPr>
    </w:tblStylePr>
    <w:tblStylePr w:type="band1Horz">
      <w:tblPr/>
      <w:tcPr>
        <w:shd w:val="clear" w:color="auto" w:fill="75B7F4"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single" w:sz="8" w:space="0" w:color="23C1FF" w:themeColor="accent2" w:themeTint="BF"/>
        <w:insideV w:val="single" w:sz="8" w:space="0" w:color="23C1FF" w:themeColor="accent2" w:themeTint="BF"/>
      </w:tblBorders>
    </w:tblPr>
    <w:tcPr>
      <w:shd w:val="clear" w:color="auto" w:fill="B6EAFF" w:themeFill="accent2" w:themeFillTint="3F"/>
    </w:tcPr>
    <w:tblStylePr w:type="firstRow">
      <w:rPr>
        <w:b/>
        <w:bCs/>
      </w:rPr>
    </w:tblStylePr>
    <w:tblStylePr w:type="lastRow">
      <w:rPr>
        <w:b/>
        <w:bCs/>
      </w:rPr>
      <w:tblPr/>
      <w:tcPr>
        <w:tcBorders>
          <w:top w:val="single" w:sz="18" w:space="0" w:color="23C1FF" w:themeColor="accent2" w:themeTint="BF"/>
        </w:tcBorders>
      </w:tcPr>
    </w:tblStylePr>
    <w:tblStylePr w:type="firstCol">
      <w:rPr>
        <w:b/>
        <w:bCs/>
      </w:rPr>
    </w:tblStylePr>
    <w:tblStylePr w:type="lastCol">
      <w:rPr>
        <w:b/>
        <w:bCs/>
      </w:rPr>
    </w:tblStylePr>
    <w:tblStylePr w:type="band1Vert">
      <w:tblPr/>
      <w:tcPr>
        <w:shd w:val="clear" w:color="auto" w:fill="6DD6FF" w:themeFill="accent2" w:themeFillTint="7F"/>
      </w:tcPr>
    </w:tblStylePr>
    <w:tblStylePr w:type="band1Horz">
      <w:tblPr/>
      <w:tcPr>
        <w:shd w:val="clear" w:color="auto" w:fill="6DD6FF"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single" w:sz="8" w:space="0" w:color="35EBF4" w:themeColor="accent3" w:themeTint="BF"/>
        <w:insideV w:val="single" w:sz="8" w:space="0" w:color="35EBF4" w:themeColor="accent3" w:themeTint="BF"/>
      </w:tblBorders>
    </w:tblPr>
    <w:tcPr>
      <w:shd w:val="clear" w:color="auto" w:fill="BCF8FB" w:themeFill="accent3" w:themeFillTint="3F"/>
    </w:tcPr>
    <w:tblStylePr w:type="firstRow">
      <w:rPr>
        <w:b/>
        <w:bCs/>
      </w:rPr>
    </w:tblStylePr>
    <w:tblStylePr w:type="lastRow">
      <w:rPr>
        <w:b/>
        <w:bCs/>
      </w:rPr>
      <w:tblPr/>
      <w:tcPr>
        <w:tcBorders>
          <w:top w:val="single" w:sz="18" w:space="0" w:color="35EBF4" w:themeColor="accent3" w:themeTint="BF"/>
        </w:tcBorders>
      </w:tcPr>
    </w:tblStylePr>
    <w:tblStylePr w:type="firstCol">
      <w:rPr>
        <w:b/>
        <w:bCs/>
      </w:rPr>
    </w:tblStylePr>
    <w:tblStylePr w:type="lastCol">
      <w:rPr>
        <w:b/>
        <w:bCs/>
      </w:rPr>
    </w:tblStylePr>
    <w:tblStylePr w:type="band1Vert">
      <w:tblPr/>
      <w:tcPr>
        <w:shd w:val="clear" w:color="auto" w:fill="79F2F8" w:themeFill="accent3" w:themeFillTint="7F"/>
      </w:tcPr>
    </w:tblStylePr>
    <w:tblStylePr w:type="band1Horz">
      <w:tblPr/>
      <w:tcPr>
        <w:shd w:val="clear" w:color="auto" w:fill="79F2F8"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single" w:sz="8" w:space="0" w:color="37EFBD" w:themeColor="accent4" w:themeTint="BF"/>
        <w:insideV w:val="single" w:sz="8" w:space="0" w:color="37EFBD" w:themeColor="accent4" w:themeTint="BF"/>
      </w:tblBorders>
    </w:tblPr>
    <w:tcPr>
      <w:shd w:val="clear" w:color="auto" w:fill="BDFAE9" w:themeFill="accent4" w:themeFillTint="3F"/>
    </w:tcPr>
    <w:tblStylePr w:type="firstRow">
      <w:rPr>
        <w:b/>
        <w:bCs/>
      </w:rPr>
    </w:tblStylePr>
    <w:tblStylePr w:type="lastRow">
      <w:rPr>
        <w:b/>
        <w:bCs/>
      </w:rPr>
      <w:tblPr/>
      <w:tcPr>
        <w:tcBorders>
          <w:top w:val="single" w:sz="18" w:space="0" w:color="37EFBD" w:themeColor="accent4" w:themeTint="BF"/>
        </w:tcBorders>
      </w:tcPr>
    </w:tblStylePr>
    <w:tblStylePr w:type="firstCol">
      <w:rPr>
        <w:b/>
        <w:bCs/>
      </w:rPr>
    </w:tblStylePr>
    <w:tblStylePr w:type="lastCol">
      <w:rPr>
        <w:b/>
        <w:bCs/>
      </w:rPr>
    </w:tblStylePr>
    <w:tblStylePr w:type="band1Vert">
      <w:tblPr/>
      <w:tcPr>
        <w:shd w:val="clear" w:color="auto" w:fill="7AF4D3" w:themeFill="accent4" w:themeFillTint="7F"/>
      </w:tcPr>
    </w:tblStylePr>
    <w:tblStylePr w:type="band1Horz">
      <w:tblPr/>
      <w:tcPr>
        <w:shd w:val="clear" w:color="auto" w:fill="7AF4D3"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single" w:sz="8" w:space="0" w:color="9CD789" w:themeColor="accent5" w:themeTint="BF"/>
        <w:insideV w:val="single" w:sz="8" w:space="0" w:color="9CD789" w:themeColor="accent5" w:themeTint="BF"/>
      </w:tblBorders>
    </w:tblPr>
    <w:tcPr>
      <w:shd w:val="clear" w:color="auto" w:fill="DEF2D8" w:themeFill="accent5" w:themeFillTint="3F"/>
    </w:tcPr>
    <w:tblStylePr w:type="firstRow">
      <w:rPr>
        <w:b/>
        <w:bCs/>
      </w:rPr>
    </w:tblStylePr>
    <w:tblStylePr w:type="lastRow">
      <w:rPr>
        <w:b/>
        <w:bCs/>
      </w:rPr>
      <w:tblPr/>
      <w:tcPr>
        <w:tcBorders>
          <w:top w:val="single" w:sz="18" w:space="0" w:color="9CD789" w:themeColor="accent5" w:themeTint="BF"/>
        </w:tcBorders>
      </w:tcPr>
    </w:tblStylePr>
    <w:tblStylePr w:type="firstCol">
      <w:rPr>
        <w:b/>
        <w:bCs/>
      </w:rPr>
    </w:tblStylePr>
    <w:tblStylePr w:type="lastCol">
      <w:rPr>
        <w:b/>
        <w:bCs/>
      </w:rPr>
    </w:tblStylePr>
    <w:tblStylePr w:type="band1Vert">
      <w:tblPr/>
      <w:tcPr>
        <w:shd w:val="clear" w:color="auto" w:fill="BDE4B0" w:themeFill="accent5" w:themeFillTint="7F"/>
      </w:tcPr>
    </w:tblStylePr>
    <w:tblStylePr w:type="band1Horz">
      <w:tblPr/>
      <w:tcPr>
        <w:shd w:val="clear" w:color="auto" w:fill="BDE4B0"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single" w:sz="8" w:space="0" w:color="BBD176" w:themeColor="accent6" w:themeTint="BF"/>
        <w:insideV w:val="single" w:sz="8" w:space="0" w:color="BBD176" w:themeColor="accent6" w:themeTint="BF"/>
      </w:tblBorders>
    </w:tblPr>
    <w:tcPr>
      <w:shd w:val="clear" w:color="auto" w:fill="E8F0D1" w:themeFill="accent6" w:themeFillTint="3F"/>
    </w:tcPr>
    <w:tblStylePr w:type="firstRow">
      <w:rPr>
        <w:b/>
        <w:bCs/>
      </w:rPr>
    </w:tblStylePr>
    <w:tblStylePr w:type="lastRow">
      <w:rPr>
        <w:b/>
        <w:bCs/>
      </w:rPr>
      <w:tblPr/>
      <w:tcPr>
        <w:tcBorders>
          <w:top w:val="single" w:sz="18" w:space="0" w:color="BBD176" w:themeColor="accent6" w:themeTint="BF"/>
        </w:tcBorders>
      </w:tcPr>
    </w:tblStylePr>
    <w:tblStylePr w:type="firstCol">
      <w:rPr>
        <w:b/>
        <w:bCs/>
      </w:rPr>
    </w:tblStylePr>
    <w:tblStylePr w:type="lastCol">
      <w:rPr>
        <w:b/>
        <w:bCs/>
      </w:rPr>
    </w:tblStylePr>
    <w:tblStylePr w:type="band1Vert">
      <w:tblPr/>
      <w:tcPr>
        <w:shd w:val="clear" w:color="auto" w:fill="D1E0A4" w:themeFill="accent6" w:themeFillTint="7F"/>
      </w:tcPr>
    </w:tblStylePr>
    <w:tblStylePr w:type="band1Horz">
      <w:tblPr/>
      <w:tcPr>
        <w:shd w:val="clear" w:color="auto" w:fill="D1E0A4" w:themeFill="accent6" w:themeFillTint="7F"/>
      </w:tcPr>
    </w:tblStylePr>
  </w:style>
  <w:style w:type="table" w:styleId="MediumGrid2">
    <w:name w:val="Medium Grid 2"/>
    <w:basedOn w:val="TableNormal"/>
    <w:uiPriority w:val="68"/>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color w:val="000000" w:themeColor="text1"/>
    </w:r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insideH w:val="single" w:sz="8" w:space="0" w:color="0F6FC6" w:themeColor="accent1"/>
        <w:insideV w:val="single" w:sz="8" w:space="0" w:color="0F6FC6" w:themeColor="accent1"/>
      </w:tblBorders>
    </w:tblPr>
    <w:tcPr>
      <w:shd w:val="clear" w:color="auto" w:fill="BADBF9" w:themeFill="accent1" w:themeFillTint="3F"/>
    </w:tcPr>
    <w:tblStylePr w:type="firstRow">
      <w:rPr>
        <w:b/>
        <w:bCs/>
        <w:color w:val="000000" w:themeColor="text1"/>
      </w:rPr>
      <w:tblPr/>
      <w:tcPr>
        <w:shd w:val="clear" w:color="auto" w:fill="E3F0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E2FA" w:themeFill="accent1" w:themeFillTint="33"/>
      </w:tcPr>
    </w:tblStylePr>
    <w:tblStylePr w:type="band1Vert">
      <w:tblPr/>
      <w:tcPr>
        <w:shd w:val="clear" w:color="auto" w:fill="75B7F4" w:themeFill="accent1" w:themeFillTint="7F"/>
      </w:tcPr>
    </w:tblStylePr>
    <w:tblStylePr w:type="band1Horz">
      <w:tblPr/>
      <w:tcPr>
        <w:tcBorders>
          <w:insideH w:val="single" w:sz="6" w:space="0" w:color="0F6FC6" w:themeColor="accent1"/>
          <w:insideV w:val="single" w:sz="6" w:space="0" w:color="0F6FC6" w:themeColor="accent1"/>
        </w:tcBorders>
        <w:shd w:val="clear" w:color="auto" w:fill="75B7F4"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color w:val="000000" w:themeColor="text1"/>
    </w:rPr>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insideH w:val="single" w:sz="8" w:space="0" w:color="009DD9" w:themeColor="accent2"/>
        <w:insideV w:val="single" w:sz="8" w:space="0" w:color="009DD9" w:themeColor="accent2"/>
      </w:tblBorders>
    </w:tblPr>
    <w:tcPr>
      <w:shd w:val="clear" w:color="auto" w:fill="B6EAFF" w:themeFill="accent2" w:themeFillTint="3F"/>
    </w:tcPr>
    <w:tblStylePr w:type="firstRow">
      <w:rPr>
        <w:b/>
        <w:bCs/>
        <w:color w:val="000000" w:themeColor="text1"/>
      </w:rPr>
      <w:tblPr/>
      <w:tcPr>
        <w:shd w:val="clear" w:color="auto" w:fill="E2F6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4EEFF" w:themeFill="accent2" w:themeFillTint="33"/>
      </w:tcPr>
    </w:tblStylePr>
    <w:tblStylePr w:type="band1Vert">
      <w:tblPr/>
      <w:tcPr>
        <w:shd w:val="clear" w:color="auto" w:fill="6DD6FF" w:themeFill="accent2" w:themeFillTint="7F"/>
      </w:tcPr>
    </w:tblStylePr>
    <w:tblStylePr w:type="band1Horz">
      <w:tblPr/>
      <w:tcPr>
        <w:tcBorders>
          <w:insideH w:val="single" w:sz="6" w:space="0" w:color="009DD9" w:themeColor="accent2"/>
          <w:insideV w:val="single" w:sz="6" w:space="0" w:color="009DD9" w:themeColor="accent2"/>
        </w:tcBorders>
        <w:shd w:val="clear" w:color="auto" w:fill="6DD6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color w:val="000000" w:themeColor="text1"/>
    </w:rPr>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insideH w:val="single" w:sz="8" w:space="0" w:color="0BD0D9" w:themeColor="accent3"/>
        <w:insideV w:val="single" w:sz="8" w:space="0" w:color="0BD0D9" w:themeColor="accent3"/>
      </w:tblBorders>
    </w:tblPr>
    <w:tcPr>
      <w:shd w:val="clear" w:color="auto" w:fill="BCF8FB" w:themeFill="accent3" w:themeFillTint="3F"/>
    </w:tcPr>
    <w:tblStylePr w:type="firstRow">
      <w:rPr>
        <w:b/>
        <w:bCs/>
        <w:color w:val="000000" w:themeColor="text1"/>
      </w:rPr>
      <w:tblPr/>
      <w:tcPr>
        <w:shd w:val="clear" w:color="auto" w:fill="E4FCF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9FC" w:themeFill="accent3" w:themeFillTint="33"/>
      </w:tcPr>
    </w:tblStylePr>
    <w:tblStylePr w:type="band1Vert">
      <w:tblPr/>
      <w:tcPr>
        <w:shd w:val="clear" w:color="auto" w:fill="79F2F8" w:themeFill="accent3" w:themeFillTint="7F"/>
      </w:tcPr>
    </w:tblStylePr>
    <w:tblStylePr w:type="band1Horz">
      <w:tblPr/>
      <w:tcPr>
        <w:tcBorders>
          <w:insideH w:val="single" w:sz="6" w:space="0" w:color="0BD0D9" w:themeColor="accent3"/>
          <w:insideV w:val="single" w:sz="6" w:space="0" w:color="0BD0D9" w:themeColor="accent3"/>
        </w:tcBorders>
        <w:shd w:val="clear" w:color="auto" w:fill="79F2F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color w:val="000000" w:themeColor="text1"/>
    </w:r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insideH w:val="single" w:sz="8" w:space="0" w:color="10CF9B" w:themeColor="accent4"/>
        <w:insideV w:val="single" w:sz="8" w:space="0" w:color="10CF9B" w:themeColor="accent4"/>
      </w:tblBorders>
    </w:tblPr>
    <w:tcPr>
      <w:shd w:val="clear" w:color="auto" w:fill="BDFAE9" w:themeFill="accent4" w:themeFillTint="3F"/>
    </w:tcPr>
    <w:tblStylePr w:type="firstRow">
      <w:rPr>
        <w:b/>
        <w:bCs/>
        <w:color w:val="000000" w:themeColor="text1"/>
      </w:rPr>
      <w:tblPr/>
      <w:tcPr>
        <w:shd w:val="clear" w:color="auto" w:fill="E4FD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BED" w:themeFill="accent4" w:themeFillTint="33"/>
      </w:tcPr>
    </w:tblStylePr>
    <w:tblStylePr w:type="band1Vert">
      <w:tblPr/>
      <w:tcPr>
        <w:shd w:val="clear" w:color="auto" w:fill="7AF4D3" w:themeFill="accent4" w:themeFillTint="7F"/>
      </w:tcPr>
    </w:tblStylePr>
    <w:tblStylePr w:type="band1Horz">
      <w:tblPr/>
      <w:tcPr>
        <w:tcBorders>
          <w:insideH w:val="single" w:sz="6" w:space="0" w:color="10CF9B" w:themeColor="accent4"/>
          <w:insideV w:val="single" w:sz="6" w:space="0" w:color="10CF9B" w:themeColor="accent4"/>
        </w:tcBorders>
        <w:shd w:val="clear" w:color="auto" w:fill="7AF4D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color w:val="000000" w:themeColor="text1"/>
    </w:rPr>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insideH w:val="single" w:sz="8" w:space="0" w:color="7CCA62" w:themeColor="accent5"/>
        <w:insideV w:val="single" w:sz="8" w:space="0" w:color="7CCA62" w:themeColor="accent5"/>
      </w:tblBorders>
    </w:tblPr>
    <w:tcPr>
      <w:shd w:val="clear" w:color="auto" w:fill="DEF2D8" w:themeFill="accent5" w:themeFillTint="3F"/>
    </w:tcPr>
    <w:tblStylePr w:type="firstRow">
      <w:rPr>
        <w:b/>
        <w:bCs/>
        <w:color w:val="000000" w:themeColor="text1"/>
      </w:rPr>
      <w:tblPr/>
      <w:tcPr>
        <w:shd w:val="clear" w:color="auto" w:fill="F2F9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F4DF" w:themeFill="accent5" w:themeFillTint="33"/>
      </w:tcPr>
    </w:tblStylePr>
    <w:tblStylePr w:type="band1Vert">
      <w:tblPr/>
      <w:tcPr>
        <w:shd w:val="clear" w:color="auto" w:fill="BDE4B0" w:themeFill="accent5" w:themeFillTint="7F"/>
      </w:tcPr>
    </w:tblStylePr>
    <w:tblStylePr w:type="band1Horz">
      <w:tblPr/>
      <w:tcPr>
        <w:tcBorders>
          <w:insideH w:val="single" w:sz="6" w:space="0" w:color="7CCA62" w:themeColor="accent5"/>
          <w:insideV w:val="single" w:sz="6" w:space="0" w:color="7CCA62" w:themeColor="accent5"/>
        </w:tcBorders>
        <w:shd w:val="clear" w:color="auto" w:fill="BDE4B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color w:val="000000" w:themeColor="text1"/>
    </w:rPr>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insideH w:val="single" w:sz="8" w:space="0" w:color="A5C249" w:themeColor="accent6"/>
        <w:insideV w:val="single" w:sz="8" w:space="0" w:color="A5C249" w:themeColor="accent6"/>
      </w:tblBorders>
    </w:tblPr>
    <w:tcPr>
      <w:shd w:val="clear" w:color="auto" w:fill="E8F0D1" w:themeFill="accent6" w:themeFillTint="3F"/>
    </w:tcPr>
    <w:tblStylePr w:type="firstRow">
      <w:rPr>
        <w:b/>
        <w:bCs/>
        <w:color w:val="000000" w:themeColor="text1"/>
      </w:rPr>
      <w:tblPr/>
      <w:tcPr>
        <w:shd w:val="clear" w:color="auto" w:fill="F6F9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F2DA" w:themeFill="accent6" w:themeFillTint="33"/>
      </w:tcPr>
    </w:tblStylePr>
    <w:tblStylePr w:type="band1Vert">
      <w:tblPr/>
      <w:tcPr>
        <w:shd w:val="clear" w:color="auto" w:fill="D1E0A4" w:themeFill="accent6" w:themeFillTint="7F"/>
      </w:tcPr>
    </w:tblStylePr>
    <w:tblStylePr w:type="band1Horz">
      <w:tblPr/>
      <w:tcPr>
        <w:tcBorders>
          <w:insideH w:val="single" w:sz="6" w:space="0" w:color="A5C249" w:themeColor="accent6"/>
          <w:insideV w:val="single" w:sz="6" w:space="0" w:color="A5C249" w:themeColor="accent6"/>
        </w:tcBorders>
        <w:shd w:val="clear" w:color="auto" w:fill="D1E0A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DBF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6FC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6FC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6FC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6FC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5B7F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5B7F4"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EA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DD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DD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DD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DD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DD6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DD6FF"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F8F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BD0D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BD0D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BD0D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BD0D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9F2F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9F2F8"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FA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0CF9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0CF9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0CF9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0CF9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AF4D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AF4D3"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F2D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CCA6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CCA6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CCA6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CCA6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E4B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E4B0"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F0D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C24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C24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C24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C24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E0A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E0A4"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0F6FC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366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B529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B5294" w:themeFill="accent1" w:themeFillShade="BF"/>
      </w:tcPr>
    </w:tblStylePr>
    <w:tblStylePr w:type="band1Vert">
      <w:tblPr/>
      <w:tcPr>
        <w:tcBorders>
          <w:top w:val="nil"/>
          <w:left w:val="nil"/>
          <w:bottom w:val="nil"/>
          <w:right w:val="nil"/>
          <w:insideH w:val="nil"/>
          <w:insideV w:val="nil"/>
        </w:tcBorders>
        <w:shd w:val="clear" w:color="auto" w:fill="0B5294" w:themeFill="accent1" w:themeFillShade="BF"/>
      </w:tcPr>
    </w:tblStylePr>
    <w:tblStylePr w:type="band1Horz">
      <w:tblPr/>
      <w:tcPr>
        <w:tcBorders>
          <w:top w:val="nil"/>
          <w:left w:val="nil"/>
          <w:bottom w:val="nil"/>
          <w:right w:val="nil"/>
          <w:insideH w:val="nil"/>
          <w:insideV w:val="nil"/>
        </w:tcBorders>
        <w:shd w:val="clear" w:color="auto" w:fill="0B5294"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009DD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6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5A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5A2" w:themeFill="accent2" w:themeFillShade="BF"/>
      </w:tcPr>
    </w:tblStylePr>
    <w:tblStylePr w:type="band1Vert">
      <w:tblPr/>
      <w:tcPr>
        <w:tcBorders>
          <w:top w:val="nil"/>
          <w:left w:val="nil"/>
          <w:bottom w:val="nil"/>
          <w:right w:val="nil"/>
          <w:insideH w:val="nil"/>
          <w:insideV w:val="nil"/>
        </w:tcBorders>
        <w:shd w:val="clear" w:color="auto" w:fill="0075A2" w:themeFill="accent2" w:themeFillShade="BF"/>
      </w:tcPr>
    </w:tblStylePr>
    <w:tblStylePr w:type="band1Horz">
      <w:tblPr/>
      <w:tcPr>
        <w:tcBorders>
          <w:top w:val="nil"/>
          <w:left w:val="nil"/>
          <w:bottom w:val="nil"/>
          <w:right w:val="nil"/>
          <w:insideH w:val="nil"/>
          <w:insideV w:val="nil"/>
        </w:tcBorders>
        <w:shd w:val="clear" w:color="auto" w:fill="0075A2"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0BD0D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5676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89BA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89BA2" w:themeFill="accent3" w:themeFillShade="BF"/>
      </w:tcPr>
    </w:tblStylePr>
    <w:tblStylePr w:type="band1Vert">
      <w:tblPr/>
      <w:tcPr>
        <w:tcBorders>
          <w:top w:val="nil"/>
          <w:left w:val="nil"/>
          <w:bottom w:val="nil"/>
          <w:right w:val="nil"/>
          <w:insideH w:val="nil"/>
          <w:insideV w:val="nil"/>
        </w:tcBorders>
        <w:shd w:val="clear" w:color="auto" w:fill="089BA2" w:themeFill="accent3" w:themeFillShade="BF"/>
      </w:tcPr>
    </w:tblStylePr>
    <w:tblStylePr w:type="band1Horz">
      <w:tblPr/>
      <w:tcPr>
        <w:tcBorders>
          <w:top w:val="nil"/>
          <w:left w:val="nil"/>
          <w:bottom w:val="nil"/>
          <w:right w:val="nil"/>
          <w:insideH w:val="nil"/>
          <w:insideV w:val="nil"/>
        </w:tcBorders>
        <w:shd w:val="clear" w:color="auto" w:fill="089BA2"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10CF9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674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C9A7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C9A73" w:themeFill="accent4" w:themeFillShade="BF"/>
      </w:tcPr>
    </w:tblStylePr>
    <w:tblStylePr w:type="band1Vert">
      <w:tblPr/>
      <w:tcPr>
        <w:tcBorders>
          <w:top w:val="nil"/>
          <w:left w:val="nil"/>
          <w:bottom w:val="nil"/>
          <w:right w:val="nil"/>
          <w:insideH w:val="nil"/>
          <w:insideV w:val="nil"/>
        </w:tcBorders>
        <w:shd w:val="clear" w:color="auto" w:fill="0C9A73" w:themeFill="accent4" w:themeFillShade="BF"/>
      </w:tcPr>
    </w:tblStylePr>
    <w:tblStylePr w:type="band1Horz">
      <w:tblPr/>
      <w:tcPr>
        <w:tcBorders>
          <w:top w:val="nil"/>
          <w:left w:val="nil"/>
          <w:bottom w:val="nil"/>
          <w:right w:val="nil"/>
          <w:insideH w:val="nil"/>
          <w:insideV w:val="nil"/>
        </w:tcBorders>
        <w:shd w:val="clear" w:color="auto" w:fill="0C9A73"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7CCA6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86F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4A7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4A738" w:themeFill="accent5" w:themeFillShade="BF"/>
      </w:tcPr>
    </w:tblStylePr>
    <w:tblStylePr w:type="band1Vert">
      <w:tblPr/>
      <w:tcPr>
        <w:tcBorders>
          <w:top w:val="nil"/>
          <w:left w:val="nil"/>
          <w:bottom w:val="nil"/>
          <w:right w:val="nil"/>
          <w:insideH w:val="nil"/>
          <w:insideV w:val="nil"/>
        </w:tcBorders>
        <w:shd w:val="clear" w:color="auto" w:fill="54A738" w:themeFill="accent5" w:themeFillShade="BF"/>
      </w:tcPr>
    </w:tblStylePr>
    <w:tblStylePr w:type="band1Horz">
      <w:tblPr/>
      <w:tcPr>
        <w:tcBorders>
          <w:top w:val="nil"/>
          <w:left w:val="nil"/>
          <w:bottom w:val="nil"/>
          <w:right w:val="nil"/>
          <w:insideH w:val="nil"/>
          <w:insideV w:val="nil"/>
        </w:tcBorders>
        <w:shd w:val="clear" w:color="auto" w:fill="54A738"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A5C24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3632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953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9532" w:themeFill="accent6" w:themeFillShade="BF"/>
      </w:tcPr>
    </w:tblStylePr>
    <w:tblStylePr w:type="band1Vert">
      <w:tblPr/>
      <w:tcPr>
        <w:tcBorders>
          <w:top w:val="nil"/>
          <w:left w:val="nil"/>
          <w:bottom w:val="nil"/>
          <w:right w:val="nil"/>
          <w:insideH w:val="nil"/>
          <w:insideV w:val="nil"/>
        </w:tcBorders>
        <w:shd w:val="clear" w:color="auto" w:fill="7D9532" w:themeFill="accent6" w:themeFillShade="BF"/>
      </w:tcPr>
    </w:tblStylePr>
    <w:tblStylePr w:type="band1Horz">
      <w:tblPr/>
      <w:tcPr>
        <w:tcBorders>
          <w:top w:val="nil"/>
          <w:left w:val="nil"/>
          <w:bottom w:val="nil"/>
          <w:right w:val="nil"/>
          <w:insideH w:val="nil"/>
          <w:insideV w:val="nil"/>
        </w:tcBorders>
        <w:shd w:val="clear" w:color="auto" w:fill="7D9532"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009DD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009DD9" w:themeColor="accent2"/>
        <w:left w:val="single" w:sz="4" w:space="0" w:color="0F6FC6" w:themeColor="accent1"/>
        <w:bottom w:val="single" w:sz="4" w:space="0" w:color="0F6FC6" w:themeColor="accent1"/>
        <w:right w:val="single" w:sz="4" w:space="0" w:color="0F6FC6" w:themeColor="accent1"/>
        <w:insideH w:val="single" w:sz="4" w:space="0" w:color="FFFFFF" w:themeColor="background1"/>
        <w:insideV w:val="single" w:sz="4" w:space="0" w:color="FFFFFF" w:themeColor="background1"/>
      </w:tblBorders>
    </w:tblPr>
    <w:tcPr>
      <w:shd w:val="clear" w:color="auto" w:fill="E3F0FD" w:themeFill="accent1" w:themeFillTint="19"/>
    </w:tcPr>
    <w:tblStylePr w:type="firstRow">
      <w:rPr>
        <w:b/>
        <w:bCs/>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4276" w:themeFill="accent1" w:themeFillShade="99"/>
      </w:tcPr>
    </w:tblStylePr>
    <w:tblStylePr w:type="firstCol">
      <w:rPr>
        <w:color w:val="FFFFFF" w:themeColor="background1"/>
      </w:rPr>
      <w:tblPr/>
      <w:tcPr>
        <w:tcBorders>
          <w:top w:val="nil"/>
          <w:left w:val="nil"/>
          <w:bottom w:val="nil"/>
          <w:right w:val="nil"/>
          <w:insideH w:val="single" w:sz="4" w:space="0" w:color="094276" w:themeColor="accent1" w:themeShade="99"/>
          <w:insideV w:val="nil"/>
        </w:tcBorders>
        <w:shd w:val="clear" w:color="auto" w:fill="09427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94276" w:themeFill="accent1" w:themeFillShade="99"/>
      </w:tcPr>
    </w:tblStylePr>
    <w:tblStylePr w:type="band1Vert">
      <w:tblPr/>
      <w:tcPr>
        <w:shd w:val="clear" w:color="auto" w:fill="90C5F6" w:themeFill="accent1" w:themeFillTint="66"/>
      </w:tcPr>
    </w:tblStylePr>
    <w:tblStylePr w:type="band1Horz">
      <w:tblPr/>
      <w:tcPr>
        <w:shd w:val="clear" w:color="auto" w:fill="75B7F4"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009DD9" w:themeColor="accent2"/>
        <w:left w:val="single" w:sz="4" w:space="0" w:color="009DD9" w:themeColor="accent2"/>
        <w:bottom w:val="single" w:sz="4" w:space="0" w:color="009DD9" w:themeColor="accent2"/>
        <w:right w:val="single" w:sz="4" w:space="0" w:color="009DD9" w:themeColor="accent2"/>
        <w:insideH w:val="single" w:sz="4" w:space="0" w:color="FFFFFF" w:themeColor="background1"/>
        <w:insideV w:val="single" w:sz="4" w:space="0" w:color="FFFFFF" w:themeColor="background1"/>
      </w:tblBorders>
    </w:tblPr>
    <w:tcPr>
      <w:shd w:val="clear" w:color="auto" w:fill="E2F6FF" w:themeFill="accent2" w:themeFillTint="19"/>
    </w:tcPr>
    <w:tblStylePr w:type="firstRow">
      <w:rPr>
        <w:b/>
        <w:bCs/>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2" w:themeFill="accent2" w:themeFillShade="99"/>
      </w:tcPr>
    </w:tblStylePr>
    <w:tblStylePr w:type="firstCol">
      <w:rPr>
        <w:color w:val="FFFFFF" w:themeColor="background1"/>
      </w:rPr>
      <w:tblPr/>
      <w:tcPr>
        <w:tcBorders>
          <w:top w:val="nil"/>
          <w:left w:val="nil"/>
          <w:bottom w:val="nil"/>
          <w:right w:val="nil"/>
          <w:insideH w:val="single" w:sz="4" w:space="0" w:color="005D82" w:themeColor="accent2" w:themeShade="99"/>
          <w:insideV w:val="nil"/>
        </w:tcBorders>
        <w:shd w:val="clear" w:color="auto" w:fill="005D82"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D82" w:themeFill="accent2" w:themeFillShade="99"/>
      </w:tcPr>
    </w:tblStylePr>
    <w:tblStylePr w:type="band1Vert">
      <w:tblPr/>
      <w:tcPr>
        <w:shd w:val="clear" w:color="auto" w:fill="89DEFF" w:themeFill="accent2" w:themeFillTint="66"/>
      </w:tcPr>
    </w:tblStylePr>
    <w:tblStylePr w:type="band1Horz">
      <w:tblPr/>
      <w:tcPr>
        <w:shd w:val="clear" w:color="auto" w:fill="6DD6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10CF9B" w:themeColor="accent4"/>
        <w:left w:val="single" w:sz="4" w:space="0" w:color="0BD0D9" w:themeColor="accent3"/>
        <w:bottom w:val="single" w:sz="4" w:space="0" w:color="0BD0D9" w:themeColor="accent3"/>
        <w:right w:val="single" w:sz="4" w:space="0" w:color="0BD0D9" w:themeColor="accent3"/>
        <w:insideH w:val="single" w:sz="4" w:space="0" w:color="FFFFFF" w:themeColor="background1"/>
        <w:insideV w:val="single" w:sz="4" w:space="0" w:color="FFFFFF" w:themeColor="background1"/>
      </w:tblBorders>
    </w:tblPr>
    <w:tcPr>
      <w:shd w:val="clear" w:color="auto" w:fill="E4FCFD" w:themeFill="accent3" w:themeFillTint="19"/>
    </w:tcPr>
    <w:tblStylePr w:type="firstRow">
      <w:rPr>
        <w:b/>
        <w:bCs/>
      </w:rPr>
      <w:tblPr/>
      <w:tcPr>
        <w:tcBorders>
          <w:top w:val="nil"/>
          <w:left w:val="nil"/>
          <w:bottom w:val="single" w:sz="24" w:space="0" w:color="10CF9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7C82" w:themeFill="accent3" w:themeFillShade="99"/>
      </w:tcPr>
    </w:tblStylePr>
    <w:tblStylePr w:type="firstCol">
      <w:rPr>
        <w:color w:val="FFFFFF" w:themeColor="background1"/>
      </w:rPr>
      <w:tblPr/>
      <w:tcPr>
        <w:tcBorders>
          <w:top w:val="nil"/>
          <w:left w:val="nil"/>
          <w:bottom w:val="nil"/>
          <w:right w:val="nil"/>
          <w:insideH w:val="single" w:sz="4" w:space="0" w:color="067C82" w:themeColor="accent3" w:themeShade="99"/>
          <w:insideV w:val="nil"/>
        </w:tcBorders>
        <w:shd w:val="clear" w:color="auto" w:fill="067C8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7C82" w:themeFill="accent3" w:themeFillShade="99"/>
      </w:tcPr>
    </w:tblStylePr>
    <w:tblStylePr w:type="band1Vert">
      <w:tblPr/>
      <w:tcPr>
        <w:shd w:val="clear" w:color="auto" w:fill="93F4F9" w:themeFill="accent3" w:themeFillTint="66"/>
      </w:tcPr>
    </w:tblStylePr>
    <w:tblStylePr w:type="band1Horz">
      <w:tblPr/>
      <w:tcPr>
        <w:shd w:val="clear" w:color="auto" w:fill="79F2F8"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0BD0D9" w:themeColor="accent3"/>
        <w:left w:val="single" w:sz="4" w:space="0" w:color="10CF9B" w:themeColor="accent4"/>
        <w:bottom w:val="single" w:sz="4" w:space="0" w:color="10CF9B" w:themeColor="accent4"/>
        <w:right w:val="single" w:sz="4" w:space="0" w:color="10CF9B" w:themeColor="accent4"/>
        <w:insideH w:val="single" w:sz="4" w:space="0" w:color="FFFFFF" w:themeColor="background1"/>
        <w:insideV w:val="single" w:sz="4" w:space="0" w:color="FFFFFF" w:themeColor="background1"/>
      </w:tblBorders>
    </w:tblPr>
    <w:tcPr>
      <w:shd w:val="clear" w:color="auto" w:fill="E4FDF6" w:themeFill="accent4" w:themeFillTint="19"/>
    </w:tcPr>
    <w:tblStylePr w:type="firstRow">
      <w:rPr>
        <w:b/>
        <w:bCs/>
      </w:rPr>
      <w:tblPr/>
      <w:tcPr>
        <w:tcBorders>
          <w:top w:val="nil"/>
          <w:left w:val="nil"/>
          <w:bottom w:val="single" w:sz="24" w:space="0" w:color="0BD0D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7C5C" w:themeFill="accent4" w:themeFillShade="99"/>
      </w:tcPr>
    </w:tblStylePr>
    <w:tblStylePr w:type="firstCol">
      <w:rPr>
        <w:color w:val="FFFFFF" w:themeColor="background1"/>
      </w:rPr>
      <w:tblPr/>
      <w:tcPr>
        <w:tcBorders>
          <w:top w:val="nil"/>
          <w:left w:val="nil"/>
          <w:bottom w:val="nil"/>
          <w:right w:val="nil"/>
          <w:insideH w:val="single" w:sz="4" w:space="0" w:color="097C5C" w:themeColor="accent4" w:themeShade="99"/>
          <w:insideV w:val="nil"/>
        </w:tcBorders>
        <w:shd w:val="clear" w:color="auto" w:fill="097C5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7C5C" w:themeFill="accent4" w:themeFillShade="99"/>
      </w:tcPr>
    </w:tblStylePr>
    <w:tblStylePr w:type="band1Vert">
      <w:tblPr/>
      <w:tcPr>
        <w:shd w:val="clear" w:color="auto" w:fill="94F6DB" w:themeFill="accent4" w:themeFillTint="66"/>
      </w:tcPr>
    </w:tblStylePr>
    <w:tblStylePr w:type="band1Horz">
      <w:tblPr/>
      <w:tcPr>
        <w:shd w:val="clear" w:color="auto" w:fill="7AF4D3"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A5C249" w:themeColor="accent6"/>
        <w:left w:val="single" w:sz="4" w:space="0" w:color="7CCA62" w:themeColor="accent5"/>
        <w:bottom w:val="single" w:sz="4" w:space="0" w:color="7CCA62" w:themeColor="accent5"/>
        <w:right w:val="single" w:sz="4" w:space="0" w:color="7CCA62" w:themeColor="accent5"/>
        <w:insideH w:val="single" w:sz="4" w:space="0" w:color="FFFFFF" w:themeColor="background1"/>
        <w:insideV w:val="single" w:sz="4" w:space="0" w:color="FFFFFF" w:themeColor="background1"/>
      </w:tblBorders>
    </w:tblPr>
    <w:tcPr>
      <w:shd w:val="clear" w:color="auto" w:fill="F2F9EF" w:themeFill="accent5" w:themeFillTint="19"/>
    </w:tcPr>
    <w:tblStylePr w:type="firstRow">
      <w:rPr>
        <w:b/>
        <w:bCs/>
      </w:rPr>
      <w:tblPr/>
      <w:tcPr>
        <w:tcBorders>
          <w:top w:val="nil"/>
          <w:left w:val="nil"/>
          <w:bottom w:val="single" w:sz="24" w:space="0" w:color="A5C24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862D" w:themeFill="accent5" w:themeFillShade="99"/>
      </w:tcPr>
    </w:tblStylePr>
    <w:tblStylePr w:type="firstCol">
      <w:rPr>
        <w:color w:val="FFFFFF" w:themeColor="background1"/>
      </w:rPr>
      <w:tblPr/>
      <w:tcPr>
        <w:tcBorders>
          <w:top w:val="nil"/>
          <w:left w:val="nil"/>
          <w:bottom w:val="nil"/>
          <w:right w:val="nil"/>
          <w:insideH w:val="single" w:sz="4" w:space="0" w:color="43862D" w:themeColor="accent5" w:themeShade="99"/>
          <w:insideV w:val="nil"/>
        </w:tcBorders>
        <w:shd w:val="clear" w:color="auto" w:fill="4386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3862D" w:themeFill="accent5" w:themeFillShade="99"/>
      </w:tcPr>
    </w:tblStylePr>
    <w:tblStylePr w:type="band1Vert">
      <w:tblPr/>
      <w:tcPr>
        <w:shd w:val="clear" w:color="auto" w:fill="CAE9C0" w:themeFill="accent5" w:themeFillTint="66"/>
      </w:tcPr>
    </w:tblStylePr>
    <w:tblStylePr w:type="band1Horz">
      <w:tblPr/>
      <w:tcPr>
        <w:shd w:val="clear" w:color="auto" w:fill="BDE4B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7CCA62" w:themeColor="accent5"/>
        <w:left w:val="single" w:sz="4" w:space="0" w:color="A5C249" w:themeColor="accent6"/>
        <w:bottom w:val="single" w:sz="4" w:space="0" w:color="A5C249" w:themeColor="accent6"/>
        <w:right w:val="single" w:sz="4" w:space="0" w:color="A5C249" w:themeColor="accent6"/>
        <w:insideH w:val="single" w:sz="4" w:space="0" w:color="FFFFFF" w:themeColor="background1"/>
        <w:insideV w:val="single" w:sz="4" w:space="0" w:color="FFFFFF" w:themeColor="background1"/>
      </w:tblBorders>
    </w:tblPr>
    <w:tcPr>
      <w:shd w:val="clear" w:color="auto" w:fill="F6F9ED" w:themeFill="accent6" w:themeFillTint="19"/>
    </w:tcPr>
    <w:tblStylePr w:type="firstRow">
      <w:rPr>
        <w:b/>
        <w:bCs/>
      </w:rPr>
      <w:tblPr/>
      <w:tcPr>
        <w:tcBorders>
          <w:top w:val="nil"/>
          <w:left w:val="nil"/>
          <w:bottom w:val="single" w:sz="24" w:space="0" w:color="7CCA6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728" w:themeFill="accent6" w:themeFillShade="99"/>
      </w:tcPr>
    </w:tblStylePr>
    <w:tblStylePr w:type="firstCol">
      <w:rPr>
        <w:color w:val="FFFFFF" w:themeColor="background1"/>
      </w:rPr>
      <w:tblPr/>
      <w:tcPr>
        <w:tcBorders>
          <w:top w:val="nil"/>
          <w:left w:val="nil"/>
          <w:bottom w:val="nil"/>
          <w:right w:val="nil"/>
          <w:insideH w:val="single" w:sz="4" w:space="0" w:color="647728" w:themeColor="accent6" w:themeShade="99"/>
          <w:insideV w:val="nil"/>
        </w:tcBorders>
        <w:shd w:val="clear" w:color="auto" w:fill="64772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7728" w:themeFill="accent6" w:themeFillShade="99"/>
      </w:tcPr>
    </w:tblStylePr>
    <w:tblStylePr w:type="band1Vert">
      <w:tblPr/>
      <w:tcPr>
        <w:shd w:val="clear" w:color="auto" w:fill="DAE6B6" w:themeFill="accent6" w:themeFillTint="66"/>
      </w:tcPr>
    </w:tblStylePr>
    <w:tblStylePr w:type="band1Horz">
      <w:tblPr/>
      <w:tcPr>
        <w:shd w:val="clear" w:color="auto" w:fill="D1E0A4"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7DAD" w:themeFill="accent2" w:themeFillShade="CC"/>
      </w:tcPr>
    </w:tblStylePr>
    <w:tblStylePr w:type="lastRow">
      <w:rPr>
        <w:b/>
        <w:bCs/>
        <w:color w:val="007D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3F0FD" w:themeFill="accent1" w:themeFillTint="19"/>
    </w:tcPr>
    <w:tblStylePr w:type="firstRow">
      <w:rPr>
        <w:b/>
        <w:bCs/>
        <w:color w:val="FFFFFF" w:themeColor="background1"/>
      </w:rPr>
      <w:tblPr/>
      <w:tcPr>
        <w:tcBorders>
          <w:bottom w:val="single" w:sz="12" w:space="0" w:color="FFFFFF" w:themeColor="background1"/>
        </w:tcBorders>
        <w:shd w:val="clear" w:color="auto" w:fill="007DAD" w:themeFill="accent2" w:themeFillShade="CC"/>
      </w:tcPr>
    </w:tblStylePr>
    <w:tblStylePr w:type="lastRow">
      <w:rPr>
        <w:b/>
        <w:bCs/>
        <w:color w:val="007D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DBF9" w:themeFill="accent1" w:themeFillTint="3F"/>
      </w:tcPr>
    </w:tblStylePr>
    <w:tblStylePr w:type="band1Horz">
      <w:tblPr/>
      <w:tcPr>
        <w:shd w:val="clear" w:color="auto" w:fill="C7E2FA"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E2F6FF" w:themeFill="accent2" w:themeFillTint="19"/>
    </w:tcPr>
    <w:tblStylePr w:type="firstRow">
      <w:rPr>
        <w:b/>
        <w:bCs/>
        <w:color w:val="FFFFFF" w:themeColor="background1"/>
      </w:rPr>
      <w:tblPr/>
      <w:tcPr>
        <w:tcBorders>
          <w:bottom w:val="single" w:sz="12" w:space="0" w:color="FFFFFF" w:themeColor="background1"/>
        </w:tcBorders>
        <w:shd w:val="clear" w:color="auto" w:fill="007DAD" w:themeFill="accent2" w:themeFillShade="CC"/>
      </w:tcPr>
    </w:tblStylePr>
    <w:tblStylePr w:type="lastRow">
      <w:rPr>
        <w:b/>
        <w:bCs/>
        <w:color w:val="007D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EAFF" w:themeFill="accent2" w:themeFillTint="3F"/>
      </w:tcPr>
    </w:tblStylePr>
    <w:tblStylePr w:type="band1Horz">
      <w:tblPr/>
      <w:tcPr>
        <w:shd w:val="clear" w:color="auto" w:fill="C4EEFF"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E4FCFD" w:themeFill="accent3" w:themeFillTint="19"/>
    </w:tcPr>
    <w:tblStylePr w:type="firstRow">
      <w:rPr>
        <w:b/>
        <w:bCs/>
        <w:color w:val="FFFFFF" w:themeColor="background1"/>
      </w:rPr>
      <w:tblPr/>
      <w:tcPr>
        <w:tcBorders>
          <w:bottom w:val="single" w:sz="12" w:space="0" w:color="FFFFFF" w:themeColor="background1"/>
        </w:tcBorders>
        <w:shd w:val="clear" w:color="auto" w:fill="0CA57B" w:themeFill="accent4" w:themeFillShade="CC"/>
      </w:tcPr>
    </w:tblStylePr>
    <w:tblStylePr w:type="lastRow">
      <w:rPr>
        <w:b/>
        <w:bCs/>
        <w:color w:val="0CA57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F8FB" w:themeFill="accent3" w:themeFillTint="3F"/>
      </w:tcPr>
    </w:tblStylePr>
    <w:tblStylePr w:type="band1Horz">
      <w:tblPr/>
      <w:tcPr>
        <w:shd w:val="clear" w:color="auto" w:fill="C9F9FC"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E4FDF6" w:themeFill="accent4" w:themeFillTint="19"/>
    </w:tcPr>
    <w:tblStylePr w:type="firstRow">
      <w:rPr>
        <w:b/>
        <w:bCs/>
        <w:color w:val="FFFFFF" w:themeColor="background1"/>
      </w:rPr>
      <w:tblPr/>
      <w:tcPr>
        <w:tcBorders>
          <w:bottom w:val="single" w:sz="12" w:space="0" w:color="FFFFFF" w:themeColor="background1"/>
        </w:tcBorders>
        <w:shd w:val="clear" w:color="auto" w:fill="08A5AD" w:themeFill="accent3" w:themeFillShade="CC"/>
      </w:tcPr>
    </w:tblStylePr>
    <w:tblStylePr w:type="lastRow">
      <w:rPr>
        <w:b/>
        <w:bCs/>
        <w:color w:val="08A5AD"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FAE9" w:themeFill="accent4" w:themeFillTint="3F"/>
      </w:tcPr>
    </w:tblStylePr>
    <w:tblStylePr w:type="band1Horz">
      <w:tblPr/>
      <w:tcPr>
        <w:shd w:val="clear" w:color="auto" w:fill="C9FBED"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F2F9EF" w:themeFill="accent5" w:themeFillTint="19"/>
    </w:tcPr>
    <w:tblStylePr w:type="firstRow">
      <w:rPr>
        <w:b/>
        <w:bCs/>
        <w:color w:val="FFFFFF" w:themeColor="background1"/>
      </w:rPr>
      <w:tblPr/>
      <w:tcPr>
        <w:tcBorders>
          <w:bottom w:val="single" w:sz="12" w:space="0" w:color="FFFFFF" w:themeColor="background1"/>
        </w:tcBorders>
        <w:shd w:val="clear" w:color="auto" w:fill="859F35" w:themeFill="accent6" w:themeFillShade="CC"/>
      </w:tcPr>
    </w:tblStylePr>
    <w:tblStylePr w:type="lastRow">
      <w:rPr>
        <w:b/>
        <w:bCs/>
        <w:color w:val="859F3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F2D8" w:themeFill="accent5" w:themeFillTint="3F"/>
      </w:tcPr>
    </w:tblStylePr>
    <w:tblStylePr w:type="band1Horz">
      <w:tblPr/>
      <w:tcPr>
        <w:shd w:val="clear" w:color="auto" w:fill="E4F4DF"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6F9ED" w:themeFill="accent6" w:themeFillTint="19"/>
    </w:tcPr>
    <w:tblStylePr w:type="firstRow">
      <w:rPr>
        <w:b/>
        <w:bCs/>
        <w:color w:val="FFFFFF" w:themeColor="background1"/>
      </w:rPr>
      <w:tblPr/>
      <w:tcPr>
        <w:tcBorders>
          <w:bottom w:val="single" w:sz="12" w:space="0" w:color="FFFFFF" w:themeColor="background1"/>
        </w:tcBorders>
        <w:shd w:val="clear" w:color="auto" w:fill="59B33C" w:themeFill="accent5" w:themeFillShade="CC"/>
      </w:tcPr>
    </w:tblStylePr>
    <w:tblStylePr w:type="lastRow">
      <w:rPr>
        <w:b/>
        <w:bCs/>
        <w:color w:val="59B3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F0D1" w:themeFill="accent6" w:themeFillTint="3F"/>
      </w:tcPr>
    </w:tblStylePr>
    <w:tblStylePr w:type="band1Horz">
      <w:tblPr/>
      <w:tcPr>
        <w:shd w:val="clear" w:color="auto" w:fill="ECF2DA"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7E2FA" w:themeFill="accent1" w:themeFillTint="33"/>
    </w:tcPr>
    <w:tblStylePr w:type="firstRow">
      <w:rPr>
        <w:b/>
        <w:bCs/>
      </w:rPr>
      <w:tblPr/>
      <w:tcPr>
        <w:shd w:val="clear" w:color="auto" w:fill="90C5F6" w:themeFill="accent1" w:themeFillTint="66"/>
      </w:tcPr>
    </w:tblStylePr>
    <w:tblStylePr w:type="lastRow">
      <w:rPr>
        <w:b/>
        <w:bCs/>
        <w:color w:val="000000" w:themeColor="text1"/>
      </w:rPr>
      <w:tblPr/>
      <w:tcPr>
        <w:shd w:val="clear" w:color="auto" w:fill="90C5F6" w:themeFill="accent1" w:themeFillTint="66"/>
      </w:tcPr>
    </w:tblStylePr>
    <w:tblStylePr w:type="firstCol">
      <w:rPr>
        <w:color w:val="FFFFFF" w:themeColor="background1"/>
      </w:rPr>
      <w:tblPr/>
      <w:tcPr>
        <w:shd w:val="clear" w:color="auto" w:fill="0B5294" w:themeFill="accent1" w:themeFillShade="BF"/>
      </w:tcPr>
    </w:tblStylePr>
    <w:tblStylePr w:type="lastCol">
      <w:rPr>
        <w:color w:val="FFFFFF" w:themeColor="background1"/>
      </w:rPr>
      <w:tblPr/>
      <w:tcPr>
        <w:shd w:val="clear" w:color="auto" w:fill="0B5294" w:themeFill="accent1" w:themeFillShade="BF"/>
      </w:tcPr>
    </w:tblStylePr>
    <w:tblStylePr w:type="band1Vert">
      <w:tblPr/>
      <w:tcPr>
        <w:shd w:val="clear" w:color="auto" w:fill="75B7F4" w:themeFill="accent1" w:themeFillTint="7F"/>
      </w:tcPr>
    </w:tblStylePr>
    <w:tblStylePr w:type="band1Horz">
      <w:tblPr/>
      <w:tcPr>
        <w:shd w:val="clear" w:color="auto" w:fill="75B7F4"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4EEFF" w:themeFill="accent2" w:themeFillTint="33"/>
    </w:tcPr>
    <w:tblStylePr w:type="firstRow">
      <w:rPr>
        <w:b/>
        <w:bCs/>
      </w:rPr>
      <w:tblPr/>
      <w:tcPr>
        <w:shd w:val="clear" w:color="auto" w:fill="89DEFF" w:themeFill="accent2" w:themeFillTint="66"/>
      </w:tcPr>
    </w:tblStylePr>
    <w:tblStylePr w:type="lastRow">
      <w:rPr>
        <w:b/>
        <w:bCs/>
        <w:color w:val="000000" w:themeColor="text1"/>
      </w:rPr>
      <w:tblPr/>
      <w:tcPr>
        <w:shd w:val="clear" w:color="auto" w:fill="89DEFF" w:themeFill="accent2" w:themeFillTint="66"/>
      </w:tcPr>
    </w:tblStylePr>
    <w:tblStylePr w:type="firstCol">
      <w:rPr>
        <w:color w:val="FFFFFF" w:themeColor="background1"/>
      </w:rPr>
      <w:tblPr/>
      <w:tcPr>
        <w:shd w:val="clear" w:color="auto" w:fill="0075A2" w:themeFill="accent2" w:themeFillShade="BF"/>
      </w:tcPr>
    </w:tblStylePr>
    <w:tblStylePr w:type="lastCol">
      <w:rPr>
        <w:color w:val="FFFFFF" w:themeColor="background1"/>
      </w:rPr>
      <w:tblPr/>
      <w:tcPr>
        <w:shd w:val="clear" w:color="auto" w:fill="0075A2" w:themeFill="accent2" w:themeFillShade="BF"/>
      </w:tcPr>
    </w:tblStylePr>
    <w:tblStylePr w:type="band1Vert">
      <w:tblPr/>
      <w:tcPr>
        <w:shd w:val="clear" w:color="auto" w:fill="6DD6FF" w:themeFill="accent2" w:themeFillTint="7F"/>
      </w:tcPr>
    </w:tblStylePr>
    <w:tblStylePr w:type="band1Horz">
      <w:tblPr/>
      <w:tcPr>
        <w:shd w:val="clear" w:color="auto" w:fill="6DD6FF"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9F9FC" w:themeFill="accent3" w:themeFillTint="33"/>
    </w:tcPr>
    <w:tblStylePr w:type="firstRow">
      <w:rPr>
        <w:b/>
        <w:bCs/>
      </w:rPr>
      <w:tblPr/>
      <w:tcPr>
        <w:shd w:val="clear" w:color="auto" w:fill="93F4F9" w:themeFill="accent3" w:themeFillTint="66"/>
      </w:tcPr>
    </w:tblStylePr>
    <w:tblStylePr w:type="lastRow">
      <w:rPr>
        <w:b/>
        <w:bCs/>
        <w:color w:val="000000" w:themeColor="text1"/>
      </w:rPr>
      <w:tblPr/>
      <w:tcPr>
        <w:shd w:val="clear" w:color="auto" w:fill="93F4F9" w:themeFill="accent3" w:themeFillTint="66"/>
      </w:tcPr>
    </w:tblStylePr>
    <w:tblStylePr w:type="firstCol">
      <w:rPr>
        <w:color w:val="FFFFFF" w:themeColor="background1"/>
      </w:rPr>
      <w:tblPr/>
      <w:tcPr>
        <w:shd w:val="clear" w:color="auto" w:fill="089BA2" w:themeFill="accent3" w:themeFillShade="BF"/>
      </w:tcPr>
    </w:tblStylePr>
    <w:tblStylePr w:type="lastCol">
      <w:rPr>
        <w:color w:val="FFFFFF" w:themeColor="background1"/>
      </w:rPr>
      <w:tblPr/>
      <w:tcPr>
        <w:shd w:val="clear" w:color="auto" w:fill="089BA2" w:themeFill="accent3" w:themeFillShade="BF"/>
      </w:tcPr>
    </w:tblStylePr>
    <w:tblStylePr w:type="band1Vert">
      <w:tblPr/>
      <w:tcPr>
        <w:shd w:val="clear" w:color="auto" w:fill="79F2F8" w:themeFill="accent3" w:themeFillTint="7F"/>
      </w:tcPr>
    </w:tblStylePr>
    <w:tblStylePr w:type="band1Horz">
      <w:tblPr/>
      <w:tcPr>
        <w:shd w:val="clear" w:color="auto" w:fill="79F2F8"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9FBED" w:themeFill="accent4" w:themeFillTint="33"/>
    </w:tcPr>
    <w:tblStylePr w:type="firstRow">
      <w:rPr>
        <w:b/>
        <w:bCs/>
      </w:rPr>
      <w:tblPr/>
      <w:tcPr>
        <w:shd w:val="clear" w:color="auto" w:fill="94F6DB" w:themeFill="accent4" w:themeFillTint="66"/>
      </w:tcPr>
    </w:tblStylePr>
    <w:tblStylePr w:type="lastRow">
      <w:rPr>
        <w:b/>
        <w:bCs/>
        <w:color w:val="000000" w:themeColor="text1"/>
      </w:rPr>
      <w:tblPr/>
      <w:tcPr>
        <w:shd w:val="clear" w:color="auto" w:fill="94F6DB" w:themeFill="accent4" w:themeFillTint="66"/>
      </w:tcPr>
    </w:tblStylePr>
    <w:tblStylePr w:type="firstCol">
      <w:rPr>
        <w:color w:val="FFFFFF" w:themeColor="background1"/>
      </w:rPr>
      <w:tblPr/>
      <w:tcPr>
        <w:shd w:val="clear" w:color="auto" w:fill="0C9A73" w:themeFill="accent4" w:themeFillShade="BF"/>
      </w:tcPr>
    </w:tblStylePr>
    <w:tblStylePr w:type="lastCol">
      <w:rPr>
        <w:color w:val="FFFFFF" w:themeColor="background1"/>
      </w:rPr>
      <w:tblPr/>
      <w:tcPr>
        <w:shd w:val="clear" w:color="auto" w:fill="0C9A73" w:themeFill="accent4" w:themeFillShade="BF"/>
      </w:tcPr>
    </w:tblStylePr>
    <w:tblStylePr w:type="band1Vert">
      <w:tblPr/>
      <w:tcPr>
        <w:shd w:val="clear" w:color="auto" w:fill="7AF4D3" w:themeFill="accent4" w:themeFillTint="7F"/>
      </w:tcPr>
    </w:tblStylePr>
    <w:tblStylePr w:type="band1Horz">
      <w:tblPr/>
      <w:tcPr>
        <w:shd w:val="clear" w:color="auto" w:fill="7AF4D3"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4F4DF" w:themeFill="accent5" w:themeFillTint="33"/>
    </w:tcPr>
    <w:tblStylePr w:type="firstRow">
      <w:rPr>
        <w:b/>
        <w:bCs/>
      </w:rPr>
      <w:tblPr/>
      <w:tcPr>
        <w:shd w:val="clear" w:color="auto" w:fill="CAE9C0" w:themeFill="accent5" w:themeFillTint="66"/>
      </w:tcPr>
    </w:tblStylePr>
    <w:tblStylePr w:type="lastRow">
      <w:rPr>
        <w:b/>
        <w:bCs/>
        <w:color w:val="000000" w:themeColor="text1"/>
      </w:rPr>
      <w:tblPr/>
      <w:tcPr>
        <w:shd w:val="clear" w:color="auto" w:fill="CAE9C0" w:themeFill="accent5" w:themeFillTint="66"/>
      </w:tcPr>
    </w:tblStylePr>
    <w:tblStylePr w:type="firstCol">
      <w:rPr>
        <w:color w:val="FFFFFF" w:themeColor="background1"/>
      </w:rPr>
      <w:tblPr/>
      <w:tcPr>
        <w:shd w:val="clear" w:color="auto" w:fill="54A738" w:themeFill="accent5" w:themeFillShade="BF"/>
      </w:tcPr>
    </w:tblStylePr>
    <w:tblStylePr w:type="lastCol">
      <w:rPr>
        <w:color w:val="FFFFFF" w:themeColor="background1"/>
      </w:rPr>
      <w:tblPr/>
      <w:tcPr>
        <w:shd w:val="clear" w:color="auto" w:fill="54A738" w:themeFill="accent5" w:themeFillShade="BF"/>
      </w:tcPr>
    </w:tblStylePr>
    <w:tblStylePr w:type="band1Vert">
      <w:tblPr/>
      <w:tcPr>
        <w:shd w:val="clear" w:color="auto" w:fill="BDE4B0" w:themeFill="accent5" w:themeFillTint="7F"/>
      </w:tcPr>
    </w:tblStylePr>
    <w:tblStylePr w:type="band1Horz">
      <w:tblPr/>
      <w:tcPr>
        <w:shd w:val="clear" w:color="auto" w:fill="BDE4B0"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CF2DA" w:themeFill="accent6" w:themeFillTint="33"/>
    </w:tcPr>
    <w:tblStylePr w:type="firstRow">
      <w:rPr>
        <w:b/>
        <w:bCs/>
      </w:rPr>
      <w:tblPr/>
      <w:tcPr>
        <w:shd w:val="clear" w:color="auto" w:fill="DAE6B6" w:themeFill="accent6" w:themeFillTint="66"/>
      </w:tcPr>
    </w:tblStylePr>
    <w:tblStylePr w:type="lastRow">
      <w:rPr>
        <w:b/>
        <w:bCs/>
        <w:color w:val="000000" w:themeColor="text1"/>
      </w:rPr>
      <w:tblPr/>
      <w:tcPr>
        <w:shd w:val="clear" w:color="auto" w:fill="DAE6B6" w:themeFill="accent6" w:themeFillTint="66"/>
      </w:tcPr>
    </w:tblStylePr>
    <w:tblStylePr w:type="firstCol">
      <w:rPr>
        <w:color w:val="FFFFFF" w:themeColor="background1"/>
      </w:rPr>
      <w:tblPr/>
      <w:tcPr>
        <w:shd w:val="clear" w:color="auto" w:fill="7D9532" w:themeFill="accent6" w:themeFillShade="BF"/>
      </w:tcPr>
    </w:tblStylePr>
    <w:tblStylePr w:type="lastCol">
      <w:rPr>
        <w:color w:val="FFFFFF" w:themeColor="background1"/>
      </w:rPr>
      <w:tblPr/>
      <w:tcPr>
        <w:shd w:val="clear" w:color="auto" w:fill="7D9532" w:themeFill="accent6" w:themeFillShade="BF"/>
      </w:tcPr>
    </w:tblStylePr>
    <w:tblStylePr w:type="band1Vert">
      <w:tblPr/>
      <w:tcPr>
        <w:shd w:val="clear" w:color="auto" w:fill="D1E0A4" w:themeFill="accent6" w:themeFillTint="7F"/>
      </w:tcPr>
    </w:tblStylePr>
    <w:tblStylePr w:type="band1Horz">
      <w:tblPr/>
      <w:tcPr>
        <w:shd w:val="clear" w:color="auto" w:fill="D1E0A4" w:themeFill="accent6" w:themeFillTint="7F"/>
      </w:tcPr>
    </w:tblStylePr>
  </w:style>
  <w:style w:type="character" w:customStyle="1" w:styleId="NoSpacingChar">
    <w:name w:val="No Spacing Char"/>
    <w:basedOn w:val="DefaultParagraphFont"/>
    <w:link w:val="NoSpacing"/>
    <w:uiPriority w:val="1"/>
    <w:rsid w:val="00B31111"/>
  </w:style>
  <w:style w:type="paragraph" w:customStyle="1" w:styleId="PersonalName">
    <w:name w:val="Personal Name"/>
    <w:basedOn w:val="Title"/>
    <w:rsid w:val="003413B9"/>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2013 - 2022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2854</Words>
  <Characters>16271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Sandra Taylor</cp:lastModifiedBy>
  <cp:revision>2</cp:revision>
  <cp:lastPrinted>2026-05-17T23:37:00Z</cp:lastPrinted>
  <dcterms:created xsi:type="dcterms:W3CDTF">2026-05-22T07:50:00Z</dcterms:created>
  <dcterms:modified xsi:type="dcterms:W3CDTF">2026-05-22T07:50:00Z</dcterms:modified>
  <cp:category/>
</cp:coreProperties>
</file>