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54 dhe nenit 59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shfrytëzimin e pushimit mjekësor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e ka shfrytëzuar pushimin mjekësor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Gjendja e pushimit për vitin {{leave_year}}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Kuota vjetore (ditë pune)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{{leave_quota_days}}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të shfrytëzuara gjithsej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{{leave_used_days}}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të mbetura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{{leave_remaining_days}}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Pushimi mjekësor i rregullt në rast sëmundjeje realizohet deri në njëzet (20) ditë pune brenda një (1) viti kalendarik, me kompensim prej 100% të pagës (neni 59.1 i Ligjit të Punës Nr. 03/L-212).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Pushimi mjekësor si pasojë e lëndimit në punë ose sëmundjes profesionale kompensohet me 70% të pagës, për dhjetë (10) deri në nëntëdhjetë (90) ditë pune, dhe nuk e konsumon kuotën 20-ditore (neni 59.3–59.4).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Mungesa arsyetohet me certifikatë mjekësore, të cilën punëdhënësi mund ta kërkojë (neni 54). Pagesa e kompensimit të pushimit mjekësor bie mbi punëdhënësin (neni 59.5).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mjekësor</dc:title>
  <dc:creator>PagaPRO</dc:creator>
  <cp:lastModifiedBy>Un-named</cp:lastModifiedBy>
  <cp:revision>1</cp:revision>
  <dcterms:created xsi:type="dcterms:W3CDTF">2026-07-09T16:32:55.524Z</dcterms:created>
  <dcterms:modified xsi:type="dcterms:W3CDTF">2026-07-09T16:32:55.525Z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