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{{company_name}}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{{company_address}}</w:t>
      </w:r>
    </w:p>
    <w:p>
      <w:pPr>
        <w:spacing w:after="12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NRB: {{company_nrb}}   ·   NUI: {{company_nui}}</w:t>
      </w:r>
    </w:p>
    <w:p>
      <w:pPr>
        <w:pBdr>
          <w:bottom w:val="single" w:color="999999" w:sz="6" w:space="1"/>
        </w:pBdr>
        <w:spacing w:after="160"/>
      </w:pP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Nr. i protokollit: ______/______</w:t>
      </w:r>
    </w:p>
    <w:p>
      <w:pPr>
        <w:spacing w:after="200"/>
        <w:jc w:val="right"/>
      </w:pPr>
      <w:r>
        <w:rPr>
          <w:rFonts w:ascii="Calibri" w:cs="Calibri" w:eastAsia="Calibri" w:hAnsi="Calibri"/>
          <w:sz w:val="20"/>
          <w:szCs w:val="20"/>
        </w:rPr>
        <w:t xml:space="preserve">{{document_place}}, {{document_date}}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Në bazë të nenit 39 të Ligjit të Punës Nr. 03/L-212, si dhe Aktit të Brendshëm dhe Kontratës së Punës, punëdhënësi lëshon këtë:</w:t>
      </w:r>
    </w:p>
    <w:p>
      <w:pPr>
        <w:pStyle w:val="Heading1"/>
        <w:spacing w:after="4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V Ë R T E T I M</w:t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për mungesë të paguar nga puna (neni 39)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Vërtetohet se i punësuari/e punësuara {{employee_name}} {{employee_last_name}}, me numër personal {{employee_personal_number}}, në pozitën {{employee_position}}, në njësinë/departamentin {{employee_department}}, ka shfrytëzuar mungesë të paguar nga puna ({{leave_subtype_label}}) sipas të dhënave të mëposhtme: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Të dhënat e pushimit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772"/>
      </w:tblGrid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Lloji i pushimit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{{leave_type_label}}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Nën-lloji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{{leave_subtype_label}}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Viti kalendarik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{{leave_year}}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e fillimit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{{leave_start_date}}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e mbarimit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{{leave_end_date}}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Ditë pune të shfrytëzuara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{{leave_working_days}}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Ditë kalendarike gjithsej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{{leave_total_days}}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Statusi i kërkesës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{{leave_status_label}}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e miratimit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{{leave_decision_date}}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Shënim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{{leave_note}}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Shënime ligjore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I punësuari ka të drejtë të mungojë nga puna me kompensim të pagës, sipas nenit 39 të Ligjit të Punës: pesë (5) ditë në rast martese; pesë (5) ditë në rast vdekjeje të anëtarit të ngushtë të familjes; tri (3) ditë për lindje fëmije; një (1) ditë për çdo rast të dhënies vullnetare të gjakut.</w:t>
      </w:r>
    </w:p>
    <w:p>
      <w:pPr>
        <w:spacing w:after="320"/>
      </w:pPr>
      <w:r>
        <w:rPr>
          <w:rFonts w:ascii="Calibri" w:cs="Calibri" w:eastAsia="Calibri" w:hAnsi="Calibri"/>
          <w:sz w:val="21"/>
          <w:szCs w:val="21"/>
        </w:rPr>
        <w:t xml:space="preserve">Raste të tjera mund të përcaktohen me Kontratën Kolektive, Aktin e Brendshëm dhe Kontratën e Punës (neni 39.1.4).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Punëdhënësi / Personi i autorizuar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{{authorized_person_name}}</w:t>
      </w:r>
    </w:p>
    <w:p>
      <w:pPr>
        <w:spacing w:after="32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{{authorized_person_position}}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I punësuari / E punësuara</w:t>
      </w:r>
    </w:p>
    <w:p>
      <w:pPr>
        <w:spacing w:after="2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{{employee_name}} {{employee_last_name}}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Vërtetim për mungesë të paguar nga puna</dc:title>
  <dc:creator>PagaPRO</dc:creator>
  <cp:lastModifiedBy>Un-named</cp:lastModifiedBy>
  <cp:revision>1</cp:revision>
  <dcterms:created xsi:type="dcterms:W3CDTF">2026-07-09T16:32:55.570Z</dcterms:created>
  <dcterms:modified xsi:type="dcterms:W3CDTF">2026-07-09T16:32:55.570Z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