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48626d709bbfc1d4fddbe451505c1c0ab71d6ef"/>
    <w:p>
      <w:pPr>
        <w:pStyle w:val="Heading1"/>
      </w:pPr>
      <w:r>
        <w:t xml:space="preserve">KONTRATË KORNIZË PËR OFRIMIN E SHËRBIMIT SOFTUERIK</w:t>
      </w:r>
      <w:r>
        <w:t xml:space="preserve"> </w:t>
      </w:r>
      <w:r>
        <w:t xml:space="preserve">“</w:t>
      </w:r>
      <w:r>
        <w:t xml:space="preserve">PAGA PRO</w:t>
      </w:r>
      <w:r>
        <w:t xml:space="preserve">”</w:t>
      </w:r>
    </w:p>
    <w:bookmarkStart w:id="20" w:name="X1d7e05b2acac8e90079fd6f4d51daa588ed9056"/>
    <w:p>
      <w:pPr>
        <w:pStyle w:val="Heading3"/>
      </w:pPr>
      <w:r>
        <w:t xml:space="preserve">Licencë Përdorimi, Abonim, Konfidencialitet dhe Përpunim i të Dhënave Personale</w:t>
      </w:r>
    </w:p>
    <w:p>
      <w:pPr>
        <w:pStyle w:val="FirstParagraph"/>
      </w:pPr>
      <w:r>
        <w:rPr>
          <w:bCs/>
          <w:b/>
        </w:rPr>
        <w:t xml:space="preserve">Numri i kontratës:</w:t>
      </w:r>
      <w:r>
        <w:t xml:space="preserve"> </w:t>
      </w:r>
      <w:r>
        <w:t xml:space="preserve">__________________</w:t>
      </w:r>
      <w:r>
        <w:t xml:space="preserve"> </w:t>
      </w:r>
      <w:r>
        <w:rPr>
          <w:bCs/>
          <w:b/>
        </w:rPr>
        <w:t xml:space="preserve">Vendi i lidhjes:</w:t>
      </w:r>
      <w:r>
        <w:t xml:space="preserve"> </w:t>
      </w:r>
      <w:r>
        <w:t xml:space="preserve">Prishtinë, Republika e Kosovës</w:t>
      </w:r>
      <w:r>
        <w:t xml:space="preserve"> </w:t>
      </w:r>
      <w:r>
        <w:rPr>
          <w:bCs/>
          <w:b/>
        </w:rPr>
        <w:t xml:space="preserve">Data e lidhjes:</w:t>
      </w:r>
      <w:r>
        <w:t xml:space="preserve"> </w:t>
      </w:r>
      <w:r>
        <w:t xml:space="preserve">____ / ____ / 20____</w:t>
      </w:r>
    </w:p>
    <w:p>
      <w:r>
        <w:pict>
          <v:rect style="width:0;height:1.5pt" o:hralign="center" o:hrstd="t" o:hr="t"/>
        </w:pict>
      </w:r>
    </w:p>
    <w:bookmarkEnd w:id="20"/>
    <w:bookmarkStart w:id="21" w:name="përmbajtja"/>
    <w:p>
      <w:pPr>
        <w:pStyle w:val="Heading2"/>
      </w:pPr>
      <w:r>
        <w:t xml:space="preserve">PËRMBAJTJA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Kreu</w:t>
            </w:r>
          </w:p>
        </w:tc>
        <w:tc>
          <w:tcPr/>
          <w:p>
            <w:pPr>
              <w:pStyle w:val="Compact"/>
              <w:jc w:val="left"/>
            </w:pPr>
            <w:r>
              <w:t xml:space="preserve">Përmbajtja</w:t>
            </w:r>
          </w:p>
        </w:tc>
      </w:tr>
      <w:tr>
        <w:tc>
          <w:tcPr/>
          <w:p>
            <w:pPr>
              <w:pStyle w:val="Compact"/>
              <w:jc w:val="left"/>
            </w:pPr>
            <w:r>
              <w:rPr>
                <w:bCs/>
                <w:b/>
              </w:rPr>
              <w:t xml:space="preserve">Palët &amp; Preambula</w:t>
            </w:r>
          </w:p>
        </w:tc>
        <w:tc>
          <w:tcPr/>
          <w:p>
            <w:pPr>
              <w:pStyle w:val="Compact"/>
              <w:jc w:val="left"/>
            </w:pPr>
            <w:r>
              <w:t xml:space="preserve">Identifikimi i Palëve, baza ligjore</w:t>
            </w:r>
          </w:p>
        </w:tc>
      </w:tr>
      <w:tr>
        <w:tc>
          <w:tcPr/>
          <w:p>
            <w:pPr>
              <w:pStyle w:val="Compact"/>
              <w:jc w:val="left"/>
            </w:pPr>
            <w:r>
              <w:rPr>
                <w:bCs/>
                <w:b/>
              </w:rPr>
              <w:t xml:space="preserve">Kreu I</w:t>
            </w:r>
          </w:p>
        </w:tc>
        <w:tc>
          <w:tcPr/>
          <w:p>
            <w:pPr>
              <w:pStyle w:val="Compact"/>
              <w:jc w:val="left"/>
            </w:pPr>
            <w:r>
              <w:t xml:space="preserve">Dispozita themelore — Nenet 1–3 (përkufizimet, objekti, lidhja e kontratës)</w:t>
            </w:r>
          </w:p>
        </w:tc>
      </w:tr>
      <w:tr>
        <w:tc>
          <w:tcPr/>
          <w:p>
            <w:pPr>
              <w:pStyle w:val="Compact"/>
              <w:jc w:val="left"/>
            </w:pPr>
            <w:r>
              <w:rPr>
                <w:bCs/>
                <w:b/>
              </w:rPr>
              <w:t xml:space="preserve">Kreu II</w:t>
            </w:r>
          </w:p>
        </w:tc>
        <w:tc>
          <w:tcPr/>
          <w:p>
            <w:pPr>
              <w:pStyle w:val="Compact"/>
              <w:jc w:val="left"/>
            </w:pPr>
            <w:r>
              <w:t xml:space="preserve">Licenca dhe përdorimi — Nenet 4–5</w:t>
            </w:r>
          </w:p>
        </w:tc>
      </w:tr>
      <w:tr>
        <w:tc>
          <w:tcPr/>
          <w:p>
            <w:pPr>
              <w:pStyle w:val="Compact"/>
              <w:jc w:val="left"/>
            </w:pPr>
            <w:r>
              <w:rPr>
                <w:bCs/>
                <w:b/>
              </w:rPr>
              <w:t xml:space="preserve">Kreu III</w:t>
            </w:r>
          </w:p>
        </w:tc>
        <w:tc>
          <w:tcPr/>
          <w:p>
            <w:pPr>
              <w:pStyle w:val="Compact"/>
              <w:jc w:val="left"/>
            </w:pPr>
            <w:r>
              <w:t xml:space="preserve">Detyrimet e Palëve dhe niveli i shërbimit — Nenet 6–9</w:t>
            </w:r>
          </w:p>
        </w:tc>
      </w:tr>
      <w:tr>
        <w:tc>
          <w:tcPr/>
          <w:p>
            <w:pPr>
              <w:pStyle w:val="Compact"/>
              <w:jc w:val="left"/>
            </w:pPr>
            <w:r>
              <w:rPr>
                <w:bCs/>
                <w:b/>
              </w:rPr>
              <w:t xml:space="preserve">Kreu IV</w:t>
            </w:r>
          </w:p>
        </w:tc>
        <w:tc>
          <w:tcPr/>
          <w:p>
            <w:pPr>
              <w:pStyle w:val="Compact"/>
              <w:jc w:val="left"/>
            </w:pPr>
            <w:r>
              <w:t xml:space="preserve">Kushtet financiare — Nenet 10–13 (abonimi, kamatëvonesa, rimbursimet)</w:t>
            </w:r>
          </w:p>
        </w:tc>
      </w:tr>
      <w:tr>
        <w:tc>
          <w:tcPr/>
          <w:p>
            <w:pPr>
              <w:pStyle w:val="Compact"/>
              <w:jc w:val="left"/>
            </w:pPr>
            <w:r>
              <w:rPr>
                <w:bCs/>
                <w:b/>
              </w:rPr>
              <w:t xml:space="preserve">Kreu V</w:t>
            </w:r>
          </w:p>
        </w:tc>
        <w:tc>
          <w:tcPr/>
          <w:p>
            <w:pPr>
              <w:pStyle w:val="Compact"/>
              <w:jc w:val="left"/>
            </w:pPr>
            <w:r>
              <w:rPr>
                <w:bCs/>
                <w:b/>
              </w:rPr>
              <w:t xml:space="preserve">Privatësia, mos-qasja dhe siguria — Nenet 14–18</w:t>
            </w:r>
          </w:p>
        </w:tc>
      </w:tr>
      <w:tr>
        <w:tc>
          <w:tcPr/>
          <w:p>
            <w:pPr>
              <w:pStyle w:val="Compact"/>
              <w:jc w:val="left"/>
            </w:pPr>
            <w:r>
              <w:rPr>
                <w:bCs/>
                <w:b/>
              </w:rPr>
              <w:t xml:space="preserve">Kreu VI</w:t>
            </w:r>
          </w:p>
        </w:tc>
        <w:tc>
          <w:tcPr/>
          <w:p>
            <w:pPr>
              <w:pStyle w:val="Compact"/>
              <w:jc w:val="left"/>
            </w:pPr>
            <w:r>
              <w:t xml:space="preserve">Pronësia intelektuale dhe të dhënat — Nenet 19–21</w:t>
            </w:r>
          </w:p>
        </w:tc>
      </w:tr>
      <w:tr>
        <w:tc>
          <w:tcPr/>
          <w:p>
            <w:pPr>
              <w:pStyle w:val="Compact"/>
              <w:jc w:val="left"/>
            </w:pPr>
            <w:r>
              <w:rPr>
                <w:bCs/>
                <w:b/>
              </w:rPr>
              <w:t xml:space="preserve">Kreu VII</w:t>
            </w:r>
          </w:p>
        </w:tc>
        <w:tc>
          <w:tcPr/>
          <w:p>
            <w:pPr>
              <w:pStyle w:val="Compact"/>
              <w:jc w:val="left"/>
            </w:pPr>
            <w:r>
              <w:t xml:space="preserve">Garancitë, përgjegjësia dhe rreziqet — Nenet 22–25</w:t>
            </w:r>
          </w:p>
        </w:tc>
      </w:tr>
      <w:tr>
        <w:tc>
          <w:tcPr/>
          <w:p>
            <w:pPr>
              <w:pStyle w:val="Compact"/>
              <w:jc w:val="left"/>
            </w:pPr>
            <w:r>
              <w:rPr>
                <w:bCs/>
                <w:b/>
              </w:rPr>
              <w:t xml:space="preserve">Kreu VIII</w:t>
            </w:r>
          </w:p>
        </w:tc>
        <w:tc>
          <w:tcPr/>
          <w:p>
            <w:pPr>
              <w:pStyle w:val="Compact"/>
              <w:jc w:val="left"/>
            </w:pPr>
            <w:r>
              <w:t xml:space="preserve">Kohëzgjatja, ndryshimet dhe zgjidhja e kontesteve — Nenet 26–32</w:t>
            </w:r>
          </w:p>
        </w:tc>
      </w:tr>
      <w:tr>
        <w:tc>
          <w:tcPr/>
          <w:p>
            <w:pPr>
              <w:pStyle w:val="Compact"/>
              <w:jc w:val="left"/>
            </w:pPr>
            <w:r>
              <w:rPr>
                <w:bCs/>
                <w:b/>
              </w:rPr>
              <w:t xml:space="preserve">Nënshkrimet</w:t>
            </w:r>
          </w:p>
        </w:tc>
        <w:tc>
          <w:tcPr/>
          <w:p>
            <w:pPr>
              <w:pStyle w:val="Compact"/>
              <w:jc w:val="left"/>
            </w:pPr>
            <w:r>
              <w:t xml:space="preserve">Blloqet e nënshkrimit të Palëve</w:t>
            </w:r>
          </w:p>
        </w:tc>
      </w:tr>
      <w:tr>
        <w:tc>
          <w:tcPr/>
          <w:p>
            <w:pPr>
              <w:pStyle w:val="Compact"/>
              <w:jc w:val="left"/>
            </w:pPr>
            <w:r>
              <w:rPr>
                <w:bCs/>
                <w:b/>
              </w:rPr>
              <w:t xml:space="preserve">Aneksi 1</w:t>
            </w:r>
          </w:p>
        </w:tc>
        <w:tc>
          <w:tcPr/>
          <w:p>
            <w:pPr>
              <w:pStyle w:val="Compact"/>
              <w:jc w:val="left"/>
            </w:pPr>
            <w:r>
              <w:t xml:space="preserve">Përshkrimi i shërbimit dhe kushtet e abonimit</w:t>
            </w:r>
          </w:p>
        </w:tc>
      </w:tr>
      <w:tr>
        <w:tc>
          <w:tcPr/>
          <w:p>
            <w:pPr>
              <w:pStyle w:val="Compact"/>
              <w:jc w:val="left"/>
            </w:pPr>
            <w:r>
              <w:rPr>
                <w:bCs/>
                <w:b/>
              </w:rPr>
              <w:t xml:space="preserve">Aneksi 2</w:t>
            </w:r>
          </w:p>
        </w:tc>
        <w:tc>
          <w:tcPr/>
          <w:p>
            <w:pPr>
              <w:pStyle w:val="Compact"/>
              <w:jc w:val="left"/>
            </w:pPr>
            <w:r>
              <w:t xml:space="preserve">Marrëveshje për Përpunimin e të Dhënave Personale (MPDh)</w:t>
            </w:r>
          </w:p>
        </w:tc>
      </w:tr>
      <w:tr>
        <w:tc>
          <w:tcPr/>
          <w:p>
            <w:pPr>
              <w:pStyle w:val="Compact"/>
              <w:jc w:val="left"/>
            </w:pPr>
            <w:r>
              <w:rPr>
                <w:bCs/>
                <w:b/>
              </w:rPr>
              <w:t xml:space="preserve">Aneksi 3</w:t>
            </w:r>
          </w:p>
        </w:tc>
        <w:tc>
          <w:tcPr/>
          <w:p>
            <w:pPr>
              <w:pStyle w:val="Compact"/>
              <w:jc w:val="left"/>
            </w:pPr>
            <w:r>
              <w:t xml:space="preserve">Masat teknike dhe organizative të sigurisë</w:t>
            </w:r>
          </w:p>
        </w:tc>
      </w:tr>
      <w:tr>
        <w:tc>
          <w:tcPr/>
          <w:p>
            <w:pPr>
              <w:pStyle w:val="Compact"/>
              <w:jc w:val="left"/>
            </w:pPr>
            <w:r>
              <w:rPr>
                <w:bCs/>
                <w:b/>
              </w:rPr>
              <w:t xml:space="preserve">Aneksi 4</w:t>
            </w:r>
          </w:p>
        </w:tc>
        <w:tc>
          <w:tcPr/>
          <w:p>
            <w:pPr>
              <w:pStyle w:val="Compact"/>
              <w:jc w:val="left"/>
            </w:pPr>
            <w:r>
              <w:t xml:space="preserve">Nën-përpunuesit dhe vendndodhja e të dhënave</w:t>
            </w:r>
          </w:p>
        </w:tc>
      </w:tr>
      <w:tr>
        <w:tc>
          <w:tcPr/>
          <w:p>
            <w:pPr>
              <w:pStyle w:val="Compact"/>
              <w:jc w:val="left"/>
            </w:pPr>
            <w:r>
              <w:rPr>
                <w:bCs/>
                <w:b/>
              </w:rPr>
              <w:t xml:space="preserve">Aneksi 5</w:t>
            </w:r>
          </w:p>
        </w:tc>
        <w:tc>
          <w:tcPr/>
          <w:p>
            <w:pPr>
              <w:pStyle w:val="Compact"/>
              <w:jc w:val="left"/>
            </w:pPr>
            <w:r>
              <w:t xml:space="preserve">Mbështetja teknike dhe niveli i shërbimit (SLA)</w:t>
            </w:r>
          </w:p>
        </w:tc>
      </w:tr>
    </w:tbl>
    <w:p>
      <w:r>
        <w:pict>
          <v:rect style="width:0;height:1.5pt" o:hralign="center" o:hrstd="t" o:hr="t"/>
        </w:pict>
      </w:r>
    </w:p>
    <w:bookmarkEnd w:id="21"/>
    <w:bookmarkStart w:id="22" w:name="palët-kontraktuese"/>
    <w:p>
      <w:pPr>
        <w:pStyle w:val="Heading2"/>
      </w:pPr>
      <w:r>
        <w:t xml:space="preserve">PALËT KONTRAKTUESE</w:t>
      </w:r>
    </w:p>
    <w:p>
      <w:pPr>
        <w:pStyle w:val="FirstParagraph"/>
      </w:pPr>
      <w:r>
        <w:rPr>
          <w:bCs/>
          <w:b/>
        </w:rPr>
        <w:t xml:space="preserve">1. OFRUESI I SHËRBIMIT (në tekstin e mëtejmë:</w:t>
      </w:r>
      <w:r>
        <w:rPr>
          <w:bCs/>
          <w:b/>
        </w:rPr>
        <w:t xml:space="preserve"> </w:t>
      </w:r>
      <w:r>
        <w:rPr>
          <w:bCs/>
          <w:b/>
        </w:rPr>
        <w:t xml:space="preserve">“</w:t>
      </w:r>
      <w:r>
        <w:rPr>
          <w:bCs/>
          <w:b/>
        </w:rPr>
        <w:t xml:space="preserve">Ofruesi</w:t>
      </w:r>
      <w:r>
        <w:rPr>
          <w:bCs/>
          <w:b/>
        </w:rPr>
        <w:t xml:space="preserve">”</w:t>
      </w:r>
      <w:r>
        <w:rPr>
          <w:bCs/>
          <w:b/>
        </w:rPr>
        <w:t xml:space="preserve"> </w:t>
      </w:r>
      <w:r>
        <w:rPr>
          <w:bCs/>
          <w:b/>
        </w:rPr>
        <w:t xml:space="preserve">ose</w:t>
      </w:r>
      <w:r>
        <w:rPr>
          <w:bCs/>
          <w:b/>
        </w:rPr>
        <w:t xml:space="preserve"> </w:t>
      </w:r>
      <w:r>
        <w:rPr>
          <w:bCs/>
          <w:b/>
        </w:rPr>
        <w:t xml:space="preserve">“</w:t>
      </w:r>
      <w:r>
        <w:rPr>
          <w:bCs/>
          <w:b/>
        </w:rPr>
        <w:t xml:space="preserve">Paga PRO</w:t>
      </w:r>
      <w:r>
        <w:rPr>
          <w:bCs/>
          <w:b/>
        </w:rPr>
        <w:t xml:space="preserve">”</w:t>
      </w:r>
      <w:r>
        <w:rPr>
          <w:bCs/>
          <w:b/>
        </w:rP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Emri zyrtar</w:t>
            </w:r>
          </w:p>
        </w:tc>
        <w:tc>
          <w:tcPr/>
          <w:p>
            <w:pPr>
              <w:pStyle w:val="Compact"/>
              <w:jc w:val="left"/>
            </w:pPr>
            <w:r>
              <w:t xml:space="preserve">________________________ SH.P.K.</w:t>
            </w:r>
          </w:p>
        </w:tc>
      </w:tr>
      <w:tr>
        <w:tc>
          <w:tcPr/>
          <w:p>
            <w:pPr>
              <w:pStyle w:val="Compact"/>
              <w:jc w:val="left"/>
            </w:pPr>
            <w:r>
              <w:t xml:space="preserve">Numri Unik Identifikues (NUI)</w:t>
            </w:r>
          </w:p>
        </w:tc>
        <w:tc>
          <w:tcPr/>
          <w:p>
            <w:pPr>
              <w:pStyle w:val="Compact"/>
              <w:jc w:val="left"/>
            </w:pPr>
            <w:r>
              <w:t xml:space="preserve">________________</w:t>
            </w:r>
          </w:p>
        </w:tc>
      </w:tr>
      <w:tr>
        <w:tc>
          <w:tcPr/>
          <w:p>
            <w:pPr>
              <w:pStyle w:val="Compact"/>
              <w:jc w:val="left"/>
            </w:pPr>
            <w:r>
              <w:t xml:space="preserve">Numri i TVSH-së (nëse aplikohet)</w:t>
            </w:r>
          </w:p>
        </w:tc>
        <w:tc>
          <w:tcPr/>
          <w:p>
            <w:pPr>
              <w:pStyle w:val="Compact"/>
              <w:jc w:val="left"/>
            </w:pPr>
            <w:r>
              <w:t xml:space="preserve">________________</w:t>
            </w:r>
          </w:p>
        </w:tc>
      </w:tr>
      <w:tr>
        <w:tc>
          <w:tcPr/>
          <w:p>
            <w:pPr>
              <w:pStyle w:val="Compact"/>
              <w:jc w:val="left"/>
            </w:pPr>
            <w:r>
              <w:t xml:space="preserve">Selia e regjistruar</w:t>
            </w:r>
          </w:p>
        </w:tc>
        <w:tc>
          <w:tcPr/>
          <w:p>
            <w:pPr>
              <w:pStyle w:val="Compact"/>
              <w:jc w:val="left"/>
            </w:pPr>
            <w:r>
              <w:t xml:space="preserve">__________________________________</w:t>
            </w:r>
          </w:p>
        </w:tc>
      </w:tr>
      <w:tr>
        <w:tc>
          <w:tcPr/>
          <w:p>
            <w:pPr>
              <w:pStyle w:val="Compact"/>
              <w:jc w:val="left"/>
            </w:pPr>
            <w:r>
              <w:t xml:space="preserve">Përfaqësuesi i autorizuar</w:t>
            </w:r>
          </w:p>
        </w:tc>
        <w:tc>
          <w:tcPr/>
          <w:p>
            <w:pPr>
              <w:pStyle w:val="Compact"/>
              <w:jc w:val="left"/>
            </w:pPr>
            <w:r>
              <w:t xml:space="preserve">________________________</w:t>
            </w:r>
          </w:p>
        </w:tc>
      </w:tr>
      <w:tr>
        <w:tc>
          <w:tcPr/>
          <w:p>
            <w:pPr>
              <w:pStyle w:val="Compact"/>
              <w:jc w:val="left"/>
            </w:pPr>
            <w:r>
              <w:t xml:space="preserve">E-mail zyrtar</w:t>
            </w:r>
          </w:p>
        </w:tc>
        <w:tc>
          <w:tcPr/>
          <w:p>
            <w:pPr>
              <w:pStyle w:val="Compact"/>
              <w:jc w:val="left"/>
            </w:pPr>
            <w:r>
              <w:t xml:space="preserve">________________________</w:t>
            </w:r>
          </w:p>
        </w:tc>
      </w:tr>
    </w:tbl>
    <w:p>
      <w:pPr>
        <w:pStyle w:val="BodyText"/>
      </w:pPr>
      <w:r>
        <w:rPr>
          <w:bCs/>
          <w:b/>
        </w:rPr>
        <w:t xml:space="preserve">2. KLIENTI (në tekstin e mëtejmë:</w:t>
      </w:r>
      <w:r>
        <w:rPr>
          <w:bCs/>
          <w:b/>
        </w:rPr>
        <w:t xml:space="preserve"> </w:t>
      </w:r>
      <w:r>
        <w:rPr>
          <w:bCs/>
          <w:b/>
        </w:rPr>
        <w:t xml:space="preserve">“</w:t>
      </w:r>
      <w:r>
        <w:rPr>
          <w:bCs/>
          <w:b/>
        </w:rPr>
        <w:t xml:space="preserve">Klienti</w:t>
      </w:r>
      <w:r>
        <w:rPr>
          <w:bCs/>
          <w:b/>
        </w:rPr>
        <w:t xml:space="preserve">”</w:t>
      </w:r>
      <w:r>
        <w:rPr>
          <w:bCs/>
          <w:b/>
        </w:rPr>
        <w:t xml:space="preserv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Emri zyrtar</w:t>
            </w:r>
          </w:p>
        </w:tc>
        <w:tc>
          <w:tcPr/>
          <w:p>
            <w:pPr>
              <w:pStyle w:val="Compact"/>
              <w:jc w:val="left"/>
            </w:pPr>
            <w:r>
              <w:t xml:space="preserve">________________________</w:t>
            </w:r>
          </w:p>
        </w:tc>
      </w:tr>
      <w:tr>
        <w:tc>
          <w:tcPr/>
          <w:p>
            <w:pPr>
              <w:pStyle w:val="Compact"/>
              <w:jc w:val="left"/>
            </w:pPr>
            <w:r>
              <w:t xml:space="preserve">Numri Unik Identifikues (NUI)</w:t>
            </w:r>
          </w:p>
        </w:tc>
        <w:tc>
          <w:tcPr/>
          <w:p>
            <w:pPr>
              <w:pStyle w:val="Compact"/>
              <w:jc w:val="left"/>
            </w:pPr>
            <w:r>
              <w:t xml:space="preserve">________________</w:t>
            </w:r>
          </w:p>
        </w:tc>
      </w:tr>
      <w:tr>
        <w:tc>
          <w:tcPr/>
          <w:p>
            <w:pPr>
              <w:pStyle w:val="Compact"/>
              <w:jc w:val="left"/>
            </w:pPr>
            <w:r>
              <w:t xml:space="preserve">Numri i TVSH-së (nëse aplikohet)</w:t>
            </w:r>
          </w:p>
        </w:tc>
        <w:tc>
          <w:tcPr/>
          <w:p>
            <w:pPr>
              <w:pStyle w:val="Compact"/>
              <w:jc w:val="left"/>
            </w:pPr>
            <w:r>
              <w:t xml:space="preserve">________________</w:t>
            </w:r>
          </w:p>
        </w:tc>
      </w:tr>
      <w:tr>
        <w:tc>
          <w:tcPr/>
          <w:p>
            <w:pPr>
              <w:pStyle w:val="Compact"/>
              <w:jc w:val="left"/>
            </w:pPr>
            <w:r>
              <w:t xml:space="preserve">Selia e regjistruar</w:t>
            </w:r>
          </w:p>
        </w:tc>
        <w:tc>
          <w:tcPr/>
          <w:p>
            <w:pPr>
              <w:pStyle w:val="Compact"/>
              <w:jc w:val="left"/>
            </w:pPr>
            <w:r>
              <w:t xml:space="preserve">__________________________________</w:t>
            </w:r>
          </w:p>
        </w:tc>
      </w:tr>
      <w:tr>
        <w:tc>
          <w:tcPr/>
          <w:p>
            <w:pPr>
              <w:pStyle w:val="Compact"/>
              <w:jc w:val="left"/>
            </w:pPr>
            <w:r>
              <w:t xml:space="preserve">Përfaqësuesi i autorizuar</w:t>
            </w:r>
          </w:p>
        </w:tc>
        <w:tc>
          <w:tcPr/>
          <w:p>
            <w:pPr>
              <w:pStyle w:val="Compact"/>
              <w:jc w:val="left"/>
            </w:pPr>
            <w:r>
              <w:t xml:space="preserve">________________________</w:t>
            </w:r>
          </w:p>
        </w:tc>
      </w:tr>
      <w:tr>
        <w:tc>
          <w:tcPr/>
          <w:p>
            <w:pPr>
              <w:pStyle w:val="Compact"/>
              <w:jc w:val="left"/>
            </w:pPr>
            <w:r>
              <w:t xml:space="preserve">E-mail zyrtar për njoftime</w:t>
            </w:r>
          </w:p>
        </w:tc>
        <w:tc>
          <w:tcPr/>
          <w:p>
            <w:pPr>
              <w:pStyle w:val="Compact"/>
              <w:jc w:val="left"/>
            </w:pPr>
            <w:r>
              <w:t xml:space="preserve">________________________</w:t>
            </w:r>
          </w:p>
        </w:tc>
      </w:tr>
    </w:tbl>
    <w:p>
      <w:pPr>
        <w:pStyle w:val="BodyText"/>
      </w:pPr>
      <w:r>
        <w:t xml:space="preserve">Ofruesi dhe Klienti referohen individualisht si</w:t>
      </w:r>
      <w:r>
        <w:t xml:space="preserve"> </w:t>
      </w:r>
      <w:r>
        <w:t xml:space="preserve">“</w:t>
      </w:r>
      <w:r>
        <w:t xml:space="preserve">Pala</w:t>
      </w:r>
      <w:r>
        <w:t xml:space="preserve">”</w:t>
      </w:r>
      <w:r>
        <w:t xml:space="preserve"> </w:t>
      </w:r>
      <w:r>
        <w:t xml:space="preserve">dhe së bashku si</w:t>
      </w:r>
      <w:r>
        <w:t xml:space="preserve"> </w:t>
      </w:r>
      <w:r>
        <w:t xml:space="preserve">“</w:t>
      </w:r>
      <w:r>
        <w:t xml:space="preserve">Palët</w:t>
      </w:r>
      <w:r>
        <w:t xml:space="preserve">”</w:t>
      </w:r>
      <w:r>
        <w:t xml:space="preserve">.</w:t>
      </w:r>
    </w:p>
    <w:p>
      <w:r>
        <w:pict>
          <v:rect style="width:0;height:1.5pt" o:hralign="center" o:hrstd="t" o:hr="t"/>
        </w:pict>
      </w:r>
    </w:p>
    <w:bookmarkEnd w:id="22"/>
    <w:bookmarkStart w:id="23" w:name="preambula"/>
    <w:p>
      <w:pPr>
        <w:pStyle w:val="Heading2"/>
      </w:pPr>
      <w:r>
        <w:t xml:space="preserve">PREAMBULA</w:t>
      </w:r>
    </w:p>
    <w:p>
      <w:pPr>
        <w:pStyle w:val="FirstParagraph"/>
      </w:pPr>
      <w:r>
        <w:rPr>
          <w:bCs/>
          <w:b/>
        </w:rPr>
        <w:t xml:space="preserve">DUKE PASUR PARASYSH SE:</w:t>
      </w:r>
    </w:p>
    <w:p>
      <w:pPr>
        <w:pStyle w:val="BodyText"/>
      </w:pPr>
      <w:r>
        <w:rPr>
          <w:bCs/>
          <w:b/>
        </w:rPr>
        <w:t xml:space="preserve">(a)</w:t>
      </w:r>
      <w:r>
        <w:t xml:space="preserve"> </w:t>
      </w:r>
      <w:r>
        <w:t xml:space="preserve">Ofruesi ka zhvilluar dhe operon aplikacionin softuerik</w:t>
      </w:r>
      <w:r>
        <w:t xml:space="preserve"> </w:t>
      </w:r>
      <w:r>
        <w:t xml:space="preserve">“</w:t>
      </w:r>
      <w:r>
        <w:t xml:space="preserve">Paga PRO</w:t>
      </w:r>
      <w:r>
        <w:t xml:space="preserve">”</w:t>
      </w:r>
      <w:r>
        <w:t xml:space="preserve"> </w:t>
      </w:r>
      <w:r>
        <w:t xml:space="preserve">— një platformë në internet (Software-as-a-Service) për menaxhimin e burimeve njerëzore dhe përllogaritjen e pagave, e ndërtuar posaçërisht për kornizën ligjore, tatimore dhe kontributive të Republikës së Kosovës;</w:t>
      </w:r>
    </w:p>
    <w:p>
      <w:pPr>
        <w:pStyle w:val="BodyText"/>
      </w:pPr>
      <w:r>
        <w:rPr>
          <w:bCs/>
          <w:b/>
        </w:rPr>
        <w:t xml:space="preserve">(b)</w:t>
      </w:r>
      <w:r>
        <w:t xml:space="preserve"> </w:t>
      </w:r>
      <w:r>
        <w:t xml:space="preserve">Klienti është subjekt afarist i regjistruar në Agjencinë e Regjistrimit të Bizneseve të Kosovës (ARBK) dhe dëshiron të përdorë Shërbimin për nevojat e veta të brendshme të administrimit të personelit dhe pagave;</w:t>
      </w:r>
    </w:p>
    <w:p>
      <w:pPr>
        <w:pStyle w:val="BodyText"/>
      </w:pPr>
      <w:r>
        <w:rPr>
          <w:bCs/>
          <w:b/>
        </w:rPr>
        <w:t xml:space="preserve">(c)</w:t>
      </w:r>
      <w:r>
        <w:t xml:space="preserve"> </w:t>
      </w:r>
      <w:r>
        <w:t xml:space="preserve">Palët dëshirojnë të rregullojnë me qartësi të drejtat dhe detyrimet e ndërsjella, duke përfshirë kushtet e licencës, abonimit, konfidencialitetit, sigurisë së informacionit dhe përpunimit të të dhënave personale;</w:t>
      </w:r>
    </w:p>
    <w:p>
      <w:pPr>
        <w:pStyle w:val="BodyText"/>
      </w:pPr>
      <w:r>
        <w:rPr>
          <w:bCs/>
          <w:b/>
        </w:rPr>
        <w:t xml:space="preserve">(d)</w:t>
      </w:r>
      <w:r>
        <w:t xml:space="preserve"> </w:t>
      </w:r>
      <w:r>
        <w:t xml:space="preserve">Ofruesi ka ndërtuar Shërbimin mbi parimin e</w:t>
      </w:r>
      <w:r>
        <w:t xml:space="preserve"> </w:t>
      </w:r>
      <w:r>
        <w:rPr>
          <w:bCs/>
          <w:b/>
        </w:rPr>
        <w:t xml:space="preserve">minimizimit të qasjes</w:t>
      </w:r>
      <w:r>
        <w:t xml:space="preserve"> </w:t>
      </w:r>
      <w:r>
        <w:t xml:space="preserve">dhe merr përsipër me këtë Kontratë detyrime të shprehura dhe të detyrueshme ligjërisht për të mos u qasur në të dhënat e Klientit dhe për të mos i lexuar, shfrytëzuar apo zbuluar ato, sipas kushteve të Nenit 15;</w:t>
      </w:r>
    </w:p>
    <w:p>
      <w:pPr>
        <w:pStyle w:val="BodyText"/>
      </w:pPr>
      <w:r>
        <w:rPr>
          <w:bCs/>
          <w:b/>
        </w:rPr>
        <w:t xml:space="preserve">(e)</w:t>
      </w:r>
      <w:r>
        <w:t xml:space="preserve"> </w:t>
      </w:r>
      <w:r>
        <w:t xml:space="preserve">Kjo Kontratë lidhet në pajtim me</w:t>
      </w:r>
      <w:r>
        <w:t xml:space="preserve"> </w:t>
      </w:r>
      <w:r>
        <w:rPr>
          <w:bCs/>
          <w:b/>
        </w:rPr>
        <w:t xml:space="preserve">Ligjin Nr. 04/L-077 për Marrëdhëniet e Detyrimeve</w:t>
      </w:r>
      <w:r>
        <w:t xml:space="preserve">,</w:t>
      </w:r>
      <w:r>
        <w:t xml:space="preserve"> </w:t>
      </w:r>
      <w:r>
        <w:rPr>
          <w:bCs/>
          <w:b/>
        </w:rPr>
        <w:t xml:space="preserve">Ligjin Nr. 06/L-082 për Mbrojtjen e të Dhënave Personale</w:t>
      </w:r>
      <w:r>
        <w:t xml:space="preserve">,</w:t>
      </w:r>
      <w:r>
        <w:t xml:space="preserve"> </w:t>
      </w:r>
      <w:r>
        <w:rPr>
          <w:bCs/>
          <w:b/>
        </w:rPr>
        <w:t xml:space="preserve">Ligjin Nr. 04/L-094 për Shërbimet e Shoqërisë Informatike</w:t>
      </w:r>
      <w:r>
        <w:t xml:space="preserve">,</w:t>
      </w:r>
      <w:r>
        <w:t xml:space="preserve"> </w:t>
      </w:r>
      <w:r>
        <w:rPr>
          <w:bCs/>
          <w:b/>
        </w:rPr>
        <w:t xml:space="preserve">Ligjin Nr. 08/L-022 për Identifikimin Elektronik dhe Shërbimet e Besuara në Transaksionet Elektronike</w:t>
      </w:r>
      <w:r>
        <w:t xml:space="preserve">,</w:t>
      </w:r>
      <w:r>
        <w:t xml:space="preserve"> </w:t>
      </w:r>
      <w:r>
        <w:rPr>
          <w:bCs/>
          <w:b/>
        </w:rPr>
        <w:t xml:space="preserve">Ligjin Nr. 08/L-205 për të Drejtën e Autorit dhe të Drejtat e Përafërta</w:t>
      </w:r>
      <w:r>
        <w:t xml:space="preserve">,</w:t>
      </w:r>
      <w:r>
        <w:t xml:space="preserve"> </w:t>
      </w:r>
      <w:r>
        <w:rPr>
          <w:bCs/>
          <w:b/>
        </w:rPr>
        <w:t xml:space="preserve">Ligjin Nr. 05/L-110 për Kamatëvonesat në Transaksionet Tregtare</w:t>
      </w:r>
      <w:r>
        <w:t xml:space="preserve"> </w:t>
      </w:r>
      <w:r>
        <w:t xml:space="preserve">dhe</w:t>
      </w:r>
      <w:r>
        <w:t xml:space="preserve"> </w:t>
      </w:r>
      <w:r>
        <w:rPr>
          <w:bCs/>
          <w:b/>
        </w:rPr>
        <w:t xml:space="preserve">Ligjin Nr. 06/L-016 për Shoqëritë Tregtare</w:t>
      </w:r>
      <w:r>
        <w:t xml:space="preserve">;</w:t>
      </w:r>
    </w:p>
    <w:p>
      <w:pPr>
        <w:pStyle w:val="BodyText"/>
      </w:pPr>
      <w:r>
        <w:rPr>
          <w:bCs/>
          <w:b/>
        </w:rPr>
        <w:t xml:space="preserve">PALËT RANË DAKORD SI VIJON:</w:t>
      </w:r>
    </w:p>
    <w:p>
      <w:r>
        <w:pict>
          <v:rect style="width:0;height:1.5pt" o:hralign="center" o:hrstd="t" o:hr="t"/>
        </w:pict>
      </w:r>
    </w:p>
    <w:bookmarkEnd w:id="23"/>
    <w:bookmarkEnd w:id="24"/>
    <w:bookmarkStart w:id="28" w:name="kreu-i-dispozita-themelore"/>
    <w:p>
      <w:pPr>
        <w:pStyle w:val="Heading1"/>
      </w:pPr>
      <w:r>
        <w:t xml:space="preserve">KREU I — DISPOZITA THEMELORE</w:t>
      </w:r>
    </w:p>
    <w:bookmarkStart w:id="25" w:name="neni-1-përkufizimet"/>
    <w:p>
      <w:pPr>
        <w:pStyle w:val="Heading2"/>
      </w:pPr>
      <w:r>
        <w:t xml:space="preserve">Neni 1 — Përkufizimet</w:t>
      </w:r>
    </w:p>
    <w:p>
      <w:pPr>
        <w:pStyle w:val="FirstParagraph"/>
      </w:pPr>
      <w:r>
        <w:t xml:space="preserve">Në kuptim të kësaj Kontrate, termat e mëposhtëm kanë këtë domethënie:</w:t>
      </w:r>
    </w:p>
    <w:p>
      <w:pPr>
        <w:pStyle w:val="BodyText"/>
      </w:pPr>
      <w:r>
        <w:rPr>
          <w:bCs/>
          <w:b/>
        </w:rPr>
        <w:t xml:space="preserve">1.1</w:t>
      </w:r>
      <w:r>
        <w:rPr>
          <w:bCs/>
          <w:b/>
        </w:rPr>
        <w:t xml:space="preserve"> </w:t>
      </w:r>
      <w:r>
        <w:rPr>
          <w:bCs/>
          <w:b/>
        </w:rPr>
        <w:t xml:space="preserve">“</w:t>
      </w:r>
      <w:r>
        <w:rPr>
          <w:bCs/>
          <w:b/>
        </w:rPr>
        <w:t xml:space="preserve">Shërbimi</w:t>
      </w:r>
      <w:r>
        <w:rPr>
          <w:bCs/>
          <w:b/>
        </w:rPr>
        <w:t xml:space="preserve">”</w:t>
      </w:r>
      <w:r>
        <w:t xml:space="preserve"> </w:t>
      </w:r>
      <w:r>
        <w:t xml:space="preserve">— aplikacioni softuerik</w:t>
      </w:r>
      <w:r>
        <w:t xml:space="preserve"> </w:t>
      </w:r>
      <w:r>
        <w:t xml:space="preserve">“</w:t>
      </w:r>
      <w:r>
        <w:t xml:space="preserve">Paga PRO</w:t>
      </w:r>
      <w:r>
        <w:t xml:space="preserve">”</w:t>
      </w:r>
      <w:r>
        <w:t xml:space="preserve">, i qasshëm përmes shfletuesit të internetit, së bashku me të gjitha modulet, funksionalitetet, API-të, dokumentacionin dhe përditësimet e tij, sipas përshkrimit në</w:t>
      </w:r>
      <w:r>
        <w:t xml:space="preserve"> </w:t>
      </w:r>
      <w:r>
        <w:rPr>
          <w:bCs/>
          <w:b/>
        </w:rPr>
        <w:t xml:space="preserve">Aneksin 1</w:t>
      </w:r>
      <w:r>
        <w:t xml:space="preserve">.</w:t>
      </w:r>
    </w:p>
    <w:p>
      <w:pPr>
        <w:pStyle w:val="BodyText"/>
      </w:pPr>
      <w:r>
        <w:rPr>
          <w:bCs/>
          <w:b/>
        </w:rPr>
        <w:t xml:space="preserve">1.2</w:t>
      </w:r>
      <w:r>
        <w:rPr>
          <w:bCs/>
          <w:b/>
        </w:rPr>
        <w:t xml:space="preserve"> </w:t>
      </w:r>
      <w:r>
        <w:rPr>
          <w:bCs/>
          <w:b/>
        </w:rPr>
        <w:t xml:space="preserve">“</w:t>
      </w:r>
      <w:r>
        <w:rPr>
          <w:bCs/>
          <w:b/>
        </w:rPr>
        <w:t xml:space="preserve">Llogaria e Klientit</w:t>
      </w:r>
      <w:r>
        <w:rPr>
          <w:bCs/>
          <w:b/>
        </w:rPr>
        <w:t xml:space="preserve">”</w:t>
      </w:r>
      <w:r>
        <w:rPr>
          <w:bCs/>
          <w:b/>
        </w:rPr>
        <w:t xml:space="preserve"> </w:t>
      </w:r>
      <w:r>
        <w:rPr>
          <w:bCs/>
          <w:b/>
        </w:rPr>
        <w:t xml:space="preserve">(Tenant)</w:t>
      </w:r>
      <w:r>
        <w:t xml:space="preserve"> </w:t>
      </w:r>
      <w:r>
        <w:t xml:space="preserve">— hapësira logjike e izoluar brenda Shërbimit e caktuar ekskluzivisht Klientit, e identifikuar me identifikues unik të kompanisë, në të cilën ruhen të dhënat e Klientit.</w:t>
      </w:r>
    </w:p>
    <w:p>
      <w:pPr>
        <w:pStyle w:val="BodyText"/>
      </w:pPr>
      <w:r>
        <w:rPr>
          <w:bCs/>
          <w:b/>
        </w:rPr>
        <w:t xml:space="preserve">1.3</w:t>
      </w:r>
      <w:r>
        <w:rPr>
          <w:bCs/>
          <w:b/>
        </w:rPr>
        <w:t xml:space="preserve"> </w:t>
      </w:r>
      <w:r>
        <w:rPr>
          <w:bCs/>
          <w:b/>
        </w:rPr>
        <w:t xml:space="preserve">“</w:t>
      </w:r>
      <w:r>
        <w:rPr>
          <w:bCs/>
          <w:b/>
        </w:rPr>
        <w:t xml:space="preserve">Të Dhënat e Klientit</w:t>
      </w:r>
      <w:r>
        <w:rPr>
          <w:bCs/>
          <w:b/>
        </w:rPr>
        <w:t xml:space="preserve">”</w:t>
      </w:r>
      <w:r>
        <w:t xml:space="preserve"> </w:t>
      </w:r>
      <w:r>
        <w:t xml:space="preserve">— të gjitha të dhënat, përmbajtjet, dokumentet dhe informacionet që Klienti ose Përdoruesit e tij ngarkojnë, krijojnë, gjenerojnë ose ruajnë në Shërbim, duke përfshirë por pa u kufizuar në: të dhënat e punonjësve, kontratat e punës, listat e pagave, orët e punës, pushimet, dokumentet e largimit dhe raportet.</w:t>
      </w:r>
    </w:p>
    <w:p>
      <w:pPr>
        <w:pStyle w:val="BodyText"/>
      </w:pPr>
      <w:r>
        <w:rPr>
          <w:bCs/>
          <w:b/>
        </w:rPr>
        <w:t xml:space="preserve">1.4</w:t>
      </w:r>
      <w:r>
        <w:rPr>
          <w:bCs/>
          <w:b/>
        </w:rPr>
        <w:t xml:space="preserve"> </w:t>
      </w:r>
      <w:r>
        <w:rPr>
          <w:bCs/>
          <w:b/>
        </w:rPr>
        <w:t xml:space="preserve">“</w:t>
      </w:r>
      <w:r>
        <w:rPr>
          <w:bCs/>
          <w:b/>
        </w:rPr>
        <w:t xml:space="preserve">Të Dhënat Personale</w:t>
      </w:r>
      <w:r>
        <w:rPr>
          <w:bCs/>
          <w:b/>
        </w:rPr>
        <w:t xml:space="preserve">”</w:t>
      </w:r>
      <w:r>
        <w:t xml:space="preserve"> </w:t>
      </w:r>
      <w:r>
        <w:t xml:space="preserve">— çdo informacion në lidhje me një person fizik të identifikuar ose të identifikueshëm, sipas kuptimit të nenit 3 të Ligjit Nr. 06/L-082.</w:t>
      </w:r>
    </w:p>
    <w:p>
      <w:pPr>
        <w:pStyle w:val="BodyText"/>
      </w:pPr>
      <w:r>
        <w:rPr>
          <w:bCs/>
          <w:b/>
        </w:rPr>
        <w:t xml:space="preserve">1.5</w:t>
      </w:r>
      <w:r>
        <w:rPr>
          <w:bCs/>
          <w:b/>
        </w:rPr>
        <w:t xml:space="preserve"> </w:t>
      </w:r>
      <w:r>
        <w:rPr>
          <w:bCs/>
          <w:b/>
        </w:rPr>
        <w:t xml:space="preserve">“</w:t>
      </w:r>
      <w:r>
        <w:rPr>
          <w:bCs/>
          <w:b/>
        </w:rPr>
        <w:t xml:space="preserve">Kontrollues</w:t>
      </w:r>
      <w:r>
        <w:rPr>
          <w:bCs/>
          <w:b/>
        </w:rPr>
        <w:t xml:space="preserve">”</w:t>
      </w:r>
      <w:r>
        <w:t xml:space="preserve"> </w:t>
      </w:r>
      <w:r>
        <w:t xml:space="preserve">dhe</w:t>
      </w:r>
      <w:r>
        <w:t xml:space="preserve"> </w:t>
      </w:r>
      <w:r>
        <w:rPr>
          <w:bCs/>
          <w:b/>
        </w:rPr>
        <w:t xml:space="preserve">“</w:t>
      </w:r>
      <w:r>
        <w:rPr>
          <w:bCs/>
          <w:b/>
        </w:rPr>
        <w:t xml:space="preserve">Përpunues</w:t>
      </w:r>
      <w:r>
        <w:rPr>
          <w:bCs/>
          <w:b/>
        </w:rPr>
        <w:t xml:space="preserve">”</w:t>
      </w:r>
      <w:r>
        <w:t xml:space="preserve"> </w:t>
      </w:r>
      <w:r>
        <w:t xml:space="preserve">— kanë kuptimin e dhënë në nenin 3 të Ligjit Nr. 06/L-082.</w:t>
      </w:r>
    </w:p>
    <w:p>
      <w:pPr>
        <w:pStyle w:val="BodyText"/>
      </w:pPr>
      <w:r>
        <w:rPr>
          <w:bCs/>
          <w:b/>
        </w:rPr>
        <w:t xml:space="preserve">1.6</w:t>
      </w:r>
      <w:r>
        <w:rPr>
          <w:bCs/>
          <w:b/>
        </w:rPr>
        <w:t xml:space="preserve"> </w:t>
      </w:r>
      <w:r>
        <w:rPr>
          <w:bCs/>
          <w:b/>
        </w:rPr>
        <w:t xml:space="preserve">“</w:t>
      </w:r>
      <w:r>
        <w:rPr>
          <w:bCs/>
          <w:b/>
        </w:rPr>
        <w:t xml:space="preserve">Përdorues</w:t>
      </w:r>
      <w:r>
        <w:rPr>
          <w:bCs/>
          <w:b/>
        </w:rPr>
        <w:t xml:space="preserve">”</w:t>
      </w:r>
      <w:r>
        <w:t xml:space="preserve"> </w:t>
      </w:r>
      <w:r>
        <w:t xml:space="preserve">— çdo person fizik të cilit Klienti i ka dhënë kredenciale për qasje në Llogarinë e Klientit (administrator, kontabilist, menaxher i burimeve njerëzore ose rol tjetër).</w:t>
      </w:r>
    </w:p>
    <w:p>
      <w:pPr>
        <w:pStyle w:val="BodyText"/>
      </w:pPr>
      <w:r>
        <w:rPr>
          <w:bCs/>
          <w:b/>
        </w:rPr>
        <w:t xml:space="preserve">1.7</w:t>
      </w:r>
      <w:r>
        <w:rPr>
          <w:bCs/>
          <w:b/>
        </w:rPr>
        <w:t xml:space="preserve"> </w:t>
      </w:r>
      <w:r>
        <w:rPr>
          <w:bCs/>
          <w:b/>
        </w:rPr>
        <w:t xml:space="preserve">“</w:t>
      </w:r>
      <w:r>
        <w:rPr>
          <w:bCs/>
          <w:b/>
        </w:rPr>
        <w:t xml:space="preserve">Periudha e Abonimit</w:t>
      </w:r>
      <w:r>
        <w:rPr>
          <w:bCs/>
          <w:b/>
        </w:rPr>
        <w:t xml:space="preserve">”</w:t>
      </w:r>
      <w:r>
        <w:t xml:space="preserve"> </w:t>
      </w:r>
      <w:r>
        <w:t xml:space="preserve">— periudha kontraktuese për të cilën Klienti ka paguar ose është zotuar të paguajë tarifën e abonimit, sipas</w:t>
      </w:r>
      <w:r>
        <w:t xml:space="preserve"> </w:t>
      </w:r>
      <w:r>
        <w:rPr>
          <w:bCs/>
          <w:b/>
        </w:rPr>
        <w:t xml:space="preserve">Aneksit 1</w:t>
      </w:r>
      <w:r>
        <w:t xml:space="preserve">.</w:t>
      </w:r>
    </w:p>
    <w:p>
      <w:pPr>
        <w:pStyle w:val="BodyText"/>
      </w:pPr>
      <w:r>
        <w:rPr>
          <w:bCs/>
          <w:b/>
        </w:rPr>
        <w:t xml:space="preserve">1.8</w:t>
      </w:r>
      <w:r>
        <w:rPr>
          <w:bCs/>
          <w:b/>
        </w:rPr>
        <w:t xml:space="preserve"> </w:t>
      </w:r>
      <w:r>
        <w:rPr>
          <w:bCs/>
          <w:b/>
        </w:rPr>
        <w:t xml:space="preserve">“</w:t>
      </w:r>
      <w:r>
        <w:rPr>
          <w:bCs/>
          <w:b/>
        </w:rPr>
        <w:t xml:space="preserve">Tarifa</w:t>
      </w:r>
      <w:r>
        <w:rPr>
          <w:bCs/>
          <w:b/>
        </w:rPr>
        <w:t xml:space="preserve">”</w:t>
      </w:r>
      <w:r>
        <w:t xml:space="preserve"> </w:t>
      </w:r>
      <w:r>
        <w:t xml:space="preserve">— shuma monetare në euro (EUR) që Klienti i detyrohet Ofruesit për Shërbimin.</w:t>
      </w:r>
    </w:p>
    <w:p>
      <w:pPr>
        <w:pStyle w:val="BodyText"/>
      </w:pPr>
      <w:r>
        <w:rPr>
          <w:bCs/>
          <w:b/>
        </w:rPr>
        <w:t xml:space="preserve">1.9</w:t>
      </w:r>
      <w:r>
        <w:rPr>
          <w:bCs/>
          <w:b/>
        </w:rPr>
        <w:t xml:space="preserve"> </w:t>
      </w:r>
      <w:r>
        <w:rPr>
          <w:bCs/>
          <w:b/>
        </w:rPr>
        <w:t xml:space="preserve">“</w:t>
      </w:r>
      <w:r>
        <w:rPr>
          <w:bCs/>
          <w:b/>
        </w:rPr>
        <w:t xml:space="preserve">Qasje Mbështetëse</w:t>
      </w:r>
      <w:r>
        <w:rPr>
          <w:bCs/>
          <w:b/>
        </w:rPr>
        <w:t xml:space="preserve">”</w:t>
      </w:r>
      <w:r>
        <w:t xml:space="preserve"> </w:t>
      </w:r>
      <w:r>
        <w:t xml:space="preserve">— qasja teknike e kufizuar, e autorizuar dhe e regjistruar në Të Dhënat e Klientit, e ushtruar vetëm sipas kushteve strikte të Nenit 15.3.</w:t>
      </w:r>
    </w:p>
    <w:p>
      <w:pPr>
        <w:pStyle w:val="BodyText"/>
      </w:pPr>
      <w:r>
        <w:rPr>
          <w:bCs/>
          <w:b/>
        </w:rPr>
        <w:t xml:space="preserve">1.10</w:t>
      </w:r>
      <w:r>
        <w:rPr>
          <w:bCs/>
          <w:b/>
        </w:rPr>
        <w:t xml:space="preserve"> </w:t>
      </w:r>
      <w:r>
        <w:rPr>
          <w:bCs/>
          <w:b/>
        </w:rPr>
        <w:t xml:space="preserve">“</w:t>
      </w:r>
      <w:r>
        <w:rPr>
          <w:bCs/>
          <w:b/>
        </w:rPr>
        <w:t xml:space="preserve">Incident Sigurie</w:t>
      </w:r>
      <w:r>
        <w:rPr>
          <w:bCs/>
          <w:b/>
        </w:rPr>
        <w:t xml:space="preserve">”</w:t>
      </w:r>
      <w:r>
        <w:t xml:space="preserve"> </w:t>
      </w:r>
      <w:r>
        <w:t xml:space="preserve">— çdo shkelje e sigurisë që çon në shkatërrim, humbje, ndryshim, zbulim të paautorizuar ose qasje të paautorizuar në Të Dhënat e Klientit.</w:t>
      </w:r>
    </w:p>
    <w:p>
      <w:pPr>
        <w:pStyle w:val="BodyText"/>
      </w:pPr>
      <w:r>
        <w:rPr>
          <w:bCs/>
          <w:b/>
        </w:rPr>
        <w:t xml:space="preserve">1.11</w:t>
      </w:r>
      <w:r>
        <w:rPr>
          <w:bCs/>
          <w:b/>
        </w:rPr>
        <w:t xml:space="preserve"> </w:t>
      </w:r>
      <w:r>
        <w:rPr>
          <w:bCs/>
          <w:b/>
        </w:rPr>
        <w:t xml:space="preserve">“</w:t>
      </w:r>
      <w:r>
        <w:rPr>
          <w:bCs/>
          <w:b/>
        </w:rPr>
        <w:t xml:space="preserve">ATK</w:t>
      </w:r>
      <w:r>
        <w:rPr>
          <w:bCs/>
          <w:b/>
        </w:rPr>
        <w:t xml:space="preserve">”</w:t>
      </w:r>
      <w:r>
        <w:t xml:space="preserve"> </w:t>
      </w:r>
      <w:r>
        <w:t xml:space="preserve">— Administrata Tatimore e Kosovës.</w:t>
      </w:r>
      <w:r>
        <w:t xml:space="preserve"> </w:t>
      </w:r>
      <w:r>
        <w:rPr>
          <w:bCs/>
          <w:b/>
        </w:rPr>
        <w:t xml:space="preserve">“</w:t>
      </w:r>
      <w:r>
        <w:rPr>
          <w:bCs/>
          <w:b/>
        </w:rPr>
        <w:t xml:space="preserve">Trusti</w:t>
      </w:r>
      <w:r>
        <w:rPr>
          <w:bCs/>
          <w:b/>
        </w:rPr>
        <w:t xml:space="preserve">”</w:t>
      </w:r>
      <w:r>
        <w:t xml:space="preserve"> </w:t>
      </w:r>
      <w:r>
        <w:t xml:space="preserve">— Fondi i Kursimeve Pensionale i Kosovës.</w:t>
      </w:r>
    </w:p>
    <w:p>
      <w:pPr>
        <w:pStyle w:val="BodyText"/>
      </w:pPr>
      <w:r>
        <w:rPr>
          <w:bCs/>
          <w:b/>
        </w:rPr>
        <w:t xml:space="preserve">1.12</w:t>
      </w:r>
      <w:r>
        <w:rPr>
          <w:bCs/>
          <w:b/>
        </w:rPr>
        <w:t xml:space="preserve"> </w:t>
      </w:r>
      <w:r>
        <w:rPr>
          <w:bCs/>
          <w:b/>
        </w:rPr>
        <w:t xml:space="preserve">“</w:t>
      </w:r>
      <w:r>
        <w:rPr>
          <w:bCs/>
          <w:b/>
        </w:rPr>
        <w:t xml:space="preserve">Dokumentacioni</w:t>
      </w:r>
      <w:r>
        <w:rPr>
          <w:bCs/>
          <w:b/>
        </w:rPr>
        <w:t xml:space="preserve">”</w:t>
      </w:r>
      <w:r>
        <w:t xml:space="preserve"> </w:t>
      </w:r>
      <w:r>
        <w:t xml:space="preserve">— udhëzuesit, manualet dhe materialet ndihmëse që Ofruesi vë në dispozicion për përdorimin e Shërbimit.</w:t>
      </w:r>
    </w:p>
    <w:bookmarkEnd w:id="25"/>
    <w:bookmarkStart w:id="26" w:name="neni-2-objekti-i-kontratës"/>
    <w:p>
      <w:pPr>
        <w:pStyle w:val="Heading2"/>
      </w:pPr>
      <w:r>
        <w:t xml:space="preserve">Neni 2 — Objekti i Kontratës</w:t>
      </w:r>
    </w:p>
    <w:p>
      <w:pPr>
        <w:pStyle w:val="FirstParagraph"/>
      </w:pPr>
      <w:r>
        <w:rPr>
          <w:bCs/>
          <w:b/>
        </w:rPr>
        <w:t xml:space="preserve">2.1</w:t>
      </w:r>
      <w:r>
        <w:t xml:space="preserve"> </w:t>
      </w:r>
      <w:r>
        <w:t xml:space="preserve">Objekt i kësaj Kontrate është rregullimi i kushteve nën të cilat Ofruesi i mundëson Klientit qasje dhe përdorim të Shërbimit</w:t>
      </w:r>
      <w:r>
        <w:t xml:space="preserve"> </w:t>
      </w:r>
      <w:r>
        <w:t xml:space="preserve">“</w:t>
      </w:r>
      <w:r>
        <w:t xml:space="preserve">Paga PRO</w:t>
      </w:r>
      <w:r>
        <w:t xml:space="preserve">”</w:t>
      </w:r>
      <w:r>
        <w:t xml:space="preserve"> </w:t>
      </w:r>
      <w:r>
        <w:t xml:space="preserve">kundrejt pagesës së Tarifës, si dhe rregullimi i përpunimit të Të Dhënave Personale që rrjedh nga ky përdorim.</w:t>
      </w:r>
    </w:p>
    <w:p>
      <w:pPr>
        <w:pStyle w:val="BodyText"/>
      </w:pPr>
      <w:r>
        <w:rPr>
          <w:bCs/>
          <w:b/>
        </w:rPr>
        <w:t xml:space="preserve">2.2</w:t>
      </w:r>
      <w:r>
        <w:t xml:space="preserve"> </w:t>
      </w:r>
      <w:r>
        <w:t xml:space="preserve">Kjo Kontratë përbën</w:t>
      </w:r>
      <w:r>
        <w:t xml:space="preserve"> </w:t>
      </w:r>
      <w:r>
        <w:rPr>
          <w:bCs/>
          <w:b/>
        </w:rPr>
        <w:t xml:space="preserve">marrëveshje kornizë</w:t>
      </w:r>
      <w:r>
        <w:t xml:space="preserve">. Ajo përfshin njëkohësisht:</w:t>
      </w:r>
    </w:p>
    <w:p>
      <w:pPr>
        <w:numPr>
          <w:ilvl w:val="0"/>
          <w:numId w:val="1001"/>
        </w:numPr>
        <w:pStyle w:val="Compact"/>
      </w:pPr>
      <w:r>
        <w:t xml:space="preserve">kushtet e shërbimit dhe të abonimit ndërmjet Ofruesit dhe Klientit;</w:t>
      </w:r>
    </w:p>
    <w:p>
      <w:pPr>
        <w:numPr>
          <w:ilvl w:val="0"/>
          <w:numId w:val="1001"/>
        </w:numPr>
        <w:pStyle w:val="Compact"/>
      </w:pPr>
      <w:r>
        <w:t xml:space="preserve">licencën e përdorimit të softuerit;</w:t>
      </w:r>
    </w:p>
    <w:p>
      <w:pPr>
        <w:numPr>
          <w:ilvl w:val="0"/>
          <w:numId w:val="1001"/>
        </w:numPr>
        <w:pStyle w:val="Compact"/>
      </w:pPr>
      <w:r>
        <w:t xml:space="preserve">marrëveshjen për përpunimin e të dhënave personale (</w:t>
      </w:r>
      <w:r>
        <w:rPr>
          <w:bCs/>
          <w:b/>
        </w:rPr>
        <w:t xml:space="preserve">Aneksi 2</w:t>
      </w:r>
      <w:r>
        <w:t xml:space="preserve">), sipas nenit 27 të Ligjit Nr. 06/L-082;</w:t>
      </w:r>
    </w:p>
    <w:p>
      <w:pPr>
        <w:numPr>
          <w:ilvl w:val="0"/>
          <w:numId w:val="1001"/>
        </w:numPr>
        <w:pStyle w:val="Compact"/>
      </w:pPr>
      <w:r>
        <w:t xml:space="preserve">angazhimet e sigurisë dhe konfidencialitetit.</w:t>
      </w:r>
    </w:p>
    <w:p>
      <w:pPr>
        <w:pStyle w:val="FirstParagraph"/>
      </w:pPr>
      <w:r>
        <w:rPr>
          <w:bCs/>
          <w:b/>
        </w:rPr>
        <w:t xml:space="preserve">2.3</w:t>
      </w:r>
      <w:r>
        <w:t xml:space="preserve"> </w:t>
      </w:r>
      <w:r>
        <w:t xml:space="preserve">Ofruesi nuk ofron shërbime kontabiliteti, konsulence tatimore, konsulence ligjore, auditimi apo përfaqësimi para organeve publike. Shërbimi është</w:t>
      </w:r>
      <w:r>
        <w:t xml:space="preserve"> </w:t>
      </w:r>
      <w:r>
        <w:rPr>
          <w:bCs/>
          <w:b/>
        </w:rPr>
        <w:t xml:space="preserve">mjet teknik ndihmës</w:t>
      </w:r>
      <w:r>
        <w:t xml:space="preserve"> </w:t>
      </w:r>
      <w:r>
        <w:t xml:space="preserve">dhe nuk zëvendëson gjykimin profesional të Klientit apo të këshilltarëve të tij.</w:t>
      </w:r>
    </w:p>
    <w:p>
      <w:pPr>
        <w:pStyle w:val="BodyText"/>
      </w:pPr>
      <w:r>
        <w:rPr>
          <w:bCs/>
          <w:b/>
        </w:rPr>
        <w:t xml:space="preserve">2.4</w:t>
      </w:r>
      <w:r>
        <w:t xml:space="preserve"> </w:t>
      </w:r>
      <w:r>
        <w:t xml:space="preserve">Ofruesi</w:t>
      </w:r>
      <w:r>
        <w:t xml:space="preserve"> </w:t>
      </w:r>
      <w:r>
        <w:rPr>
          <w:bCs/>
          <w:b/>
        </w:rPr>
        <w:t xml:space="preserve">nuk kryen dhe nuk ndërmjetëson pagesa</w:t>
      </w:r>
      <w:r>
        <w:t xml:space="preserve">, nuk mban fonde të Klientit dhe nuk operon si institucion financiar apo institucion i pagesave në kuptim të legjislacionit të Bankës Qendrore të Republikës së Kosovës. Përllogaritjet e gjeneruara nga Shërbimi janë informacion dhe ekzekutimi i pagesave mbetet përgjegjësi ekskluzive e Klientit.</w:t>
      </w:r>
    </w:p>
    <w:bookmarkEnd w:id="26"/>
    <w:bookmarkStart w:id="27" w:name="X16969f4a88e42b5a18c44631f2dfbc208b36a64"/>
    <w:p>
      <w:pPr>
        <w:pStyle w:val="Heading2"/>
      </w:pPr>
      <w:r>
        <w:t xml:space="preserve">Neni 3 — Lidhja e Kontratës dhe Pranimi Elektronik</w:t>
      </w:r>
    </w:p>
    <w:p>
      <w:pPr>
        <w:pStyle w:val="FirstParagraph"/>
      </w:pPr>
      <w:r>
        <w:rPr>
          <w:bCs/>
          <w:b/>
        </w:rPr>
        <w:t xml:space="preserve">3.1</w:t>
      </w:r>
      <w:r>
        <w:t xml:space="preserve"> </w:t>
      </w:r>
      <w:r>
        <w:t xml:space="preserve">Kontrata konsiderohet e lidhur në momentin kur Palët janë marrë vesh për elementet thelbësore të saj, në pajtim me</w:t>
      </w:r>
      <w:r>
        <w:t xml:space="preserve"> </w:t>
      </w:r>
      <w:r>
        <w:rPr>
          <w:bCs/>
          <w:b/>
        </w:rPr>
        <w:t xml:space="preserve">nenin 15 të Ligjit Nr. 04/L-077</w:t>
      </w:r>
      <w:r>
        <w:t xml:space="preserve">, përkatësisht:</w:t>
      </w:r>
    </w:p>
    <w:p>
      <w:pPr>
        <w:numPr>
          <w:ilvl w:val="0"/>
          <w:numId w:val="1002"/>
        </w:numPr>
        <w:pStyle w:val="Compact"/>
      </w:pPr>
      <w:r>
        <w:t xml:space="preserve">me nënshkrimin e kësaj Kontrate nga të dyja Palët; ose</w:t>
      </w:r>
    </w:p>
    <w:p>
      <w:pPr>
        <w:numPr>
          <w:ilvl w:val="0"/>
          <w:numId w:val="1002"/>
        </w:numPr>
        <w:pStyle w:val="Compact"/>
      </w:pPr>
      <w:r>
        <w:t xml:space="preserve">me pranimin elektronik nga Klienti të kushteve gjatë procesit të regjistrimit (klikimi i kutisë</w:t>
      </w:r>
      <w:r>
        <w:t xml:space="preserve"> </w:t>
      </w:r>
      <w:r>
        <w:t xml:space="preserve">“</w:t>
      </w:r>
      <w:r>
        <w:t xml:space="preserve">Pajtohem me Kushtet e Shërbimit</w:t>
      </w:r>
      <w:r>
        <w:t xml:space="preserve">”</w:t>
      </w:r>
      <w:r>
        <w:t xml:space="preserve">); ose</w:t>
      </w:r>
    </w:p>
    <w:p>
      <w:pPr>
        <w:numPr>
          <w:ilvl w:val="0"/>
          <w:numId w:val="1002"/>
        </w:numPr>
        <w:pStyle w:val="Compact"/>
      </w:pPr>
      <w:r>
        <w:t xml:space="preserve">me fillimin faktik të përdorimit të Shërbimit nga ana e Klientit pas marrjes së kredencialeve.</w:t>
      </w:r>
    </w:p>
    <w:p>
      <w:pPr>
        <w:pStyle w:val="FirstParagraph"/>
      </w:pPr>
      <w:r>
        <w:rPr>
          <w:bCs/>
          <w:b/>
        </w:rPr>
        <w:t xml:space="preserve">3.2</w:t>
      </w:r>
      <w:r>
        <w:t xml:space="preserve"> </w:t>
      </w:r>
      <w:r>
        <w:t xml:space="preserve">Palët pranojnë shprehimisht se, në pajtim me</w:t>
      </w:r>
      <w:r>
        <w:t xml:space="preserve"> </w:t>
      </w:r>
      <w:r>
        <w:rPr>
          <w:bCs/>
          <w:b/>
        </w:rPr>
        <w:t xml:space="preserve">nenin 11 të Ligjit Nr. 04/L-094 për Shërbimet e Shoqërisë Informatike</w:t>
      </w:r>
      <w:r>
        <w:t xml:space="preserve">, kontratës elektronike nuk i mohohet efekti ligjor, vlefshmëria ose detyrueshmëria vetëm për shkak se ajo është plotësisht ose pjesërisht në formë elektronike.</w:t>
      </w:r>
    </w:p>
    <w:p>
      <w:pPr>
        <w:pStyle w:val="BodyText"/>
      </w:pPr>
      <w:r>
        <w:rPr>
          <w:bCs/>
          <w:b/>
        </w:rPr>
        <w:t xml:space="preserve">3.3</w:t>
      </w:r>
      <w:r>
        <w:t xml:space="preserve"> </w:t>
      </w:r>
      <w:r>
        <w:t xml:space="preserve">Kur kjo Kontratë nënshkruhet me nënshkrim elektronik të kualifikuar, ai ka të njëjtin efekt ligjor si nënshkrimi i dorës, në pajtim me</w:t>
      </w:r>
      <w:r>
        <w:t xml:space="preserve"> </w:t>
      </w:r>
      <w:r>
        <w:rPr>
          <w:bCs/>
          <w:b/>
        </w:rPr>
        <w:t xml:space="preserve">nenin 32 të Ligjit Nr. 08/L-022</w:t>
      </w:r>
      <w:r>
        <w:t xml:space="preserve">.</w:t>
      </w:r>
    </w:p>
    <w:p>
      <w:pPr>
        <w:pStyle w:val="BodyText"/>
      </w:pPr>
      <w:r>
        <w:rPr>
          <w:bCs/>
          <w:b/>
        </w:rPr>
        <w:t xml:space="preserve">3.4</w:t>
      </w:r>
      <w:r>
        <w:t xml:space="preserve"> </w:t>
      </w:r>
      <w:r>
        <w:t xml:space="preserve">Personi që pranon këtë Kontratë në emër të Klientit garanton se është i autorizuar ligjërisht ta detyrojë Klientin. Ofruesi ka të drejtë të mbështetet në këtë garanci pa detyrim verifikimi të mëtejmë.</w:t>
      </w:r>
    </w:p>
    <w:p>
      <w:pPr>
        <w:pStyle w:val="BodyText"/>
      </w:pPr>
      <w:r>
        <w:rPr>
          <w:bCs/>
          <w:b/>
        </w:rPr>
        <w:t xml:space="preserve">3.5 Natyra B2B.</w:t>
      </w:r>
      <w:r>
        <w:t xml:space="preserve"> </w:t>
      </w:r>
      <w:r>
        <w:t xml:space="preserve">Palët konstatojnë se Klienti lidh këtë Kontratë në ushtrim të veprimtarisë së tij tregtare, biznesore ose profesionale dhe, rrjedhimisht,</w:t>
      </w:r>
      <w:r>
        <w:t xml:space="preserve"> </w:t>
      </w:r>
      <w:r>
        <w:rPr>
          <w:bCs/>
          <w:b/>
        </w:rPr>
        <w:t xml:space="preserve">nuk ka cilësinë e konsumatorit</w:t>
      </w:r>
      <w:r>
        <w:t xml:space="preserve"> </w:t>
      </w:r>
      <w:r>
        <w:t xml:space="preserve">sipas nenit 3, paragrafi 1.1 të Ligjit Nr. 06/L-034 për Mbrojtjen e Konsumatorit. Dispozitat mbrojtëse të atij ligji, përfshirë të drejtën e tërheqjes nga kontrata në distancë, nuk zbatohen për këtë marrëdhënie.</w:t>
      </w:r>
    </w:p>
    <w:p>
      <w:r>
        <w:pict>
          <v:rect style="width:0;height:1.5pt" o:hralign="center" o:hrstd="t" o:hr="t"/>
        </w:pict>
      </w:r>
    </w:p>
    <w:bookmarkEnd w:id="27"/>
    <w:bookmarkEnd w:id="28"/>
    <w:bookmarkStart w:id="31" w:name="kreu-ii-licenca-dhe-përdorimi"/>
    <w:p>
      <w:pPr>
        <w:pStyle w:val="Heading1"/>
      </w:pPr>
      <w:r>
        <w:t xml:space="preserve">KREU II — LICENCA DHE PËRDORIMI</w:t>
      </w:r>
    </w:p>
    <w:bookmarkStart w:id="29" w:name="Xa36584b4888328da1abe9dd42faba20d494d07d"/>
    <w:p>
      <w:pPr>
        <w:pStyle w:val="Heading2"/>
      </w:pPr>
      <w:r>
        <w:t xml:space="preserve">Neni 4 — Licenca e Përdorimit dhe Kufizimet</w:t>
      </w:r>
    </w:p>
    <w:p>
      <w:pPr>
        <w:pStyle w:val="FirstParagraph"/>
      </w:pPr>
      <w:r>
        <w:rPr>
          <w:bCs/>
          <w:b/>
        </w:rPr>
        <w:t xml:space="preserve">4.1</w:t>
      </w:r>
      <w:r>
        <w:t xml:space="preserve"> </w:t>
      </w:r>
      <w:r>
        <w:t xml:space="preserve">Ofruesi i jep Klientit një licencë</w:t>
      </w:r>
      <w:r>
        <w:t xml:space="preserve"> </w:t>
      </w:r>
      <w:r>
        <w:rPr>
          <w:bCs/>
          <w:b/>
        </w:rPr>
        <w:t xml:space="preserve">jo-ekskluzive, të pabartueshme, të pa-nënlicencueshme dhe të kufizuar territorialisht në Republikën e Kosovës</w:t>
      </w:r>
      <w:r>
        <w:t xml:space="preserve">, e revokueshme vetëm në rastet e parashikuara shprehimisht në Nenet 4.4, 12.4 dhe 26.3, (përveç kur pajtohet ndryshe me shkrim), për qasje dhe përdorim të Shërbimit gjatë Periudhës së Abonimit dhe vetëm për nevojat e brendshme afariste të Klientit.</w:t>
      </w:r>
    </w:p>
    <w:p>
      <w:pPr>
        <w:pStyle w:val="BodyText"/>
      </w:pPr>
      <w:r>
        <w:rPr>
          <w:bCs/>
          <w:b/>
        </w:rPr>
        <w:t xml:space="preserve">4.2</w:t>
      </w:r>
      <w:r>
        <w:t xml:space="preserve"> </w:t>
      </w:r>
      <w:r>
        <w:t xml:space="preserve">Kjo Kontratë</w:t>
      </w:r>
      <w:r>
        <w:t xml:space="preserve"> </w:t>
      </w:r>
      <w:r>
        <w:rPr>
          <w:bCs/>
          <w:b/>
        </w:rPr>
        <w:t xml:space="preserve">nuk transferon asnjë të drejtë pronësie</w:t>
      </w:r>
      <w:r>
        <w:t xml:space="preserve"> </w:t>
      </w:r>
      <w:r>
        <w:t xml:space="preserve">mbi Shërbimin. Ofruesi ruan të gjitha të drejtat që nuk janë dhënë shprehimisht.</w:t>
      </w:r>
    </w:p>
    <w:p>
      <w:pPr>
        <w:pStyle w:val="BodyText"/>
      </w:pPr>
      <w:r>
        <w:rPr>
          <w:bCs/>
          <w:b/>
        </w:rPr>
        <w:t xml:space="preserve">4.3</w:t>
      </w:r>
      <w:r>
        <w:t xml:space="preserve"> </w:t>
      </w:r>
      <w:r>
        <w:t xml:space="preserve">Klientit i</w:t>
      </w:r>
      <w:r>
        <w:t xml:space="preserve"> </w:t>
      </w:r>
      <w:r>
        <w:rPr>
          <w:bCs/>
          <w:b/>
        </w:rPr>
        <w:t xml:space="preserve">ndalohet</w:t>
      </w:r>
      <w:r>
        <w:t xml:space="preserve"> </w:t>
      </w:r>
      <w:r>
        <w:t xml:space="preserve">shprehimisht:</w:t>
      </w:r>
    </w:p>
    <w:p>
      <w:pPr>
        <w:numPr>
          <w:ilvl w:val="0"/>
          <w:numId w:val="1003"/>
        </w:numPr>
        <w:pStyle w:val="Compact"/>
      </w:pPr>
      <w:r>
        <w:t xml:space="preserve">të kopjojë, riprodhojë, shpërndajë, shesë, japë me qira, hua apo nënlicencojë Shërbimin ose ndonjë pjesë të tij;</w:t>
      </w:r>
    </w:p>
    <w:p>
      <w:pPr>
        <w:numPr>
          <w:ilvl w:val="0"/>
          <w:numId w:val="1003"/>
        </w:numPr>
        <w:pStyle w:val="Compact"/>
      </w:pPr>
      <w:r>
        <w:t xml:space="preserve">të kryejë inxhinieri të kundërt (</w:t>
      </w:r>
      <w:r>
        <w:rPr>
          <w:iCs/>
          <w:i/>
        </w:rPr>
        <w:t xml:space="preserve">reverse engineering</w:t>
      </w:r>
      <w:r>
        <w:t xml:space="preserve">), dekompilim, çmontim apo çdo përpjekje për të nxjerrë kodin burimor, algoritmet e përllogaritjes ose strukturën e bazës së të dhënave;</w:t>
      </w:r>
    </w:p>
    <w:p>
      <w:pPr>
        <w:numPr>
          <w:ilvl w:val="0"/>
          <w:numId w:val="1003"/>
        </w:numPr>
        <w:pStyle w:val="Compact"/>
      </w:pPr>
      <w:r>
        <w:t xml:space="preserve">të kopjojë, imitojë ose të krijojë vepër të derivuar nga ndërfaqja, dizajni, logjika e biznesit apo motori i përllogaritjes së Shërbimit;</w:t>
      </w:r>
    </w:p>
    <w:p>
      <w:pPr>
        <w:numPr>
          <w:ilvl w:val="0"/>
          <w:numId w:val="1003"/>
        </w:numPr>
        <w:pStyle w:val="Compact"/>
      </w:pPr>
      <w:r>
        <w:t xml:space="preserve">të ndajë kredencialet me palë të treta ose të lejojë përdorimin e një llogarie individuale nga më shumë se një person fizik;</w:t>
      </w:r>
    </w:p>
    <w:p>
      <w:pPr>
        <w:numPr>
          <w:ilvl w:val="0"/>
          <w:numId w:val="1003"/>
        </w:numPr>
        <w:pStyle w:val="Compact"/>
      </w:pPr>
      <w:r>
        <w:t xml:space="preserve">të përdorë Shërbimin për të ofruar shërbime ndaj palëve të treta (</w:t>
      </w:r>
      <w:r>
        <w:rPr>
          <w:iCs/>
          <w:i/>
        </w:rPr>
        <w:t xml:space="preserve">service bureau</w:t>
      </w:r>
      <w:r>
        <w:t xml:space="preserve">), përveç nëse ka blerë shprehimisht një plan që e lejon këtë sipas</w:t>
      </w:r>
      <w:r>
        <w:t xml:space="preserve"> </w:t>
      </w:r>
      <w:r>
        <w:rPr>
          <w:bCs/>
          <w:b/>
        </w:rPr>
        <w:t xml:space="preserve">Aneksit 1</w:t>
      </w:r>
      <w:r>
        <w:t xml:space="preserve">;</w:t>
      </w:r>
    </w:p>
    <w:p>
      <w:pPr>
        <w:numPr>
          <w:ilvl w:val="0"/>
          <w:numId w:val="1003"/>
        </w:numPr>
        <w:pStyle w:val="Compact"/>
      </w:pPr>
      <w:r>
        <w:t xml:space="preserve">të shmangë, çaktivizojë ose ndërhyjë në masat teknike të sigurisë, kufizimet e planit apo mekanizmat e matjes së përdorimit;</w:t>
      </w:r>
    </w:p>
    <w:p>
      <w:pPr>
        <w:numPr>
          <w:ilvl w:val="0"/>
          <w:numId w:val="1003"/>
        </w:numPr>
        <w:pStyle w:val="Compact"/>
      </w:pPr>
      <w:r>
        <w:t xml:space="preserve">të kryejë testime penetrimi, skanime të cenueshmërisë, sulme automatike apo ngarkesë artificiale pa autorizim paraprak me shkrim nga Ofruesi;</w:t>
      </w:r>
    </w:p>
    <w:p>
      <w:pPr>
        <w:numPr>
          <w:ilvl w:val="0"/>
          <w:numId w:val="1003"/>
        </w:numPr>
        <w:pStyle w:val="Compact"/>
      </w:pPr>
      <w:r>
        <w:t xml:space="preserve">të ngarkojë kod keqdashës, viruse apo përmbajtje të paligjshme;</w:t>
      </w:r>
    </w:p>
    <w:p>
      <w:pPr>
        <w:numPr>
          <w:ilvl w:val="0"/>
          <w:numId w:val="1003"/>
        </w:numPr>
        <w:pStyle w:val="Compact"/>
      </w:pPr>
      <w:r>
        <w:t xml:space="preserve">të përdorë Shërbimin në kundërshtim me legjislacionin e Republikës së Kosovës ose me sanksionet ndërkombëtare të zbatueshme.</w:t>
      </w:r>
    </w:p>
    <w:p>
      <w:pPr>
        <w:pStyle w:val="FirstParagraph"/>
      </w:pPr>
      <w:r>
        <w:rPr>
          <w:bCs/>
          <w:b/>
        </w:rPr>
        <w:t xml:space="preserve">4.4</w:t>
      </w:r>
      <w:r>
        <w:t xml:space="preserve"> </w:t>
      </w:r>
      <w:r>
        <w:t xml:space="preserve">Shkelja e paragrafit 4.3 përbën</w:t>
      </w:r>
      <w:r>
        <w:t xml:space="preserve"> </w:t>
      </w:r>
      <w:r>
        <w:rPr>
          <w:bCs/>
          <w:b/>
        </w:rPr>
        <w:t xml:space="preserve">shkelje thelbësore të Kontratës</w:t>
      </w:r>
      <w:r>
        <w:t xml:space="preserve"> </w:t>
      </w:r>
      <w:r>
        <w:t xml:space="preserve">dhe i jep Ofruesit të drejtën e pezullimit të menjëhershëm të Shërbimit dhe të zgjidhjes së Kontratës pa afat riparimi, pa cenuar të drejtën për dëmshpërblim.</w:t>
      </w:r>
    </w:p>
    <w:bookmarkEnd w:id="29"/>
    <w:bookmarkStart w:id="30" w:name="X088310e14bf942a2ad1bd5a76673fe503a8f4e7"/>
    <w:p>
      <w:pPr>
        <w:pStyle w:val="Heading2"/>
      </w:pPr>
      <w:r>
        <w:t xml:space="preserve">Neni 5 — Llogaria, Kredencialet dhe Siguria e Qasjes</w:t>
      </w:r>
    </w:p>
    <w:p>
      <w:pPr>
        <w:pStyle w:val="FirstParagraph"/>
      </w:pPr>
      <w:r>
        <w:rPr>
          <w:bCs/>
          <w:b/>
        </w:rPr>
        <w:t xml:space="preserve">5.1</w:t>
      </w:r>
      <w:r>
        <w:t xml:space="preserve"> </w:t>
      </w:r>
      <w:r>
        <w:t xml:space="preserve">Klienti është</w:t>
      </w:r>
      <w:r>
        <w:t xml:space="preserve"> </w:t>
      </w:r>
      <w:r>
        <w:rPr>
          <w:bCs/>
          <w:b/>
        </w:rPr>
        <w:t xml:space="preserve">përgjegjës i vetëm</w:t>
      </w:r>
      <w:r>
        <w:t xml:space="preserve"> </w:t>
      </w:r>
      <w:r>
        <w:t xml:space="preserve">për ruajtjen e fshehtësisë së kredencialeve të qasjes së të gjithë Përdoruesve të tij.</w:t>
      </w:r>
    </w:p>
    <w:p>
      <w:pPr>
        <w:pStyle w:val="BodyText"/>
      </w:pPr>
      <w:r>
        <w:rPr>
          <w:bCs/>
          <w:b/>
        </w:rPr>
        <w:t xml:space="preserve">5.2</w:t>
      </w:r>
      <w:r>
        <w:t xml:space="preserve"> </w:t>
      </w:r>
      <w:r>
        <w:t xml:space="preserve">Çdo veprim i kryer përmes kredencialeve të Klientit konsiderohet i kryer nga Klienti, përveç kur Klienti provon se veprimi rrjedh nga një dështim i sigurisë i atribuueshëm ekskluzivisht Ofruesit.</w:t>
      </w:r>
    </w:p>
    <w:p>
      <w:pPr>
        <w:pStyle w:val="BodyText"/>
      </w:pPr>
      <w:r>
        <w:rPr>
          <w:bCs/>
          <w:b/>
        </w:rPr>
        <w:t xml:space="preserve">5.3</w:t>
      </w:r>
      <w:r>
        <w:t xml:space="preserve"> </w:t>
      </w:r>
      <w:r>
        <w:t xml:space="preserve">Klienti detyrohet të njoftojë Ofruesin</w:t>
      </w:r>
      <w:r>
        <w:t xml:space="preserve"> </w:t>
      </w:r>
      <w:r>
        <w:rPr>
          <w:bCs/>
          <w:b/>
        </w:rPr>
        <w:t xml:space="preserve">pa vonesë të panevojshme dhe jo më vonë se njëzet e katër (24) orë</w:t>
      </w:r>
      <w:r>
        <w:t xml:space="preserve"> </w:t>
      </w:r>
      <w:r>
        <w:t xml:space="preserve">nga momenti i konstatimit të çdo qasjeje të paautorizuar ose humbjeje të kredencialeve.</w:t>
      </w:r>
    </w:p>
    <w:p>
      <w:pPr>
        <w:pStyle w:val="BodyText"/>
      </w:pPr>
      <w:r>
        <w:rPr>
          <w:bCs/>
          <w:b/>
        </w:rPr>
        <w:t xml:space="preserve">5.4</w:t>
      </w:r>
      <w:r>
        <w:t xml:space="preserve"> </w:t>
      </w:r>
      <w:r>
        <w:t xml:space="preserve">Klienti është përgjegjës për caktimin e saktë të roleve dhe të drejtave të qasjes brenda Llogarisë së tij dhe për heqjen e menjëhershme të qasjes së Përdoruesve që largohen nga organizata.</w:t>
      </w:r>
    </w:p>
    <w:p>
      <w:pPr>
        <w:pStyle w:val="BodyText"/>
      </w:pPr>
      <w:r>
        <w:rPr>
          <w:bCs/>
          <w:b/>
        </w:rPr>
        <w:t xml:space="preserve">5.5</w:t>
      </w:r>
      <w:r>
        <w:t xml:space="preserve"> </w:t>
      </w:r>
      <w:r>
        <w:t xml:space="preserve">Ofruesi rekomandon fuqishëm aktivizimin e autentifikimit me dy faktorë. Mosaktivizimi i tij nga Klienti merret parasysh si rrethanë kontribuuese në përcaktimin e përgjegjësisë për incidente që rrjedhin nga kompromentimi i kredencialeve.</w:t>
      </w:r>
    </w:p>
    <w:p>
      <w:r>
        <w:pict>
          <v:rect style="width:0;height:1.5pt" o:hralign="center" o:hrstd="t" o:hr="t"/>
        </w:pict>
      </w:r>
    </w:p>
    <w:bookmarkEnd w:id="30"/>
    <w:bookmarkEnd w:id="31"/>
    <w:bookmarkStart w:id="36" w:name="Xdec8e31bbee9b74225ee8043ae52b541b2f52d6"/>
    <w:p>
      <w:pPr>
        <w:pStyle w:val="Heading1"/>
      </w:pPr>
      <w:r>
        <w:t xml:space="preserve">KREU III — DETYRIMET E PALËVE DHE NIVELI I SHËRBIMIT</w:t>
      </w:r>
    </w:p>
    <w:bookmarkStart w:id="32" w:name="neni-6-detyrimet-e-ofruesit"/>
    <w:p>
      <w:pPr>
        <w:pStyle w:val="Heading2"/>
      </w:pPr>
      <w:r>
        <w:t xml:space="preserve">Neni 6 — Detyrimet e Ofruesit</w:t>
      </w:r>
    </w:p>
    <w:p>
      <w:pPr>
        <w:pStyle w:val="FirstParagraph"/>
      </w:pPr>
      <w:r>
        <w:t xml:space="preserve">Ofruesi merr përsipër:</w:t>
      </w:r>
    </w:p>
    <w:p>
      <w:pPr>
        <w:pStyle w:val="BodyText"/>
      </w:pPr>
      <w:r>
        <w:rPr>
          <w:bCs/>
          <w:b/>
        </w:rPr>
        <w:t xml:space="preserve">6.1</w:t>
      </w:r>
      <w:r>
        <w:t xml:space="preserve"> </w:t>
      </w:r>
      <w:r>
        <w:t xml:space="preserve">Të vërë Shërbimin në dispozicion të Klientit në gjendje funksionale, në pajtim me përshkrimin e</w:t>
      </w:r>
      <w:r>
        <w:t xml:space="preserve"> </w:t>
      </w:r>
      <w:r>
        <w:rPr>
          <w:bCs/>
          <w:b/>
        </w:rPr>
        <w:t xml:space="preserve">Aneksit 1</w:t>
      </w:r>
      <w:r>
        <w:t xml:space="preserve">, gjatë gjithë Periudhës së Abonimit.</w:t>
      </w:r>
    </w:p>
    <w:p>
      <w:pPr>
        <w:pStyle w:val="BodyText"/>
      </w:pPr>
      <w:r>
        <w:rPr>
          <w:bCs/>
          <w:b/>
        </w:rPr>
        <w:t xml:space="preserve">6.2</w:t>
      </w:r>
      <w:r>
        <w:t xml:space="preserve"> </w:t>
      </w:r>
      <w:r>
        <w:t xml:space="preserve">Të ruajë</w:t>
      </w:r>
      <w:r>
        <w:t xml:space="preserve"> </w:t>
      </w:r>
      <w:r>
        <w:rPr>
          <w:bCs/>
          <w:b/>
        </w:rPr>
        <w:t xml:space="preserve">izolimin logjik të plotë</w:t>
      </w:r>
      <w:r>
        <w:t xml:space="preserve"> </w:t>
      </w:r>
      <w:r>
        <w:t xml:space="preserve">të të dhënave ndërmjet klientëve të ndryshëm (</w:t>
      </w:r>
      <w:r>
        <w:rPr>
          <w:iCs/>
          <w:i/>
        </w:rPr>
        <w:t xml:space="preserve">multi-tenancy isolation</w:t>
      </w:r>
      <w:r>
        <w:t xml:space="preserve">), duke garantuar se asnjë klient nuk mund të qaset në të dhënat e një klienti tjetër.</w:t>
      </w:r>
    </w:p>
    <w:p>
      <w:pPr>
        <w:pStyle w:val="BodyText"/>
      </w:pPr>
      <w:r>
        <w:rPr>
          <w:bCs/>
          <w:b/>
        </w:rPr>
        <w:t xml:space="preserve">6.3</w:t>
      </w:r>
      <w:r>
        <w:t xml:space="preserve"> </w:t>
      </w:r>
      <w:r>
        <w:t xml:space="preserve">Të zbatojë masat teknike dhe organizative të sigurisë të përshkruara në</w:t>
      </w:r>
      <w:r>
        <w:t xml:space="preserve"> </w:t>
      </w:r>
      <w:r>
        <w:rPr>
          <w:bCs/>
          <w:b/>
        </w:rPr>
        <w:t xml:space="preserve">Aneksin 3</w:t>
      </w:r>
      <w:r>
        <w:t xml:space="preserve">, në pajtim me nenin 31 të Ligjit Nr. 06/L-082.</w:t>
      </w:r>
    </w:p>
    <w:p>
      <w:pPr>
        <w:pStyle w:val="BodyText"/>
      </w:pPr>
      <w:r>
        <w:rPr>
          <w:bCs/>
          <w:b/>
        </w:rPr>
        <w:t xml:space="preserve">6.4</w:t>
      </w:r>
      <w:r>
        <w:t xml:space="preserve"> </w:t>
      </w:r>
      <w:r>
        <w:t xml:space="preserve">Të kryejë kopje rezervë (</w:t>
      </w:r>
      <w:r>
        <w:rPr>
          <w:iCs/>
          <w:i/>
        </w:rPr>
        <w:t xml:space="preserve">backup</w:t>
      </w:r>
      <w:r>
        <w:t xml:space="preserve">) të rregullta të të dhënave sipas frekuencës së përcaktuar në</w:t>
      </w:r>
      <w:r>
        <w:t xml:space="preserve"> </w:t>
      </w:r>
      <w:r>
        <w:rPr>
          <w:bCs/>
          <w:b/>
        </w:rPr>
        <w:t xml:space="preserve">Aneksin 3</w:t>
      </w:r>
      <w:r>
        <w:t xml:space="preserve">.</w:t>
      </w:r>
    </w:p>
    <w:p>
      <w:pPr>
        <w:pStyle w:val="BodyText"/>
      </w:pPr>
      <w:r>
        <w:rPr>
          <w:bCs/>
          <w:b/>
        </w:rPr>
        <w:t xml:space="preserve">6.5</w:t>
      </w:r>
      <w:r>
        <w:t xml:space="preserve"> </w:t>
      </w:r>
      <w:r>
        <w:t xml:space="preserve">Të ofrojë mbështetje teknike sipas kushteve të</w:t>
      </w:r>
      <w:r>
        <w:t xml:space="preserve"> </w:t>
      </w:r>
      <w:r>
        <w:rPr>
          <w:bCs/>
          <w:b/>
        </w:rPr>
        <w:t xml:space="preserve">Aneksit 5</w:t>
      </w:r>
      <w:r>
        <w:t xml:space="preserve">.</w:t>
      </w:r>
    </w:p>
    <w:p>
      <w:pPr>
        <w:pStyle w:val="BodyText"/>
      </w:pPr>
      <w:r>
        <w:rPr>
          <w:bCs/>
          <w:b/>
        </w:rPr>
        <w:t xml:space="preserve">6.6</w:t>
      </w:r>
      <w:r>
        <w:t xml:space="preserve"> </w:t>
      </w:r>
      <w:r>
        <w:t xml:space="preserve">Të përditësojë Shërbimin për t’iu përshtatur ndryshimeve të legjislacionit tatimor, kontributiv dhe të punës në Republikën e Kosovës, brenda një afati të arsyeshëm nga hyrja në fuqi e ndryshimit dhe nga publikimi i udhëzimeve zbatuese përkatëse nga ATK ose Trusti.</w:t>
      </w:r>
    </w:p>
    <w:p>
      <w:pPr>
        <w:pStyle w:val="BodyText"/>
      </w:pPr>
      <w:r>
        <w:rPr>
          <w:bCs/>
          <w:b/>
        </w:rPr>
        <w:t xml:space="preserve">6.7</w:t>
      </w:r>
      <w:r>
        <w:t xml:space="preserve"> </w:t>
      </w:r>
      <w:r>
        <w:t xml:space="preserve">Të respektojë rigorozisht zotimin e mos-qasjes sipas</w:t>
      </w:r>
      <w:r>
        <w:t xml:space="preserve"> </w:t>
      </w:r>
      <w:r>
        <w:rPr>
          <w:bCs/>
          <w:b/>
        </w:rPr>
        <w:t xml:space="preserve">Nenit 15</w:t>
      </w:r>
      <w:r>
        <w:t xml:space="preserve">.</w:t>
      </w:r>
    </w:p>
    <w:p>
      <w:pPr>
        <w:pStyle w:val="BodyText"/>
      </w:pPr>
      <w:r>
        <w:rPr>
          <w:bCs/>
          <w:b/>
        </w:rPr>
        <w:t xml:space="preserve">6.8</w:t>
      </w:r>
      <w:r>
        <w:t xml:space="preserve"> </w:t>
      </w:r>
      <w:r>
        <w:t xml:space="preserve">Të njoftojë Klientin për ndërprerje të planifikuara të mirëmbajtjes së paku</w:t>
      </w:r>
      <w:r>
        <w:t xml:space="preserve"> </w:t>
      </w:r>
      <w:r>
        <w:rPr>
          <w:bCs/>
          <w:b/>
        </w:rPr>
        <w:t xml:space="preserve">dyzet e tetë (48) orë</w:t>
      </w:r>
      <w:r>
        <w:t xml:space="preserve"> </w:t>
      </w:r>
      <w:r>
        <w:t xml:space="preserve">para fillimit të tyre, përveç në raste të ndërhyrjeve urgjente të sigurisë.</w:t>
      </w:r>
    </w:p>
    <w:p>
      <w:pPr>
        <w:pStyle w:val="BodyText"/>
      </w:pPr>
      <w:r>
        <w:rPr>
          <w:bCs/>
          <w:b/>
        </w:rPr>
        <w:t xml:space="preserve">6.9</w:t>
      </w:r>
      <w:r>
        <w:t xml:space="preserve"> </w:t>
      </w:r>
      <w:r>
        <w:t xml:space="preserve">Të mundësojë eksportimin e Të Dhënave të Klientit sipas</w:t>
      </w:r>
      <w:r>
        <w:t xml:space="preserve"> </w:t>
      </w:r>
      <w:r>
        <w:rPr>
          <w:bCs/>
          <w:b/>
        </w:rPr>
        <w:t xml:space="preserve">Nenit 20</w:t>
      </w:r>
      <w:r>
        <w:t xml:space="preserve">.</w:t>
      </w:r>
    </w:p>
    <w:bookmarkEnd w:id="32"/>
    <w:bookmarkStart w:id="33" w:name="neni-7-detyrimet-e-klientit"/>
    <w:p>
      <w:pPr>
        <w:pStyle w:val="Heading2"/>
      </w:pPr>
      <w:r>
        <w:t xml:space="preserve">Neni 7 — Detyrimet e Klientit</w:t>
      </w:r>
    </w:p>
    <w:p>
      <w:pPr>
        <w:pStyle w:val="FirstParagraph"/>
      </w:pPr>
      <w:r>
        <w:t xml:space="preserve">Klienti merr përsipër:</w:t>
      </w:r>
    </w:p>
    <w:p>
      <w:pPr>
        <w:pStyle w:val="BodyText"/>
      </w:pPr>
      <w:r>
        <w:rPr>
          <w:bCs/>
          <w:b/>
        </w:rPr>
        <w:t xml:space="preserve">7.1</w:t>
      </w:r>
      <w:r>
        <w:t xml:space="preserve"> </w:t>
      </w:r>
      <w:r>
        <w:t xml:space="preserve">Të paguajë Tarifën në afatet e përcaktuara në</w:t>
      </w:r>
      <w:r>
        <w:t xml:space="preserve"> </w:t>
      </w:r>
      <w:r>
        <w:rPr>
          <w:bCs/>
          <w:b/>
        </w:rPr>
        <w:t xml:space="preserve">Nenin 10</w:t>
      </w:r>
      <w:r>
        <w:t xml:space="preserve">.</w:t>
      </w:r>
    </w:p>
    <w:p>
      <w:pPr>
        <w:pStyle w:val="BodyText"/>
      </w:pPr>
      <w:r>
        <w:rPr>
          <w:bCs/>
          <w:b/>
        </w:rPr>
        <w:t xml:space="preserve">7.2</w:t>
      </w:r>
      <w:r>
        <w:t xml:space="preserve"> </w:t>
      </w:r>
      <w:r>
        <w:t xml:space="preserve">Të sigurojë që të dhënat e futura në Shërbim janë</w:t>
      </w:r>
      <w:r>
        <w:t xml:space="preserve"> </w:t>
      </w:r>
      <w:r>
        <w:rPr>
          <w:bCs/>
          <w:b/>
        </w:rPr>
        <w:t xml:space="preserve">të sakta, të plota dhe të përditësuara</w:t>
      </w:r>
      <w:r>
        <w:t xml:space="preserve">, veçanërisht të dhënat bazë të punonjësve, koeficientët tatimorë, statusi i kontributeve pensionale dhe zbritjet e aplikueshme.</w:t>
      </w:r>
    </w:p>
    <w:p>
      <w:pPr>
        <w:pStyle w:val="BodyText"/>
      </w:pPr>
      <w:r>
        <w:rPr>
          <w:bCs/>
          <w:b/>
        </w:rPr>
        <w:t xml:space="preserve">7.3</w:t>
      </w:r>
      <w:r>
        <w:t xml:space="preserve"> </w:t>
      </w:r>
      <w:r>
        <w:t xml:space="preserve">Të verifikojë çdo përllogaritje, listë pagese, deklaratë apo raport të gjeneruar nga Shërbimi</w:t>
      </w:r>
      <w:r>
        <w:t xml:space="preserve"> </w:t>
      </w:r>
      <w:r>
        <w:rPr>
          <w:bCs/>
          <w:b/>
        </w:rPr>
        <w:t xml:space="preserve">para se ta përdorë atë</w:t>
      </w:r>
      <w:r>
        <w:t xml:space="preserve"> </w:t>
      </w:r>
      <w:r>
        <w:t xml:space="preserve">për pagesa, deklarime tatimore ose çdo qëllim zyrtar.</w:t>
      </w:r>
    </w:p>
    <w:p>
      <w:pPr>
        <w:pStyle w:val="BodyText"/>
      </w:pPr>
      <w:r>
        <w:rPr>
          <w:bCs/>
          <w:b/>
        </w:rPr>
        <w:t xml:space="preserve">7.4</w:t>
      </w:r>
      <w:r>
        <w:t xml:space="preserve"> </w:t>
      </w:r>
      <w:r>
        <w:t xml:space="preserve">Të sigurojë bazën ligjore për përpunimin e të dhënave personale të punonjësve të tij, sipas nenit 5 të Ligjit Nr. 06/L-082, dhe të përmbushë detyrimet e informimit ndaj subjekteve të të dhënave sipas neneve 12 dhe 13 të atij ligji.</w:t>
      </w:r>
    </w:p>
    <w:p>
      <w:pPr>
        <w:pStyle w:val="BodyText"/>
      </w:pPr>
      <w:r>
        <w:rPr>
          <w:bCs/>
          <w:b/>
        </w:rPr>
        <w:t xml:space="preserve">7.5</w:t>
      </w:r>
      <w:r>
        <w:t xml:space="preserve"> </w:t>
      </w:r>
      <w:r>
        <w:t xml:space="preserve">Të mos ngarkojë në Shërbim kategori të veçanta të të dhënave personale (të dhëna shëndetësore, biometrike, bindje politike, përkatësi sindikale, orientim seksual etj.) përveç kur kjo është e domosdoshme për një qëllim të ligjshëm dhe Klienti ka siguruar bazën përkatëse ligjore. Klienti mban përgjegjësi të plotë për çdo ngarkim të tillë.</w:t>
      </w:r>
    </w:p>
    <w:p>
      <w:pPr>
        <w:pStyle w:val="BodyText"/>
      </w:pPr>
      <w:r>
        <w:rPr>
          <w:bCs/>
          <w:b/>
        </w:rPr>
        <w:t xml:space="preserve">7.6</w:t>
      </w:r>
      <w:r>
        <w:t xml:space="preserve"> </w:t>
      </w:r>
      <w:r>
        <w:t xml:space="preserve">Të përdorë Shërbimin në pajtim me legjislacionin në fuqi dhe me kufizimet e Nenit 4.3.</w:t>
      </w:r>
    </w:p>
    <w:p>
      <w:pPr>
        <w:pStyle w:val="BodyText"/>
      </w:pPr>
      <w:r>
        <w:rPr>
          <w:bCs/>
          <w:b/>
        </w:rPr>
        <w:t xml:space="preserve">7.7</w:t>
      </w:r>
      <w:r>
        <w:t xml:space="preserve"> </w:t>
      </w:r>
      <w:r>
        <w:t xml:space="preserve">Të bashkëpunojë në mirëbesim me Ofruesin gjatë zgjidhjes së problemeve teknike dhe të ofrojë informacionin e nevojshëm për diagnostikim.</w:t>
      </w:r>
    </w:p>
    <w:p>
      <w:pPr>
        <w:pStyle w:val="BodyText"/>
      </w:pPr>
      <w:r>
        <w:rPr>
          <w:bCs/>
          <w:b/>
        </w:rPr>
        <w:t xml:space="preserve">7.8</w:t>
      </w:r>
      <w:r>
        <w:t xml:space="preserve"> </w:t>
      </w:r>
      <w:r>
        <w:t xml:space="preserve">Të sigurojë pajisje, lidhje interneti dhe shfletues të përditësuar, të përshtatshëm për funksionimin e Shërbimit.</w:t>
      </w:r>
    </w:p>
    <w:bookmarkEnd w:id="33"/>
    <w:bookmarkStart w:id="34" w:name="Xdb518a6f64c40f24fc8ccf88d6f3bc38b25f676"/>
    <w:p>
      <w:pPr>
        <w:pStyle w:val="Heading2"/>
      </w:pPr>
      <w:r>
        <w:t xml:space="preserve">Neni 8 — Disponueshmëria, Mirëmbajtja dhe Niveli i Shërbimit</w:t>
      </w:r>
    </w:p>
    <w:p>
      <w:pPr>
        <w:pStyle w:val="FirstParagraph"/>
      </w:pPr>
      <w:r>
        <w:rPr>
          <w:bCs/>
          <w:b/>
        </w:rPr>
        <w:t xml:space="preserve">8.1</w:t>
      </w:r>
      <w:r>
        <w:t xml:space="preserve"> </w:t>
      </w:r>
      <w:r>
        <w:t xml:space="preserve">Ofruesi synon një disponueshmëri mujore prej</w:t>
      </w:r>
      <w:r>
        <w:t xml:space="preserve"> </w:t>
      </w:r>
      <w:r>
        <w:rPr>
          <w:bCs/>
          <w:b/>
        </w:rPr>
        <w:t xml:space="preserve">99,5%</w:t>
      </w:r>
      <w:r>
        <w:t xml:space="preserve"> </w:t>
      </w:r>
      <w:r>
        <w:t xml:space="preserve">të Shërbimit, e llogaritur sipas metodologjisë së</w:t>
      </w:r>
      <w:r>
        <w:t xml:space="preserve"> </w:t>
      </w:r>
      <w:r>
        <w:rPr>
          <w:bCs/>
          <w:b/>
        </w:rPr>
        <w:t xml:space="preserve">Aneksit 5</w:t>
      </w:r>
      <w:r>
        <w:t xml:space="preserve">.</w:t>
      </w:r>
    </w:p>
    <w:p>
      <w:pPr>
        <w:pStyle w:val="BodyText"/>
      </w:pPr>
      <w:r>
        <w:rPr>
          <w:bCs/>
          <w:b/>
        </w:rPr>
        <w:t xml:space="preserve">8.2</w:t>
      </w:r>
      <w:r>
        <w:t xml:space="preserve"> </w:t>
      </w:r>
      <w:r>
        <w:t xml:space="preserve">Nga llogaritja e disponueshmërisë</w:t>
      </w:r>
      <w:r>
        <w:t xml:space="preserve"> </w:t>
      </w:r>
      <w:r>
        <w:rPr>
          <w:bCs/>
          <w:b/>
        </w:rPr>
        <w:t xml:space="preserve">përjashtohen</w:t>
      </w:r>
      <w:r>
        <w:t xml:space="preserve">:</w:t>
      </w:r>
    </w:p>
    <w:p>
      <w:pPr>
        <w:numPr>
          <w:ilvl w:val="0"/>
          <w:numId w:val="1004"/>
        </w:numPr>
        <w:pStyle w:val="Compact"/>
      </w:pPr>
      <w:r>
        <w:t xml:space="preserve">mirëmbajtja e planifikuar e njoftuar paraprakisht;</w:t>
      </w:r>
    </w:p>
    <w:p>
      <w:pPr>
        <w:numPr>
          <w:ilvl w:val="0"/>
          <w:numId w:val="1004"/>
        </w:numPr>
        <w:pStyle w:val="Compact"/>
      </w:pPr>
      <w:r>
        <w:t xml:space="preserve">ndërhyrjet urgjente të sigurisë;</w:t>
      </w:r>
    </w:p>
    <w:p>
      <w:pPr>
        <w:numPr>
          <w:ilvl w:val="0"/>
          <w:numId w:val="1004"/>
        </w:numPr>
        <w:pStyle w:val="Compact"/>
      </w:pPr>
      <w:r>
        <w:t xml:space="preserve">mosfunksionimet që rrjedhin nga infrastruktura e palëve të treta (ofruesit e hostimit, rrjeti, DNS, ofruesit e energjisë);</w:t>
      </w:r>
    </w:p>
    <w:p>
      <w:pPr>
        <w:numPr>
          <w:ilvl w:val="0"/>
          <w:numId w:val="1004"/>
        </w:numPr>
        <w:pStyle w:val="Compact"/>
      </w:pPr>
      <w:r>
        <w:t xml:space="preserve">mosfunksionimet që rrjedhin nga pajisjet, rrjeti ose konfigurimi i Klientit;</w:t>
      </w:r>
    </w:p>
    <w:p>
      <w:pPr>
        <w:numPr>
          <w:ilvl w:val="0"/>
          <w:numId w:val="1004"/>
        </w:numPr>
        <w:pStyle w:val="Compact"/>
      </w:pPr>
      <w:r>
        <w:t xml:space="preserve">rastet e forcës madhore sipas</w:t>
      </w:r>
      <w:r>
        <w:t xml:space="preserve"> </w:t>
      </w:r>
      <w:r>
        <w:rPr>
          <w:bCs/>
          <w:b/>
        </w:rPr>
        <w:t xml:space="preserve">Nenit 25</w:t>
      </w:r>
      <w:r>
        <w:t xml:space="preserve">;</w:t>
      </w:r>
    </w:p>
    <w:p>
      <w:pPr>
        <w:numPr>
          <w:ilvl w:val="0"/>
          <w:numId w:val="1004"/>
        </w:numPr>
        <w:pStyle w:val="Compact"/>
      </w:pPr>
      <w:r>
        <w:t xml:space="preserve">pezullimi i ligjshëm sipas</w:t>
      </w:r>
      <w:r>
        <w:t xml:space="preserve"> </w:t>
      </w:r>
      <w:r>
        <w:rPr>
          <w:bCs/>
          <w:b/>
        </w:rPr>
        <w:t xml:space="preserve">Nenit 12.4</w:t>
      </w:r>
      <w:r>
        <w:t xml:space="preserve">.</w:t>
      </w:r>
    </w:p>
    <w:p>
      <w:pPr>
        <w:pStyle w:val="FirstParagraph"/>
      </w:pPr>
      <w:r>
        <w:rPr>
          <w:bCs/>
          <w:b/>
        </w:rPr>
        <w:t xml:space="preserve">8.3</w:t>
      </w:r>
      <w:r>
        <w:t xml:space="preserve"> </w:t>
      </w:r>
      <w:r>
        <w:t xml:space="preserve">Në rast se disponueshmëria bie nën nivelin e paragrafit 8.1 për shkaqe të atribuueshme Ofruesit, mjeti i vetëm dhe ekskluziv i Klientit është</w:t>
      </w:r>
      <w:r>
        <w:t xml:space="preserve"> </w:t>
      </w:r>
      <w:r>
        <w:rPr>
          <w:bCs/>
          <w:b/>
        </w:rPr>
        <w:t xml:space="preserve">kreditimi i shërbimit</w:t>
      </w:r>
      <w:r>
        <w:t xml:space="preserve"> </w:t>
      </w:r>
      <w:r>
        <w:t xml:space="preserve">sipas shkallës së përcaktuar në</w:t>
      </w:r>
      <w:r>
        <w:t xml:space="preserve"> </w:t>
      </w:r>
      <w:r>
        <w:rPr>
          <w:bCs/>
          <w:b/>
        </w:rPr>
        <w:t xml:space="preserve">Aneksin 5</w:t>
      </w:r>
      <w:r>
        <w:t xml:space="preserve">. Ky kredit nuk paguhet në para.</w:t>
      </w:r>
    </w:p>
    <w:p>
      <w:pPr>
        <w:pStyle w:val="BodyText"/>
      </w:pPr>
      <w:r>
        <w:rPr>
          <w:bCs/>
          <w:b/>
        </w:rPr>
        <w:t xml:space="preserve">8.4</w:t>
      </w:r>
      <w:r>
        <w:t xml:space="preserve"> </w:t>
      </w:r>
      <w:r>
        <w:t xml:space="preserve">Ofruesi ka të drejtë të ndryshojë, përmirësojë apo zëvendësojë komponentë teknikë të Shërbimit, me kusht që kjo të mos ulë ndjeshëm funksionalitetin thelbësor gjatë Periudhës aktuale të Abonimit.</w:t>
      </w:r>
    </w:p>
    <w:bookmarkEnd w:id="34"/>
    <w:bookmarkStart w:id="35" w:name="Xc4daf9e5ae8bf4d08d19189f9bf380ae4bb962d"/>
    <w:p>
      <w:pPr>
        <w:pStyle w:val="Heading2"/>
      </w:pPr>
      <w:r>
        <w:t xml:space="preserve">Neni 9 — Saktësia e Përllogaritjeve dhe Kufizim Thelbësor i Përgjegjësisë Tatimore</w:t>
      </w:r>
    </w:p>
    <w:p>
      <w:pPr>
        <w:pStyle w:val="FirstParagraph"/>
      </w:pPr>
      <w:r>
        <w:rPr>
          <w:bCs/>
          <w:b/>
        </w:rPr>
        <w:t xml:space="preserve">9.1</w:t>
      </w:r>
      <w:r>
        <w:t xml:space="preserve"> </w:t>
      </w:r>
      <w:r>
        <w:t xml:space="preserve">Ofruesi zbaton kujdes profesional në ndërtimin e motorit të përllogaritjes së pagave, tatimit në të ardhura personale dhe kontributeve pensionale, në përputhje me</w:t>
      </w:r>
      <w:r>
        <w:t xml:space="preserve"> </w:t>
      </w:r>
      <w:r>
        <w:rPr>
          <w:bCs/>
          <w:b/>
        </w:rPr>
        <w:t xml:space="preserve">Ligjin e Punës Nr. 03/L-212</w:t>
      </w:r>
      <w:r>
        <w:t xml:space="preserve">,</w:t>
      </w:r>
      <w:r>
        <w:t xml:space="preserve"> </w:t>
      </w:r>
      <w:r>
        <w:rPr>
          <w:bCs/>
          <w:b/>
        </w:rPr>
        <w:t xml:space="preserve">Ligjin Nr. 05/L-028 për Tatimin në të Ardhurat Personale</w:t>
      </w:r>
      <w:r>
        <w:t xml:space="preserve"> </w:t>
      </w:r>
      <w:r>
        <w:t xml:space="preserve">(i ndryshuar me Ligjin Nr. 08/L-142),</w:t>
      </w:r>
      <w:r>
        <w:t xml:space="preserve"> </w:t>
      </w:r>
      <w:r>
        <w:rPr>
          <w:bCs/>
          <w:b/>
        </w:rPr>
        <w:t xml:space="preserve">Ligjin Nr. 04/L-101 për Fondet Pensionale të Kosovës</w:t>
      </w:r>
      <w:r>
        <w:t xml:space="preserve"> </w:t>
      </w:r>
      <w:r>
        <w:t xml:space="preserve">(i ndryshuar dhe plotësuar me Ligjet Nr. 04/L-115, 04/L-168 dhe 05/L-116) dhe aktet nënligjore përkatëse.</w:t>
      </w:r>
    </w:p>
    <w:p>
      <w:pPr>
        <w:pStyle w:val="BodyText"/>
      </w:pPr>
      <w:r>
        <w:rPr>
          <w:bCs/>
          <w:b/>
        </w:rPr>
        <w:t xml:space="preserve">9.2</w:t>
      </w:r>
      <w:r>
        <w:t xml:space="preserve"> </w:t>
      </w:r>
      <w:r>
        <w:t xml:space="preserve">Megjithatë, Palët pranojnë shprehimisht se:</w:t>
      </w:r>
    </w:p>
    <w:p>
      <w:pPr>
        <w:numPr>
          <w:ilvl w:val="0"/>
          <w:numId w:val="1005"/>
        </w:numPr>
        <w:pStyle w:val="Compact"/>
      </w:pPr>
      <w:r>
        <w:rPr>
          <w:bCs/>
          <w:b/>
        </w:rPr>
        <w:t xml:space="preserve">Klienti mbetet i vetmi subjekt i detyrimeve tatimore dhe kontributive</w:t>
      </w:r>
      <w:r>
        <w:t xml:space="preserve"> </w:t>
      </w:r>
      <w:r>
        <w:t xml:space="preserve">ndaj ATK-së, Trustit dhe çdo organi tjetër publik;</w:t>
      </w:r>
    </w:p>
    <w:p>
      <w:pPr>
        <w:numPr>
          <w:ilvl w:val="0"/>
          <w:numId w:val="1005"/>
        </w:numPr>
        <w:pStyle w:val="Compact"/>
      </w:pPr>
      <w:r>
        <w:t xml:space="preserve">Shërbimi gjeneron rezultate</w:t>
      </w:r>
      <w:r>
        <w:t xml:space="preserve"> </w:t>
      </w:r>
      <w:r>
        <w:rPr>
          <w:bCs/>
          <w:b/>
        </w:rPr>
        <w:t xml:space="preserve">në bazë të të dhënave dhe konfigurimeve të futura nga Klienti</w:t>
      </w:r>
      <w:r>
        <w:t xml:space="preserve">; të dhëna të pasakta prodhojnë rezultate të pasakta;</w:t>
      </w:r>
    </w:p>
    <w:p>
      <w:pPr>
        <w:numPr>
          <w:ilvl w:val="0"/>
          <w:numId w:val="1005"/>
        </w:numPr>
        <w:pStyle w:val="Compact"/>
      </w:pPr>
      <w:r>
        <w:t xml:space="preserve">Ofruesi</w:t>
      </w:r>
      <w:r>
        <w:t xml:space="preserve"> </w:t>
      </w:r>
      <w:r>
        <w:rPr>
          <w:bCs/>
          <w:b/>
        </w:rPr>
        <w:t xml:space="preserve">nuk garanton</w:t>
      </w:r>
      <w:r>
        <w:t xml:space="preserve"> </w:t>
      </w:r>
      <w:r>
        <w:t xml:space="preserve">se çdo përllogaritje do të përputhet me interpretimin e ardhshëm ose me praktikën administrative të ATK-së apo Trustit;</w:t>
      </w:r>
    </w:p>
    <w:p>
      <w:pPr>
        <w:numPr>
          <w:ilvl w:val="0"/>
          <w:numId w:val="1005"/>
        </w:numPr>
        <w:pStyle w:val="Compact"/>
      </w:pPr>
      <w:r>
        <w:t xml:space="preserve">Klienti është i detyruar të</w:t>
      </w:r>
      <w:r>
        <w:t xml:space="preserve"> </w:t>
      </w:r>
      <w:r>
        <w:rPr>
          <w:bCs/>
          <w:b/>
        </w:rPr>
        <w:t xml:space="preserve">verifikojë çdo rezultat</w:t>
      </w:r>
      <w:r>
        <w:t xml:space="preserve"> </w:t>
      </w:r>
      <w:r>
        <w:t xml:space="preserve">para përdorimit zyrtar, sipas Nenit 7.3.</w:t>
      </w:r>
    </w:p>
    <w:p>
      <w:pPr>
        <w:pStyle w:val="FirstParagraph"/>
      </w:pPr>
      <w:r>
        <w:rPr>
          <w:bCs/>
          <w:b/>
        </w:rPr>
        <w:t xml:space="preserve">9.3</w:t>
      </w:r>
      <w:r>
        <w:t xml:space="preserve"> </w:t>
      </w:r>
      <w:r>
        <w:t xml:space="preserve">Ofruesi</w:t>
      </w:r>
      <w:r>
        <w:t xml:space="preserve"> </w:t>
      </w:r>
      <w:r>
        <w:rPr>
          <w:bCs/>
          <w:b/>
        </w:rPr>
        <w:t xml:space="preserve">nuk mban përgjegjësi</w:t>
      </w:r>
      <w:r>
        <w:t xml:space="preserve"> </w:t>
      </w:r>
      <w:r>
        <w:t xml:space="preserve">për gjoba, kamata, ngarkesa administrative, penalitete apo sanksione të vendosura ndaj Klientit nga ATK, Trusti, Inspektorati i Punës apo çdo organ tjetër, përveç në rastet e</w:t>
      </w:r>
      <w:r>
        <w:t xml:space="preserve"> </w:t>
      </w:r>
      <w:r>
        <w:rPr>
          <w:bCs/>
          <w:b/>
        </w:rPr>
        <w:t xml:space="preserve">dashjes ose pakujdesisë së rëndë</w:t>
      </w:r>
      <w:r>
        <w:t xml:space="preserve"> </w:t>
      </w:r>
      <w:r>
        <w:t xml:space="preserve">të Ofruesit, ku përgjegjësia rregullohet sipas Nenit 23.4.</w:t>
      </w:r>
    </w:p>
    <w:p>
      <w:pPr>
        <w:pStyle w:val="BodyText"/>
      </w:pPr>
      <w:r>
        <w:rPr>
          <w:bCs/>
          <w:b/>
        </w:rPr>
        <w:t xml:space="preserve">9.4</w:t>
      </w:r>
      <w:r>
        <w:t xml:space="preserve"> </w:t>
      </w:r>
      <w:r>
        <w:t xml:space="preserve">Ndryshimet legjislative hyjnë në Shërbim pas publikimit zyrtar dhe pas një periudhe të arsyeshme zbatimi teknik. Klienti është përgjegjës të monitorojë ndryshimet ligjore që prekin veprimtarinë e tij.</w:t>
      </w:r>
    </w:p>
    <w:p>
      <w:r>
        <w:pict>
          <v:rect style="width:0;height:1.5pt" o:hralign="center" o:hrstd="t" o:hr="t"/>
        </w:pict>
      </w:r>
    </w:p>
    <w:bookmarkEnd w:id="35"/>
    <w:bookmarkEnd w:id="36"/>
    <w:bookmarkStart w:id="41" w:name="kreu-iv-kushtet-financiare"/>
    <w:p>
      <w:pPr>
        <w:pStyle w:val="Heading1"/>
      </w:pPr>
      <w:r>
        <w:t xml:space="preserve">KREU IV — KUSHTET FINANCIARE</w:t>
      </w:r>
    </w:p>
    <w:bookmarkStart w:id="37" w:name="neni-10-abonimi-çmimet-dhe-faturimi"/>
    <w:p>
      <w:pPr>
        <w:pStyle w:val="Heading2"/>
      </w:pPr>
      <w:r>
        <w:t xml:space="preserve">Neni 10 — Abonimi, Çmimet dhe Faturimi</w:t>
      </w:r>
    </w:p>
    <w:p>
      <w:pPr>
        <w:pStyle w:val="FirstParagraph"/>
      </w:pPr>
      <w:r>
        <w:rPr>
          <w:bCs/>
          <w:b/>
        </w:rPr>
        <w:t xml:space="preserve">10.1</w:t>
      </w:r>
      <w:r>
        <w:t xml:space="preserve"> </w:t>
      </w:r>
      <w:r>
        <w:t xml:space="preserve">Klienti ka zgjedhur planin e abonimit dhe çmimin e specifikuar në</w:t>
      </w:r>
      <w:r>
        <w:t xml:space="preserve"> </w:t>
      </w:r>
      <w:r>
        <w:rPr>
          <w:bCs/>
          <w:b/>
        </w:rPr>
        <w:t xml:space="preserve">Aneksin 1</w:t>
      </w:r>
      <w:r>
        <w:t xml:space="preserve">.</w:t>
      </w:r>
    </w:p>
    <w:p>
      <w:pPr>
        <w:pStyle w:val="BodyText"/>
      </w:pPr>
      <w:r>
        <w:rPr>
          <w:bCs/>
          <w:b/>
        </w:rPr>
        <w:t xml:space="preserve">10.2</w:t>
      </w:r>
      <w:r>
        <w:t xml:space="preserve"> </w:t>
      </w:r>
      <w:r>
        <w:t xml:space="preserve">Të gjitha çmimet shprehen në</w:t>
      </w:r>
      <w:r>
        <w:t xml:space="preserve"> </w:t>
      </w:r>
      <w:r>
        <w:rPr>
          <w:bCs/>
          <w:b/>
        </w:rPr>
        <w:t xml:space="preserve">euro (EUR)</w:t>
      </w:r>
      <w:r>
        <w:t xml:space="preserve">. Nëse Ofruesi është i regjistruar për TVSH, çmimet janë</w:t>
      </w:r>
      <w:r>
        <w:t xml:space="preserve"> </w:t>
      </w:r>
      <w:r>
        <w:rPr>
          <w:bCs/>
          <w:b/>
        </w:rPr>
        <w:t xml:space="preserve">pa TVSH</w:t>
      </w:r>
      <w:r>
        <w:t xml:space="preserve">, e cila i shtohet faturës sipas normës në fuqi për periudhën përkatëse, në pajtim me Ligjin Nr. 05/L-037 për Tatimin mbi Vlerën e Shtuar.</w:t>
      </w:r>
    </w:p>
    <w:p>
      <w:pPr>
        <w:pStyle w:val="BodyText"/>
      </w:pPr>
      <w:r>
        <w:rPr>
          <w:bCs/>
          <w:b/>
        </w:rPr>
        <w:t xml:space="preserve">10.3</w:t>
      </w:r>
      <w:r>
        <w:t xml:space="preserve"> </w:t>
      </w:r>
      <w:r>
        <w:t xml:space="preserve">Faturimi kryhet</w:t>
      </w:r>
      <w:r>
        <w:t xml:space="preserve"> </w:t>
      </w:r>
      <w:r>
        <w:rPr>
          <w:bCs/>
          <w:b/>
        </w:rPr>
        <w:t xml:space="preserve">paraprakisht</w:t>
      </w:r>
      <w:r>
        <w:t xml:space="preserve"> </w:t>
      </w:r>
      <w:r>
        <w:t xml:space="preserve">për çdo Periudhë Abonimi (mujore ose vjetore, sipas zgjedhjes në Aneksin 1), përveç nëse është rënë dakord ndryshe me shkrim.</w:t>
      </w:r>
    </w:p>
    <w:p>
      <w:pPr>
        <w:pStyle w:val="BodyText"/>
      </w:pPr>
      <w:r>
        <w:rPr>
          <w:bCs/>
          <w:b/>
        </w:rPr>
        <w:t xml:space="preserve">10.4</w:t>
      </w:r>
      <w:r>
        <w:t xml:space="preserve"> </w:t>
      </w:r>
      <w:r>
        <w:t xml:space="preserve">Fatura konsiderohet e pranuar nëse Klienti nuk e konteston me shkrim brenda</w:t>
      </w:r>
      <w:r>
        <w:t xml:space="preserve"> </w:t>
      </w:r>
      <w:r>
        <w:rPr>
          <w:bCs/>
          <w:b/>
        </w:rPr>
        <w:t xml:space="preserve">tetë (8) ditëve</w:t>
      </w:r>
      <w:r>
        <w:t xml:space="preserve"> </w:t>
      </w:r>
      <w:r>
        <w:t xml:space="preserve">nga data e lëshimit.</w:t>
      </w:r>
    </w:p>
    <w:p>
      <w:pPr>
        <w:pStyle w:val="BodyText"/>
      </w:pPr>
      <w:r>
        <w:rPr>
          <w:bCs/>
          <w:b/>
        </w:rPr>
        <w:t xml:space="preserve">10.5</w:t>
      </w:r>
      <w:r>
        <w:t xml:space="preserve"> </w:t>
      </w:r>
      <w:r>
        <w:t xml:space="preserve">Afati i pagesës është</w:t>
      </w:r>
      <w:r>
        <w:t xml:space="preserve"> </w:t>
      </w:r>
      <w:r>
        <w:rPr>
          <w:bCs/>
          <w:b/>
        </w:rPr>
        <w:t xml:space="preserve">tridhjetë (30) ditë</w:t>
      </w:r>
      <w:r>
        <w:t xml:space="preserve"> </w:t>
      </w:r>
      <w:r>
        <w:t xml:space="preserve">nga data e faturës, përveç nëse në Aneksin 1 është caktuar afat tjetër, i cili në asnjë rast nuk mund të kalojë gjashtëdhjetë (60) ditë, në pajtim me Ligjin Nr. 05/L-110.</w:t>
      </w:r>
    </w:p>
    <w:p>
      <w:pPr>
        <w:pStyle w:val="BodyText"/>
      </w:pPr>
      <w:r>
        <w:rPr>
          <w:bCs/>
          <w:b/>
        </w:rPr>
        <w:t xml:space="preserve">10.6</w:t>
      </w:r>
      <w:r>
        <w:t xml:space="preserve"> </w:t>
      </w:r>
      <w:r>
        <w:t xml:space="preserve">Nëse plani i Klientit bazohet në numrin e punonjësve ose Përdoruesve aktivë, ndryshimet gjatë periudhës faturohen proporcionalisht (</w:t>
      </w:r>
      <w:r>
        <w:rPr>
          <w:iCs/>
          <w:i/>
        </w:rPr>
        <w:t xml:space="preserve">pro rata</w:t>
      </w:r>
      <w:r>
        <w:t xml:space="preserve">) në faturën e ardhshme.</w:t>
      </w:r>
    </w:p>
    <w:p>
      <w:pPr>
        <w:pStyle w:val="BodyText"/>
      </w:pPr>
      <w:r>
        <w:rPr>
          <w:bCs/>
          <w:b/>
        </w:rPr>
        <w:t xml:space="preserve">10.7</w:t>
      </w:r>
      <w:r>
        <w:t xml:space="preserve"> </w:t>
      </w:r>
      <w:r>
        <w:t xml:space="preserve">Pagesat kryhen përmes transfertës bankare ose kanaleve të tjera të pranuara nga Ofruesi. Shpenzimet bankare i mbulon Klienti.</w:t>
      </w:r>
    </w:p>
    <w:bookmarkEnd w:id="37"/>
    <w:bookmarkStart w:id="38" w:name="X6d23328db536d86a9f4712871f10e38c3f2c6d9"/>
    <w:p>
      <w:pPr>
        <w:pStyle w:val="Heading2"/>
      </w:pPr>
      <w:r>
        <w:t xml:space="preserve">Neni 11 — Rinovimi Automatik dhe Ndryshimi i Çmimeve</w:t>
      </w:r>
    </w:p>
    <w:p>
      <w:pPr>
        <w:pStyle w:val="FirstParagraph"/>
      </w:pPr>
      <w:r>
        <w:rPr>
          <w:bCs/>
          <w:b/>
        </w:rPr>
        <w:t xml:space="preserve">11.1</w:t>
      </w:r>
      <w:r>
        <w:t xml:space="preserve"> </w:t>
      </w:r>
      <w:r>
        <w:t xml:space="preserve">Abonimi</w:t>
      </w:r>
      <w:r>
        <w:t xml:space="preserve"> </w:t>
      </w:r>
      <w:r>
        <w:rPr>
          <w:bCs/>
          <w:b/>
        </w:rPr>
        <w:t xml:space="preserve">rinovohet automatikisht</w:t>
      </w:r>
      <w:r>
        <w:t xml:space="preserve"> </w:t>
      </w:r>
      <w:r>
        <w:t xml:space="preserve">për një periudhë të njëjtë me atë paraprake, përveç nëse njëra Palë njofton me shkrim palën tjetër për mosrinovim, së paku:</w:t>
      </w:r>
    </w:p>
    <w:p>
      <w:pPr>
        <w:numPr>
          <w:ilvl w:val="0"/>
          <w:numId w:val="1006"/>
        </w:numPr>
        <w:pStyle w:val="Compact"/>
      </w:pPr>
      <w:r>
        <w:rPr>
          <w:bCs/>
          <w:b/>
        </w:rPr>
        <w:t xml:space="preserve">pesëmbëdhjetë (15) ditë</w:t>
      </w:r>
      <w:r>
        <w:t xml:space="preserve"> </w:t>
      </w:r>
      <w:r>
        <w:t xml:space="preserve">para skadimit, për abonimet mujore;</w:t>
      </w:r>
    </w:p>
    <w:p>
      <w:pPr>
        <w:numPr>
          <w:ilvl w:val="0"/>
          <w:numId w:val="1006"/>
        </w:numPr>
        <w:pStyle w:val="Compact"/>
      </w:pPr>
      <w:r>
        <w:rPr>
          <w:bCs/>
          <w:b/>
        </w:rPr>
        <w:t xml:space="preserve">tridhjetë (30) ditë</w:t>
      </w:r>
      <w:r>
        <w:t xml:space="preserve"> </w:t>
      </w:r>
      <w:r>
        <w:t xml:space="preserve">para skadimit, për abonimet vjetore.</w:t>
      </w:r>
    </w:p>
    <w:p>
      <w:pPr>
        <w:pStyle w:val="FirstParagraph"/>
      </w:pPr>
      <w:r>
        <w:rPr>
          <w:bCs/>
          <w:b/>
        </w:rPr>
        <w:t xml:space="preserve">11.2</w:t>
      </w:r>
      <w:r>
        <w:t xml:space="preserve"> </w:t>
      </w:r>
      <w:r>
        <w:t xml:space="preserve">Ofruesi ka të drejtë të ndryshojë çmimet, me njoftim paraprak me shkrim së paku</w:t>
      </w:r>
      <w:r>
        <w:t xml:space="preserve"> </w:t>
      </w:r>
      <w:r>
        <w:rPr>
          <w:bCs/>
          <w:b/>
        </w:rPr>
        <w:t xml:space="preserve">tridhjetë (30) ditë</w:t>
      </w:r>
      <w:r>
        <w:t xml:space="preserve"> </w:t>
      </w:r>
      <w:r>
        <w:t xml:space="preserve">para hyrjes në fuqi. Çmimi i ri zbatohet vetëm nga Periudha e ardhshme e Abonimit.</w:t>
      </w:r>
    </w:p>
    <w:p>
      <w:pPr>
        <w:pStyle w:val="BodyText"/>
      </w:pPr>
      <w:r>
        <w:rPr>
          <w:bCs/>
          <w:b/>
        </w:rPr>
        <w:t xml:space="preserve">11.3</w:t>
      </w:r>
      <w:r>
        <w:t xml:space="preserve"> </w:t>
      </w:r>
      <w:r>
        <w:t xml:space="preserve">Nëse Klienti nuk pajtohet me çmimin e ri, ai ka të drejtë të zgjidhë Kontratën pa penalitet, me njoftim me shkrim para hyrjes në fuqi të çmimit të ri. Vazhdimi i përdorimit pas kësaj date konsiderohet pranim i çmimit të ri.</w:t>
      </w:r>
    </w:p>
    <w:p>
      <w:pPr>
        <w:pStyle w:val="BodyText"/>
      </w:pPr>
      <w:r>
        <w:rPr>
          <w:bCs/>
          <w:b/>
        </w:rPr>
        <w:t xml:space="preserve">11.4</w:t>
      </w:r>
      <w:r>
        <w:t xml:space="preserve"> </w:t>
      </w:r>
      <w:r>
        <w:t xml:space="preserve">Ndryshimet e çmimit që rrjedhin drejtpërdrejt nga ndryshime të normave tatimore publike nuk konsiderohen ndryshim çmimi sipas këtij neni.</w:t>
      </w:r>
    </w:p>
    <w:bookmarkEnd w:id="38"/>
    <w:bookmarkStart w:id="39" w:name="X3fe3c96ce0de527dd03bd6be1756d5a1373f981"/>
    <w:p>
      <w:pPr>
        <w:pStyle w:val="Heading2"/>
      </w:pPr>
      <w:r>
        <w:t xml:space="preserve">Neni 12 — Vonesa në Pagesë, Kamatëvonesa dhe Pezullimi</w:t>
      </w:r>
    </w:p>
    <w:p>
      <w:pPr>
        <w:pStyle w:val="FirstParagraph"/>
      </w:pPr>
      <w:r>
        <w:rPr>
          <w:bCs/>
          <w:b/>
        </w:rPr>
        <w:t xml:space="preserve">12.1</w:t>
      </w:r>
      <w:r>
        <w:t xml:space="preserve"> </w:t>
      </w:r>
      <w:r>
        <w:t xml:space="preserve">Në rast vonese në pagesë, Ofruesi ka të drejtë të llogarisë</w:t>
      </w:r>
      <w:r>
        <w:t xml:space="preserve"> </w:t>
      </w:r>
      <w:r>
        <w:rPr>
          <w:bCs/>
          <w:b/>
        </w:rPr>
        <w:t xml:space="preserve">kamatëvonesë</w:t>
      </w:r>
      <w:r>
        <w:t xml:space="preserve"> </w:t>
      </w:r>
      <w:r>
        <w:t xml:space="preserve">në pajtim me</w:t>
      </w:r>
      <w:r>
        <w:t xml:space="preserve"> </w:t>
      </w:r>
      <w:r>
        <w:rPr>
          <w:bCs/>
          <w:b/>
        </w:rPr>
        <w:t xml:space="preserve">Ligjin Nr. 05/L-110 për Kamatëvonesat në Transaksionet Tregtare</w:t>
      </w:r>
      <w:r>
        <w:t xml:space="preserve">, përkatësisht norma referente e Bankës Qendrore të Republikës së Kosovës e shtuar për</w:t>
      </w:r>
      <w:r>
        <w:t xml:space="preserve"> </w:t>
      </w:r>
      <w:r>
        <w:rPr>
          <w:bCs/>
          <w:b/>
        </w:rPr>
        <w:t xml:space="preserve">tetë (8) pikë përqindjeje</w:t>
      </w:r>
      <w:r>
        <w:t xml:space="preserve">.</w:t>
      </w:r>
    </w:p>
    <w:p>
      <w:pPr>
        <w:pStyle w:val="BodyText"/>
      </w:pPr>
      <w:r>
        <w:rPr>
          <w:bCs/>
          <w:b/>
        </w:rPr>
        <w:t xml:space="preserve">12.2</w:t>
      </w:r>
      <w:r>
        <w:t xml:space="preserve"> </w:t>
      </w:r>
      <w:r>
        <w:t xml:space="preserve">Përveç kamatëvonesës, Ofruesi ka të drejtë të kërkojë</w:t>
      </w:r>
      <w:r>
        <w:t xml:space="preserve"> </w:t>
      </w:r>
      <w:r>
        <w:rPr>
          <w:bCs/>
          <w:b/>
        </w:rPr>
        <w:t xml:space="preserve">kompensim fiks prej dyzet (40) euro</w:t>
      </w:r>
      <w:r>
        <w:t xml:space="preserve"> </w:t>
      </w:r>
      <w:r>
        <w:t xml:space="preserve">për shpenzimet e arkëtimit, si dhe shpenzimet e arsyeshme shtesë të arkëtimit, në pajtim me nenin 7 të Ligjit Nr. 05/L-110.</w:t>
      </w:r>
    </w:p>
    <w:p>
      <w:pPr>
        <w:pStyle w:val="BodyText"/>
      </w:pPr>
      <w:r>
        <w:rPr>
          <w:bCs/>
          <w:b/>
        </w:rPr>
        <w:t xml:space="preserve">12.3</w:t>
      </w:r>
      <w:r>
        <w:t xml:space="preserve"> </w:t>
      </w:r>
      <w:r>
        <w:t xml:space="preserve">Klienti</w:t>
      </w:r>
      <w:r>
        <w:t xml:space="preserve"> </w:t>
      </w:r>
      <w:r>
        <w:rPr>
          <w:bCs/>
          <w:b/>
        </w:rPr>
        <w:t xml:space="preserve">nuk ka të drejtë</w:t>
      </w:r>
      <w:r>
        <w:t xml:space="preserve"> </w:t>
      </w:r>
      <w:r>
        <w:t xml:space="preserve">të kompensojë (</w:t>
      </w:r>
      <w:r>
        <w:rPr>
          <w:iCs/>
          <w:i/>
        </w:rPr>
        <w:t xml:space="preserve">set-off</w:t>
      </w:r>
      <w:r>
        <w:t xml:space="preserve">) detyrimet e tij ndaj Ofruesit me pretendime të pakonfirmuara, përveç kur pretendimi është njohur me shkrim nga Ofruesi ose është konstatuar me vendim gjyqësor të formës së prerë.</w:t>
      </w:r>
    </w:p>
    <w:p>
      <w:pPr>
        <w:pStyle w:val="BodyText"/>
      </w:pPr>
      <w:r>
        <w:rPr>
          <w:bCs/>
          <w:b/>
        </w:rPr>
        <w:t xml:space="preserve">12.4 Pezullimi.</w:t>
      </w:r>
      <w:r>
        <w:t xml:space="preserve"> </w:t>
      </w:r>
      <w:r>
        <w:t xml:space="preserve">Nëse vonesa tejkalon</w:t>
      </w:r>
      <w:r>
        <w:t xml:space="preserve"> </w:t>
      </w:r>
      <w:r>
        <w:rPr>
          <w:bCs/>
          <w:b/>
        </w:rPr>
        <w:t xml:space="preserve">pesëmbëdhjetë (15) ditë</w:t>
      </w:r>
      <w:r>
        <w:t xml:space="preserve"> </w:t>
      </w:r>
      <w:r>
        <w:t xml:space="preserve">nga afati i pagesës dhe Klienti nuk ka reaguar ndaj një njoftimi me shkrim me afat shtesë prej së paku</w:t>
      </w:r>
      <w:r>
        <w:t xml:space="preserve"> </w:t>
      </w:r>
      <w:r>
        <w:rPr>
          <w:bCs/>
          <w:b/>
        </w:rPr>
        <w:t xml:space="preserve">shtatë (7) ditësh</w:t>
      </w:r>
      <w:r>
        <w:t xml:space="preserve">, Ofruesi ka të drejtë të</w:t>
      </w:r>
      <w:r>
        <w:t xml:space="preserve"> </w:t>
      </w:r>
      <w:r>
        <w:rPr>
          <w:bCs/>
          <w:b/>
        </w:rPr>
        <w:t xml:space="preserve">pezullojë qasjen</w:t>
      </w:r>
      <w:r>
        <w:t xml:space="preserve"> </w:t>
      </w:r>
      <w:r>
        <w:t xml:space="preserve">në Shërbim deri në shlyerjen e plotë. Pezullimi nuk e liron Klientin nga detyrimi i pagesës për periudhën e pezulluar.</w:t>
      </w:r>
    </w:p>
    <w:p>
      <w:pPr>
        <w:pStyle w:val="BodyText"/>
      </w:pPr>
      <w:r>
        <w:rPr>
          <w:bCs/>
          <w:b/>
        </w:rPr>
        <w:t xml:space="preserve">12.5</w:t>
      </w:r>
      <w:r>
        <w:t xml:space="preserve"> </w:t>
      </w:r>
      <w:r>
        <w:t xml:space="preserve">Gjatë pezullimit, Të Dhënat e Klientit</w:t>
      </w:r>
      <w:r>
        <w:t xml:space="preserve"> </w:t>
      </w:r>
      <w:r>
        <w:rPr>
          <w:bCs/>
          <w:b/>
        </w:rPr>
        <w:t xml:space="preserve">ruhen të paprekura</w:t>
      </w:r>
      <w:r>
        <w:t xml:space="preserve"> </w:t>
      </w:r>
      <w:r>
        <w:t xml:space="preserve">dhe nuk fshihen për një periudhë prej së paku</w:t>
      </w:r>
      <w:r>
        <w:t xml:space="preserve"> </w:t>
      </w:r>
      <w:r>
        <w:rPr>
          <w:bCs/>
          <w:b/>
        </w:rPr>
        <w:t xml:space="preserve">nëntëdhjetë (90) ditësh nga fillimi i pezullimit</w:t>
      </w:r>
      <w:r>
        <w:t xml:space="preserve">, pavarësisht nga zgjidhja eventuale e Kontratës sipas Nenit 12.6. Periudha e nxjerrjes sipas Nenit 20.3 fillon pas skadimit të kësaj periudhe.</w:t>
      </w:r>
    </w:p>
    <w:p>
      <w:pPr>
        <w:pStyle w:val="BodyText"/>
      </w:pPr>
      <w:r>
        <w:rPr>
          <w:bCs/>
          <w:b/>
        </w:rPr>
        <w:t xml:space="preserve">12.6</w:t>
      </w:r>
      <w:r>
        <w:t xml:space="preserve"> </w:t>
      </w:r>
      <w:r>
        <w:t xml:space="preserve">Nëse vonesa tejkalon</w:t>
      </w:r>
      <w:r>
        <w:t xml:space="preserve"> </w:t>
      </w:r>
      <w:r>
        <w:rPr>
          <w:bCs/>
          <w:b/>
        </w:rPr>
        <w:t xml:space="preserve">gjashtëdhjetë (60) ditë</w:t>
      </w:r>
      <w:r>
        <w:t xml:space="preserve">, Ofruesi ka të drejtë të zgjidhë Kontratën me efekt të menjëhershëm.</w:t>
      </w:r>
    </w:p>
    <w:bookmarkEnd w:id="39"/>
    <w:bookmarkStart w:id="40" w:name="Xa5ab4a523b8c0b2d725728e0303a9e3e778dc87"/>
    <w:p>
      <w:pPr>
        <w:pStyle w:val="Heading2"/>
      </w:pPr>
      <w:r>
        <w:t xml:space="preserve">Neni 13 — Periudha Provuese dhe Rimbursimet</w:t>
      </w:r>
    </w:p>
    <w:p>
      <w:pPr>
        <w:pStyle w:val="FirstParagraph"/>
      </w:pPr>
      <w:r>
        <w:rPr>
          <w:bCs/>
          <w:b/>
        </w:rPr>
        <w:t xml:space="preserve">13.1</w:t>
      </w:r>
      <w:r>
        <w:t xml:space="preserve"> </w:t>
      </w:r>
      <w:r>
        <w:t xml:space="preserve">Ofruesi mund të ofrojë një</w:t>
      </w:r>
      <w:r>
        <w:t xml:space="preserve"> </w:t>
      </w:r>
      <w:r>
        <w:rPr>
          <w:bCs/>
          <w:b/>
        </w:rPr>
        <w:t xml:space="preserve">periudhë provuese falas</w:t>
      </w:r>
      <w:r>
        <w:t xml:space="preserve"> </w:t>
      </w:r>
      <w:r>
        <w:t xml:space="preserve">sipas kushteve të publikuara. Gjatë kësaj periudhe Shërbimi ofrohet</w:t>
      </w:r>
      <w:r>
        <w:t xml:space="preserve"> </w:t>
      </w:r>
      <w:r>
        <w:t xml:space="preserve">“</w:t>
      </w:r>
      <w:r>
        <w:t xml:space="preserve">siç është</w:t>
      </w:r>
      <w:r>
        <w:t xml:space="preserve">”</w:t>
      </w:r>
      <w:r>
        <w:t xml:space="preserve">, pa garanci dhe pa detyrime SLA.</w:t>
      </w:r>
    </w:p>
    <w:p>
      <w:pPr>
        <w:pStyle w:val="BodyText"/>
      </w:pPr>
      <w:r>
        <w:rPr>
          <w:bCs/>
          <w:b/>
        </w:rPr>
        <w:t xml:space="preserve">13.2</w:t>
      </w:r>
      <w:r>
        <w:t xml:space="preserve"> </w:t>
      </w:r>
      <w:r>
        <w:t xml:space="preserve">Për abonimet</w:t>
      </w:r>
      <w:r>
        <w:t xml:space="preserve"> </w:t>
      </w:r>
      <w:r>
        <w:rPr>
          <w:bCs/>
          <w:b/>
        </w:rPr>
        <w:t xml:space="preserve">mujore</w:t>
      </w:r>
      <w:r>
        <w:t xml:space="preserve">, tarifa e paguar</w:t>
      </w:r>
      <w:r>
        <w:t xml:space="preserve"> </w:t>
      </w:r>
      <w:r>
        <w:rPr>
          <w:bCs/>
          <w:b/>
        </w:rPr>
        <w:t xml:space="preserve">nuk rimbursohet</w:t>
      </w:r>
      <w:r>
        <w:t xml:space="preserve"> </w:t>
      </w:r>
      <w:r>
        <w:t xml:space="preserve">në rast zgjidhjeje nga Klienti pa shkak të atribuueshëm Ofruesit, përfshirë zgjidhjen gjatë muajit të filluar, pa cenuar paragrafin 13.4.</w:t>
      </w:r>
    </w:p>
    <w:p>
      <w:pPr>
        <w:pStyle w:val="BodyText"/>
      </w:pPr>
      <w:r>
        <w:rPr>
          <w:bCs/>
          <w:b/>
        </w:rPr>
        <w:t xml:space="preserve">13.3</w:t>
      </w:r>
      <w:r>
        <w:t xml:space="preserve"> </w:t>
      </w:r>
      <w:r>
        <w:t xml:space="preserve">Për abonimet</w:t>
      </w:r>
      <w:r>
        <w:t xml:space="preserve"> </w:t>
      </w:r>
      <w:r>
        <w:rPr>
          <w:bCs/>
          <w:b/>
        </w:rPr>
        <w:t xml:space="preserve">vjetore</w:t>
      </w:r>
      <w:r>
        <w:t xml:space="preserve">, në rast zgjidhjeje nga Klienti pa shkak të atribuueshëm Ofruesit, tarifa nuk rimbursohet.</w:t>
      </w:r>
    </w:p>
    <w:p>
      <w:pPr>
        <w:pStyle w:val="BodyText"/>
      </w:pPr>
      <w:r>
        <w:rPr>
          <w:bCs/>
          <w:b/>
        </w:rPr>
        <w:t xml:space="preserve">13.4</w:t>
      </w:r>
      <w:r>
        <w:t xml:space="preserve"> </w:t>
      </w:r>
      <w:r>
        <w:t xml:space="preserve">Klienti ka të drejtë të kërkojë</w:t>
      </w:r>
      <w:r>
        <w:t xml:space="preserve"> </w:t>
      </w:r>
      <w:r>
        <w:rPr>
          <w:bCs/>
          <w:b/>
        </w:rPr>
        <w:t xml:space="preserve">rimbursim proporcional</w:t>
      </w:r>
      <w:r>
        <w:t xml:space="preserve"> </w:t>
      </w:r>
      <w:r>
        <w:t xml:space="preserve">(</w:t>
      </w:r>
      <w:r>
        <w:rPr>
          <w:iCs/>
          <w:i/>
        </w:rPr>
        <w:t xml:space="preserve">pro rata</w:t>
      </w:r>
      <w:r>
        <w:t xml:space="preserve">) për pjesën e papërdorur të Periudhës së Abonimit në rastet kur:</w:t>
      </w:r>
    </w:p>
    <w:p>
      <w:pPr>
        <w:numPr>
          <w:ilvl w:val="0"/>
          <w:numId w:val="1007"/>
        </w:numPr>
      </w:pPr>
      <w:r>
        <w:t xml:space="preserve">Ofruesi ndërpret përfundimisht ofrimin e Shërbimit; ose</w:t>
      </w:r>
    </w:p>
    <w:p>
      <w:pPr>
        <w:numPr>
          <w:ilvl w:val="0"/>
          <w:numId w:val="1007"/>
        </w:numPr>
      </w:pPr>
      <w:r>
        <w:t xml:space="preserve">Klienti zgjidh Kontratën për shkak të një</w:t>
      </w:r>
      <w:r>
        <w:t xml:space="preserve"> </w:t>
      </w:r>
      <w:r>
        <w:rPr>
          <w:bCs/>
          <w:b/>
        </w:rPr>
        <w:t xml:space="preserve">shkeljeje thelbësore të pariparuar</w:t>
      </w:r>
      <w:r>
        <w:t xml:space="preserve"> </w:t>
      </w:r>
      <w:r>
        <w:t xml:space="preserve">të Ofruesit, sipas Nenit 26.4; ose</w:t>
      </w:r>
    </w:p>
    <w:p>
      <w:pPr>
        <w:numPr>
          <w:ilvl w:val="0"/>
          <w:numId w:val="1007"/>
        </w:numPr>
      </w:pPr>
      <w:r>
        <w:t xml:space="preserve">Klienti zgjidh Kontratën për shkak të mospajtimit me një ndryshim thelbësor të kushteve sipas Nenit 28.3; ose</w:t>
      </w:r>
    </w:p>
    <w:p>
      <w:pPr>
        <w:numPr>
          <w:ilvl w:val="0"/>
          <w:numId w:val="1007"/>
        </w:numPr>
      </w:pPr>
      <w:r>
        <w:t xml:space="preserve">në çdo rast tjetër të parashikuar shprehimisht në këtë Kontratë, përfshirë</w:t>
      </w:r>
      <w:r>
        <w:t xml:space="preserve"> </w:t>
      </w:r>
      <w:r>
        <w:rPr>
          <w:bCs/>
          <w:b/>
        </w:rPr>
        <w:t xml:space="preserve">Nenet 15.8, 24.2, 25.3, 26.5 dhe 29.4</w:t>
      </w:r>
      <w:r>
        <w:t xml:space="preserve">.</w:t>
      </w:r>
    </w:p>
    <w:p>
      <w:pPr>
        <w:pStyle w:val="FirstParagraph"/>
      </w:pPr>
      <w:r>
        <w:rPr>
          <w:bCs/>
          <w:b/>
        </w:rPr>
        <w:t xml:space="preserve">13.5</w:t>
      </w:r>
      <w:r>
        <w:t xml:space="preserve"> </w:t>
      </w:r>
      <w:r>
        <w:t xml:space="preserve">Rimbursimet kryhen brenda</w:t>
      </w:r>
      <w:r>
        <w:t xml:space="preserve"> </w:t>
      </w:r>
      <w:r>
        <w:rPr>
          <w:bCs/>
          <w:b/>
        </w:rPr>
        <w:t xml:space="preserve">tridhjetë (30) ditëve</w:t>
      </w:r>
      <w:r>
        <w:t xml:space="preserve"> </w:t>
      </w:r>
      <w:r>
        <w:t xml:space="preserve">nga konstatimi i së drejtës, në llogarinë bankare nga e cila është kryer pagesa.</w:t>
      </w:r>
    </w:p>
    <w:p>
      <w:pPr>
        <w:pStyle w:val="BodyText"/>
      </w:pPr>
      <w:r>
        <w:rPr>
          <w:bCs/>
          <w:b/>
        </w:rPr>
        <w:t xml:space="preserve">13.6</w:t>
      </w:r>
      <w:r>
        <w:t xml:space="preserve"> </w:t>
      </w:r>
      <w:r>
        <w:t xml:space="preserve">Tarifat e konfigurimit fillestar, migrimit të të dhënave dhe trajnimit</w:t>
      </w:r>
      <w:r>
        <w:t xml:space="preserve"> </w:t>
      </w:r>
      <w:r>
        <w:rPr>
          <w:bCs/>
          <w:b/>
        </w:rPr>
        <w:t xml:space="preserve">nuk rimbursohen</w:t>
      </w:r>
      <w:r>
        <w:t xml:space="preserve"> </w:t>
      </w:r>
      <w:r>
        <w:t xml:space="preserve">pas kryerjes së shërbimit përkatës.</w:t>
      </w:r>
    </w:p>
    <w:p>
      <w:r>
        <w:pict>
          <v:rect style="width:0;height:1.5pt" o:hralign="center" o:hrstd="t" o:hr="t"/>
        </w:pict>
      </w:r>
    </w:p>
    <w:bookmarkEnd w:id="40"/>
    <w:bookmarkEnd w:id="41"/>
    <w:bookmarkStart w:id="47" w:name="kreu-v-privatësia-mos-qasja-dhe-siguria"/>
    <w:p>
      <w:pPr>
        <w:pStyle w:val="Heading1"/>
      </w:pPr>
      <w:r>
        <w:t xml:space="preserve">KREU V — PRIVATËSIA, MOS-QASJA DHE SIGURIA</w:t>
      </w:r>
    </w:p>
    <w:bookmarkStart w:id="42" w:name="X2aeaf6a91aa08e91670e7fcdb2b7bb1e0a4a0dd"/>
    <w:p>
      <w:pPr>
        <w:pStyle w:val="Heading2"/>
      </w:pPr>
      <w:r>
        <w:t xml:space="preserve">Neni 14 — Mbrojtja e të Dhënave Personale dhe Rolet e Palëve</w:t>
      </w:r>
    </w:p>
    <w:p>
      <w:pPr>
        <w:pStyle w:val="FirstParagraph"/>
      </w:pPr>
      <w:r>
        <w:rPr>
          <w:bCs/>
          <w:b/>
        </w:rPr>
        <w:t xml:space="preserve">14.1</w:t>
      </w:r>
      <w:r>
        <w:t xml:space="preserve"> </w:t>
      </w:r>
      <w:r>
        <w:t xml:space="preserve">Palët zbatojnë</w:t>
      </w:r>
      <w:r>
        <w:t xml:space="preserve"> </w:t>
      </w:r>
      <w:r>
        <w:rPr>
          <w:bCs/>
          <w:b/>
        </w:rPr>
        <w:t xml:space="preserve">Ligjin Nr. 06/L-082 për Mbrojtjen e të Dhënave Personale</w:t>
      </w:r>
      <w:r>
        <w:t xml:space="preserve"> </w:t>
      </w:r>
      <w:r>
        <w:t xml:space="preserve">dhe aktet nënligjore të Agjencisë për Informim dhe Privatësi (AIP).</w:t>
      </w:r>
    </w:p>
    <w:p>
      <w:pPr>
        <w:pStyle w:val="BodyText"/>
      </w:pPr>
      <w:r>
        <w:rPr>
          <w:bCs/>
          <w:b/>
        </w:rPr>
        <w:t xml:space="preserve">14.2 Ndarja e roleve.</w:t>
      </w:r>
      <w:r>
        <w:t xml:space="preserve"> </w:t>
      </w:r>
      <w:r>
        <w:t xml:space="preserve">Në lidhje me të dhënat personale të punonjësve dhe personave të tjerë që Klienti përpunon përmes Shërbimit:</w:t>
      </w:r>
    </w:p>
    <w:p>
      <w:pPr>
        <w:numPr>
          <w:ilvl w:val="0"/>
          <w:numId w:val="1008"/>
        </w:numPr>
        <w:pStyle w:val="Compact"/>
      </w:pPr>
      <w:r>
        <w:rPr>
          <w:bCs/>
          <w:b/>
        </w:rPr>
        <w:t xml:space="preserve">Klienti vepron si KONTROLLUES</w:t>
      </w:r>
      <w:r>
        <w:t xml:space="preserve"> </w:t>
      </w:r>
      <w:r>
        <w:t xml:space="preserve">— ai përcakton qëllimet dhe mjetet e përpunimit, mban bazën ligjore dhe përgjigjet ndaj subjekteve të të dhënave;</w:t>
      </w:r>
    </w:p>
    <w:p>
      <w:pPr>
        <w:numPr>
          <w:ilvl w:val="0"/>
          <w:numId w:val="1008"/>
        </w:numPr>
        <w:pStyle w:val="Compact"/>
      </w:pPr>
      <w:r>
        <w:rPr>
          <w:bCs/>
          <w:b/>
        </w:rPr>
        <w:t xml:space="preserve">Ofruesi vepron si PËRPUNUES</w:t>
      </w:r>
      <w:r>
        <w:t xml:space="preserve"> </w:t>
      </w:r>
      <w:r>
        <w:t xml:space="preserve">— ai përpunon të dhënat vetëm sipas udhëzimeve të dokumentuara të Klientit.</w:t>
      </w:r>
    </w:p>
    <w:p>
      <w:pPr>
        <w:pStyle w:val="FirstParagraph"/>
      </w:pPr>
      <w:r>
        <w:rPr>
          <w:bCs/>
          <w:b/>
        </w:rPr>
        <w:t xml:space="preserve">14.3</w:t>
      </w:r>
      <w:r>
        <w:t xml:space="preserve"> </w:t>
      </w:r>
      <w:r>
        <w:t xml:space="preserve">Kushtet e detajuara të përpunimit, sipas kërkesave të</w:t>
      </w:r>
      <w:r>
        <w:t xml:space="preserve"> </w:t>
      </w:r>
      <w:r>
        <w:rPr>
          <w:bCs/>
          <w:b/>
        </w:rPr>
        <w:t xml:space="preserve">nenit 27 të Ligjit Nr. 06/L-082</w:t>
      </w:r>
      <w:r>
        <w:t xml:space="preserve">, përcaktohen në</w:t>
      </w:r>
      <w:r>
        <w:t xml:space="preserve"> </w:t>
      </w:r>
      <w:r>
        <w:rPr>
          <w:bCs/>
          <w:b/>
        </w:rPr>
        <w:t xml:space="preserve">Aneksin 2 — Marrëveshja për Përpunimin e të Dhënave</w:t>
      </w:r>
      <w:r>
        <w:t xml:space="preserve">, e cila është pjesë përbërëse dhe e pandashme e kësaj Kontrate.</w:t>
      </w:r>
    </w:p>
    <w:p>
      <w:pPr>
        <w:pStyle w:val="BodyText"/>
      </w:pPr>
      <w:r>
        <w:rPr>
          <w:bCs/>
          <w:b/>
        </w:rPr>
        <w:t xml:space="preserve">14.4</w:t>
      </w:r>
      <w:r>
        <w:t xml:space="preserve"> </w:t>
      </w:r>
      <w:r>
        <w:t xml:space="preserve">Ofruesi vepron si</w:t>
      </w:r>
      <w:r>
        <w:t xml:space="preserve"> </w:t>
      </w:r>
      <w:r>
        <w:rPr>
          <w:bCs/>
          <w:b/>
        </w:rPr>
        <w:t xml:space="preserve">Kontrollues i pavarur</w:t>
      </w:r>
      <w:r>
        <w:t xml:space="preserve"> </w:t>
      </w:r>
      <w:r>
        <w:t xml:space="preserve">vetëm për një grup të kufizuar të dhënash administrative: të dhënat e kontaktit dhe faturimit të Klientit, të dhënat e llogarive të Përdoruesve për qëllime autentifikimi, regjistrat e sigurisë dhe të dhënat statistikore teknike të agreguara.</w:t>
      </w:r>
    </w:p>
    <w:p>
      <w:pPr>
        <w:pStyle w:val="BodyText"/>
      </w:pPr>
      <w:r>
        <w:rPr>
          <w:bCs/>
          <w:b/>
        </w:rPr>
        <w:t xml:space="preserve">14.5</w:t>
      </w:r>
      <w:r>
        <w:t xml:space="preserve"> </w:t>
      </w:r>
      <w:r>
        <w:t xml:space="preserve">Ofruesi</w:t>
      </w:r>
      <w:r>
        <w:t xml:space="preserve"> </w:t>
      </w:r>
      <w:r>
        <w:rPr>
          <w:bCs/>
          <w:b/>
        </w:rPr>
        <w:t xml:space="preserve">nuk shet, nuk jep me qira dhe nuk shkëmben</w:t>
      </w:r>
      <w:r>
        <w:t xml:space="preserve"> </w:t>
      </w:r>
      <w:r>
        <w:t xml:space="preserve">të dhëna personale të Klientit apo të punonjësve të tij me palë të treta për qëllime marketingu, reklamimi, profilizimi apo çdo qëllim tjetër komercial. Ky ndalim është absolut dhe i pakushtëzuar.</w:t>
      </w:r>
    </w:p>
    <w:p>
      <w:pPr>
        <w:pStyle w:val="BodyText"/>
      </w:pPr>
      <w:r>
        <w:rPr>
          <w:bCs/>
          <w:b/>
        </w:rPr>
        <w:t xml:space="preserve">14.6</w:t>
      </w:r>
      <w:r>
        <w:t xml:space="preserve"> </w:t>
      </w:r>
      <w:r>
        <w:t xml:space="preserve">Ofruesi</w:t>
      </w:r>
      <w:r>
        <w:t xml:space="preserve"> </w:t>
      </w:r>
      <w:r>
        <w:rPr>
          <w:bCs/>
          <w:b/>
        </w:rPr>
        <w:t xml:space="preserve">nuk përdor</w:t>
      </w:r>
      <w:r>
        <w:t xml:space="preserve"> </w:t>
      </w:r>
      <w:r>
        <w:t xml:space="preserve">Të Dhënat e Klientit për trajnimin e modeleve të inteligjencës artificiale, për zhvillim produkti apo për analiza, përveç në formë</w:t>
      </w:r>
      <w:r>
        <w:t xml:space="preserve"> </w:t>
      </w:r>
      <w:r>
        <w:rPr>
          <w:bCs/>
          <w:b/>
        </w:rPr>
        <w:t xml:space="preserve">plotësisht anonime dhe të agreguar</w:t>
      </w:r>
      <w:r>
        <w:t xml:space="preserve">, nga e cila është teknikisht e pamundur identifikimi i Klientit apo i ndonjë personi fizik.</w:t>
      </w:r>
    </w:p>
    <w:p>
      <w:pPr>
        <w:pStyle w:val="BodyText"/>
      </w:pPr>
      <w:r>
        <w:rPr>
          <w:bCs/>
          <w:b/>
        </w:rPr>
        <w:t xml:space="preserve">14.7 Vendndodhja e të dhënave.</w:t>
      </w:r>
      <w:r>
        <w:t xml:space="preserve"> </w:t>
      </w:r>
      <w:r>
        <w:t xml:space="preserve">Të Dhënat e Klientit ruhen në serverë të vendosur në Republikën e Kosovës dhe/ose në shtete të Bashkimit Evropian / Zonës Ekonomike Evropiane ose në shtete të përfshira në listën e AIP-së me nivel adekuat mbrojtjeje. Vendndodhja aktuale specifikohet në</w:t>
      </w:r>
      <w:r>
        <w:t xml:space="preserve"> </w:t>
      </w:r>
      <w:r>
        <w:rPr>
          <w:bCs/>
          <w:b/>
        </w:rPr>
        <w:t xml:space="preserve">Aneksin 4</w:t>
      </w:r>
      <w:r>
        <w:t xml:space="preserve">. Çdo transferim jashtë kësaj hapësire kryhet vetëm në pajtim me nenet 44–51 të Ligjit Nr. 06/L-082 dhe pas njoftimit paraprak të Klientit.</w:t>
      </w:r>
    </w:p>
    <w:bookmarkEnd w:id="42"/>
    <w:bookmarkStart w:id="43" w:name="Xb9e3c38e8050881753aff068d05c846b8027164"/>
    <w:p>
      <w:pPr>
        <w:pStyle w:val="Heading2"/>
      </w:pPr>
      <w:r>
        <w:t xml:space="preserve">Neni 15 — ZOTIMI I MOS-QASJES (</w:t>
      </w:r>
      <w:r>
        <w:t xml:space="preserve">“</w:t>
      </w:r>
      <w:r>
        <w:t xml:space="preserve">ZERO-ACCESS</w:t>
      </w:r>
      <w:r>
        <w:t xml:space="preserve">”</w:t>
      </w:r>
      <w:r>
        <w:t xml:space="preserve">) — DISPOZITË THELBËSORE</w:t>
      </w:r>
    </w:p>
    <w:p>
      <w:pPr>
        <w:pStyle w:val="FirstParagraph"/>
      </w:pPr>
      <w:r>
        <w:rPr>
          <w:bCs/>
          <w:b/>
        </w:rPr>
        <w:t xml:space="preserve">15.1 Parimi.</w:t>
      </w:r>
      <w:r>
        <w:t xml:space="preserve"> </w:t>
      </w:r>
      <w:r>
        <w:t xml:space="preserve">Paga PRO është ndërtuar mbi parimin e</w:t>
      </w:r>
      <w:r>
        <w:t xml:space="preserve"> </w:t>
      </w:r>
      <w:r>
        <w:rPr>
          <w:bCs/>
          <w:b/>
        </w:rPr>
        <w:t xml:space="preserve">minimizimit të qasjes</w:t>
      </w:r>
      <w:r>
        <w:t xml:space="preserve">: personeli i Ofruesit</w:t>
      </w:r>
      <w:r>
        <w:t xml:space="preserve"> </w:t>
      </w:r>
      <w:r>
        <w:rPr>
          <w:bCs/>
          <w:b/>
        </w:rPr>
        <w:t xml:space="preserve">nuk qaset në</w:t>
      </w:r>
      <w:r>
        <w:t xml:space="preserve"> </w:t>
      </w:r>
      <w:r>
        <w:t xml:space="preserve">përmbajtjen e Të Dhënave të Klientit dhe</w:t>
      </w:r>
      <w:r>
        <w:t xml:space="preserve"> </w:t>
      </w:r>
      <w:r>
        <w:rPr>
          <w:bCs/>
          <w:b/>
        </w:rPr>
        <w:t xml:space="preserve">nuk e lexon, shikon apo shfrytëzon</w:t>
      </w:r>
      <w:r>
        <w:t xml:space="preserve"> </w:t>
      </w:r>
      <w:r>
        <w:t xml:space="preserve">atë gjatë funksionimit normal të Shërbimit.</w:t>
      </w:r>
    </w:p>
    <w:p>
      <w:pPr>
        <w:pStyle w:val="BodyText"/>
      </w:pPr>
      <w:r>
        <w:rPr>
          <w:bCs/>
          <w:b/>
        </w:rPr>
        <w:t xml:space="preserve">15.2 Deklarim i saktë teknik.</w:t>
      </w:r>
      <w:r>
        <w:t xml:space="preserve"> </w:t>
      </w:r>
      <w:r>
        <w:t xml:space="preserve">Palët pranojnë me ndershmëri se Shërbimi është platformë e hostuar dhe se, në kuptim thjesht teknik, infrastruktura e Ofruesit i strehon të dhënat. Për këtë arsye, zotimi i mos-qasjes</w:t>
      </w:r>
      <w:r>
        <w:t xml:space="preserve"> </w:t>
      </w:r>
      <w:r>
        <w:rPr>
          <w:bCs/>
          <w:b/>
        </w:rPr>
        <w:t xml:space="preserve">nuk deklarohet si pamundësi fizike</w:t>
      </w:r>
      <w:r>
        <w:t xml:space="preserve">, por vendoset si</w:t>
      </w:r>
      <w:r>
        <w:t xml:space="preserve"> </w:t>
      </w:r>
      <w:r>
        <w:rPr>
          <w:bCs/>
          <w:b/>
        </w:rPr>
        <w:t xml:space="preserve">detyrim kontraktual i detyrueshëm ligjërisht</w:t>
      </w:r>
      <w:r>
        <w:t xml:space="preserve">, i mbështetur nga kontrolle teknike, organizative dhe procedurale, shkelja e të cilit përbën shkelje thelbësore të kësaj Kontrate.</w:t>
      </w:r>
    </w:p>
    <w:p>
      <w:pPr>
        <w:pStyle w:val="BodyText"/>
      </w:pPr>
      <w:r>
        <w:rPr>
          <w:bCs/>
          <w:b/>
        </w:rPr>
        <w:t xml:space="preserve">15.3 Kushtet kufizuese të Qasjes Mbështetëse.</w:t>
      </w:r>
      <w:r>
        <w:t xml:space="preserve"> </w:t>
      </w:r>
      <w:r>
        <w:t xml:space="preserve">Qasja e personelit të Ofruesit në Të Dhënat e Klientit lejohet</w:t>
      </w:r>
      <w:r>
        <w:t xml:space="preserve"> </w:t>
      </w:r>
      <w:r>
        <w:rPr>
          <w:bCs/>
          <w:b/>
        </w:rPr>
        <w:t xml:space="preserve">vetëm</w:t>
      </w:r>
      <w:r>
        <w:t xml:space="preserve"> </w:t>
      </w:r>
      <w:r>
        <w:t xml:space="preserve">kur plotësohen kumulativisht kushtet e mëposhtme:</w:t>
      </w:r>
    </w:p>
    <w:p>
      <w:pPr>
        <w:numPr>
          <w:ilvl w:val="0"/>
          <w:numId w:val="1009"/>
        </w:numPr>
        <w:pStyle w:val="Compact"/>
      </w:pPr>
      <w:r>
        <w:t xml:space="preserve">ekziston një</w:t>
      </w:r>
      <w:r>
        <w:t xml:space="preserve"> </w:t>
      </w:r>
      <w:r>
        <w:rPr>
          <w:bCs/>
          <w:b/>
        </w:rPr>
        <w:t xml:space="preserve">kërkesë e shprehur mbështetjeje</w:t>
      </w:r>
      <w:r>
        <w:t xml:space="preserve"> </w:t>
      </w:r>
      <w:r>
        <w:t xml:space="preserve">nga Klienti, e regjistruar me shkrim ose përmes sistemit të tiketave;</w:t>
      </w:r>
      <w:r>
        <w:t xml:space="preserve"> </w:t>
      </w:r>
      <w:r>
        <w:rPr>
          <w:bCs/>
          <w:b/>
        </w:rPr>
        <w:t xml:space="preserve">ose</w:t>
      </w:r>
      <w:r>
        <w:t xml:space="preserve"> </w:t>
      </w:r>
      <w:r>
        <w:t xml:space="preserve">një detyrim ligjor imperativ sipas paragrafit 15.6;</w:t>
      </w:r>
    </w:p>
    <w:p>
      <w:pPr>
        <w:numPr>
          <w:ilvl w:val="0"/>
          <w:numId w:val="1009"/>
        </w:numPr>
        <w:pStyle w:val="Compact"/>
      </w:pPr>
      <w:r>
        <w:t xml:space="preserve">kur qasja bazohet në alinenë e parë të pikës (a), ajo është</w:t>
      </w:r>
      <w:r>
        <w:t xml:space="preserve"> </w:t>
      </w:r>
      <w:r>
        <w:rPr>
          <w:bCs/>
          <w:b/>
        </w:rPr>
        <w:t xml:space="preserve">rreptësisht e domosdoshme</w:t>
      </w:r>
      <w:r>
        <w:t xml:space="preserve"> </w:t>
      </w:r>
      <w:r>
        <w:t xml:space="preserve">për diagnostikimin ose riparimin e problemit të raportuar; kur qasja bazohet në një detyrim ligjor, ajo kufizohet rreptësisht në atë që kërkohet nga urdhri sipas paragrafit 15.6;</w:t>
      </w:r>
    </w:p>
    <w:p>
      <w:pPr>
        <w:numPr>
          <w:ilvl w:val="0"/>
          <w:numId w:val="1009"/>
        </w:numPr>
        <w:pStyle w:val="Compact"/>
      </w:pPr>
      <w:r>
        <w:t xml:space="preserve">qasja kufizohet në</w:t>
      </w:r>
      <w:r>
        <w:t xml:space="preserve"> </w:t>
      </w:r>
      <w:r>
        <w:rPr>
          <w:bCs/>
          <w:b/>
        </w:rPr>
        <w:t xml:space="preserve">minimumin e nevojshëm</w:t>
      </w:r>
      <w:r>
        <w:t xml:space="preserve"> </w:t>
      </w:r>
      <w:r>
        <w:t xml:space="preserve">të të dhënave dhe në kohëzgjatjen minimale;</w:t>
      </w:r>
    </w:p>
    <w:p>
      <w:pPr>
        <w:numPr>
          <w:ilvl w:val="0"/>
          <w:numId w:val="1009"/>
        </w:numPr>
        <w:pStyle w:val="Compact"/>
      </w:pPr>
      <w:r>
        <w:t xml:space="preserve">qasja kryhet nga personel i</w:t>
      </w:r>
      <w:r>
        <w:t xml:space="preserve"> </w:t>
      </w:r>
      <w:r>
        <w:rPr>
          <w:bCs/>
          <w:b/>
        </w:rPr>
        <w:t xml:space="preserve">autorizuar shprehimisht</w:t>
      </w:r>
      <w:r>
        <w:t xml:space="preserve">, i lidhur me detyrim konfidencialiteti me shkrim;</w:t>
      </w:r>
    </w:p>
    <w:p>
      <w:pPr>
        <w:numPr>
          <w:ilvl w:val="0"/>
          <w:numId w:val="1009"/>
        </w:numPr>
        <w:pStyle w:val="Compact"/>
      </w:pPr>
      <w:r>
        <w:t xml:space="preserve">qasja</w:t>
      </w:r>
      <w:r>
        <w:t xml:space="preserve"> </w:t>
      </w:r>
      <w:r>
        <w:rPr>
          <w:bCs/>
          <w:b/>
        </w:rPr>
        <w:t xml:space="preserve">regjistrohet në mënyrë të pandryshueshme</w:t>
      </w:r>
      <w:r>
        <w:t xml:space="preserve"> </w:t>
      </w:r>
      <w:r>
        <w:t xml:space="preserve">në gjurmë auditimi (</w:t>
      </w:r>
      <w:r>
        <w:rPr>
          <w:iCs/>
          <w:i/>
        </w:rPr>
        <w:t xml:space="preserve">audit log</w:t>
      </w:r>
      <w:r>
        <w:t xml:space="preserve">), duke evidentuar identitetin e personit, kohën, arsyen dhe fushëveprimin;</w:t>
      </w:r>
    </w:p>
    <w:p>
      <w:pPr>
        <w:numPr>
          <w:ilvl w:val="0"/>
          <w:numId w:val="1009"/>
        </w:numPr>
        <w:pStyle w:val="Compact"/>
      </w:pPr>
      <w:r>
        <w:t xml:space="preserve">qasja</w:t>
      </w:r>
      <w:r>
        <w:t xml:space="preserve"> </w:t>
      </w:r>
      <w:r>
        <w:rPr>
          <w:bCs/>
          <w:b/>
        </w:rPr>
        <w:t xml:space="preserve">ndërpritet menjëherë</w:t>
      </w:r>
      <w:r>
        <w:t xml:space="preserve"> </w:t>
      </w:r>
      <w:r>
        <w:t xml:space="preserve">pas përfundimit të qëllimit.</w:t>
      </w:r>
    </w:p>
    <w:p>
      <w:pPr>
        <w:pStyle w:val="FirstParagraph"/>
      </w:pPr>
      <w:r>
        <w:rPr>
          <w:bCs/>
          <w:b/>
        </w:rPr>
        <w:t xml:space="preserve">15.4 Ndalime absolute.</w:t>
      </w:r>
      <w:r>
        <w:t xml:space="preserve"> </w:t>
      </w:r>
      <w:r>
        <w:t xml:space="preserve">Ofruesi dhe personeli i tij</w:t>
      </w:r>
      <w:r>
        <w:t xml:space="preserve"> </w:t>
      </w:r>
      <w:r>
        <w:rPr>
          <w:bCs/>
          <w:b/>
        </w:rPr>
        <w:t xml:space="preserve">kurrë nuk do të</w:t>
      </w:r>
      <w:r>
        <w:t xml:space="preserve">:</w:t>
      </w:r>
    </w:p>
    <w:p>
      <w:pPr>
        <w:numPr>
          <w:ilvl w:val="0"/>
          <w:numId w:val="1010"/>
        </w:numPr>
        <w:pStyle w:val="Compact"/>
      </w:pPr>
      <w:r>
        <w:t xml:space="preserve">qasen në Të Dhënat e Klientit për kuriozitet, interes personal apo qëllime jashtë 15.3;</w:t>
      </w:r>
    </w:p>
    <w:p>
      <w:pPr>
        <w:numPr>
          <w:ilvl w:val="0"/>
          <w:numId w:val="1010"/>
        </w:numPr>
        <w:pStyle w:val="Compact"/>
      </w:pPr>
      <w:r>
        <w:t xml:space="preserve">shfrytëzojnë të dhënat e pagave, kontratave apo punonjësve për përfitim tregtar, konkurrues apo për krahasim me klientë të tjerë;</w:t>
      </w:r>
    </w:p>
    <w:p>
      <w:pPr>
        <w:numPr>
          <w:ilvl w:val="0"/>
          <w:numId w:val="1010"/>
        </w:numPr>
        <w:pStyle w:val="Compact"/>
      </w:pPr>
      <w:r>
        <w:t xml:space="preserve">zbulojnë Të Dhënat e Klientit ndaj palëve të treta, përveç sipas paragrafit 15.6 dhe përveç nën-përpunuesve të angazhuar në pajtim me Nenin 29.3 dhe Aneksin 4;</w:t>
      </w:r>
    </w:p>
    <w:p>
      <w:pPr>
        <w:numPr>
          <w:ilvl w:val="0"/>
          <w:numId w:val="1010"/>
        </w:numPr>
        <w:pStyle w:val="Compact"/>
      </w:pPr>
      <w:r>
        <w:t xml:space="preserve">përdorin Të Dhënat e Klientit për marketing ose profilizim;</w:t>
      </w:r>
    </w:p>
    <w:p>
      <w:pPr>
        <w:numPr>
          <w:ilvl w:val="0"/>
          <w:numId w:val="1010"/>
        </w:numPr>
        <w:pStyle w:val="Compact"/>
      </w:pPr>
      <w:r>
        <w:t xml:space="preserve">lejojnë qasje ndër-klientësh (</w:t>
      </w:r>
      <w:r>
        <w:rPr>
          <w:iCs/>
          <w:i/>
        </w:rPr>
        <w:t xml:space="preserve">cross-tenant</w:t>
      </w:r>
      <w:r>
        <w:t xml:space="preserve">).</w:t>
      </w:r>
    </w:p>
    <w:p>
      <w:pPr>
        <w:pStyle w:val="FirstParagraph"/>
      </w:pPr>
      <w:r>
        <w:rPr>
          <w:bCs/>
          <w:b/>
        </w:rPr>
        <w:t xml:space="preserve">15.5 E drejta e verifikimit.</w:t>
      </w:r>
      <w:r>
        <w:t xml:space="preserve"> </w:t>
      </w:r>
      <w:r>
        <w:t xml:space="preserve">Klienti ka të drejtë të kërkojë, jo më shpesh se</w:t>
      </w:r>
      <w:r>
        <w:t xml:space="preserve"> </w:t>
      </w:r>
      <w:r>
        <w:rPr>
          <w:bCs/>
          <w:b/>
        </w:rPr>
        <w:t xml:space="preserve">një herë në vit kalendarik</w:t>
      </w:r>
      <w:r>
        <w:t xml:space="preserve"> </w:t>
      </w:r>
      <w:r>
        <w:t xml:space="preserve">dhe pa pagesë, një</w:t>
      </w:r>
      <w:r>
        <w:t xml:space="preserve"> </w:t>
      </w:r>
      <w:r>
        <w:rPr>
          <w:bCs/>
          <w:b/>
        </w:rPr>
        <w:t xml:space="preserve">raport të gjurmëve të auditimit</w:t>
      </w:r>
      <w:r>
        <w:t xml:space="preserve"> </w:t>
      </w:r>
      <w:r>
        <w:t xml:space="preserve">që dokumenton çdo Qasje Mbështetëse në Llogarinë e tij gjatë periudhës së kërkuar. Ofruesi e ofron raportin brenda</w:t>
      </w:r>
      <w:r>
        <w:t xml:space="preserve"> </w:t>
      </w:r>
      <w:r>
        <w:rPr>
          <w:bCs/>
          <w:b/>
        </w:rPr>
        <w:t xml:space="preserve">pesëmbëdhjetë (15) ditëve</w:t>
      </w:r>
      <w:r>
        <w:t xml:space="preserve"> </w:t>
      </w:r>
      <w:r>
        <w:t xml:space="preserve">nga kërkesa.</w:t>
      </w:r>
    </w:p>
    <w:p>
      <w:pPr>
        <w:pStyle w:val="BodyText"/>
      </w:pPr>
      <w:r>
        <w:rPr>
          <w:bCs/>
          <w:b/>
        </w:rPr>
        <w:t xml:space="preserve">15.6 Qasja e detyruar ligjërisht.</w:t>
      </w:r>
      <w:r>
        <w:t xml:space="preserve"> </w:t>
      </w:r>
      <w:r>
        <w:t xml:space="preserve">Nëse Ofruesi detyrohet të zbulojë Të Dhënat e Klientit në bazë të një</w:t>
      </w:r>
      <w:r>
        <w:t xml:space="preserve"> </w:t>
      </w:r>
      <w:r>
        <w:rPr>
          <w:bCs/>
          <w:b/>
        </w:rPr>
        <w:t xml:space="preserve">urdhri të vlefshëm gjyqësor ose kërkese ligjore imperative</w:t>
      </w:r>
      <w:r>
        <w:t xml:space="preserve"> </w:t>
      </w:r>
      <w:r>
        <w:t xml:space="preserve">të një organi kompetent të Republikës së Kosovës, Ofruesi:</w:t>
      </w:r>
    </w:p>
    <w:p>
      <w:pPr>
        <w:numPr>
          <w:ilvl w:val="0"/>
          <w:numId w:val="1011"/>
        </w:numPr>
        <w:pStyle w:val="Compact"/>
      </w:pPr>
      <w:r>
        <w:rPr>
          <w:bCs/>
          <w:b/>
        </w:rPr>
        <w:t xml:space="preserve">njofton Klientin pa vonesë</w:t>
      </w:r>
      <w:r>
        <w:t xml:space="preserve">, përveç kur njoftimi ndalohet shprehimisht me ligj;</w:t>
      </w:r>
    </w:p>
    <w:p>
      <w:pPr>
        <w:numPr>
          <w:ilvl w:val="0"/>
          <w:numId w:val="1011"/>
        </w:numPr>
        <w:pStyle w:val="Compact"/>
      </w:pPr>
      <w:r>
        <w:t xml:space="preserve">zbulon</w:t>
      </w:r>
      <w:r>
        <w:t xml:space="preserve"> </w:t>
      </w:r>
      <w:r>
        <w:rPr>
          <w:bCs/>
          <w:b/>
        </w:rPr>
        <w:t xml:space="preserve">vetëm minimumin</w:t>
      </w:r>
      <w:r>
        <w:t xml:space="preserve"> </w:t>
      </w:r>
      <w:r>
        <w:t xml:space="preserve">e kërkuar ligjërisht;</w:t>
      </w:r>
    </w:p>
    <w:p>
      <w:pPr>
        <w:numPr>
          <w:ilvl w:val="0"/>
          <w:numId w:val="1011"/>
        </w:numPr>
        <w:pStyle w:val="Compact"/>
      </w:pPr>
      <w:r>
        <w:t xml:space="preserve">kërkon, kur është e mundur ligjërisht, kufizimin ose kundërshtimin e kërkesës;</w:t>
      </w:r>
    </w:p>
    <w:p>
      <w:pPr>
        <w:numPr>
          <w:ilvl w:val="0"/>
          <w:numId w:val="1011"/>
        </w:numPr>
        <w:pStyle w:val="Compact"/>
      </w:pPr>
      <w:r>
        <w:t xml:space="preserve">dokumenton zbulimin në gjurmët e auditimit.</w:t>
      </w:r>
    </w:p>
    <w:p>
      <w:pPr>
        <w:pStyle w:val="FirstParagraph"/>
      </w:pPr>
      <w:r>
        <w:rPr>
          <w:bCs/>
          <w:b/>
        </w:rPr>
        <w:t xml:space="preserve">15.7 Detyrimet e personelit.</w:t>
      </w:r>
      <w:r>
        <w:t xml:space="preserve"> </w:t>
      </w:r>
      <w:r>
        <w:t xml:space="preserve">I gjithë personeli, kontraktorët dhe bashkëpunëtorët e Ofruesit që kanë qasje potenciale në sisteme janë të lidhur me marrëveshje konfidencialiteti me shkrim, detyrimi i të cilave</w:t>
      </w:r>
      <w:r>
        <w:t xml:space="preserve"> </w:t>
      </w:r>
      <w:r>
        <w:rPr>
          <w:bCs/>
          <w:b/>
        </w:rPr>
        <w:t xml:space="preserve">mbijeton përfundimin e marrëdhënies së punës</w:t>
      </w:r>
      <w:r>
        <w:t xml:space="preserve">.</w:t>
      </w:r>
    </w:p>
    <w:p>
      <w:pPr>
        <w:pStyle w:val="BodyText"/>
      </w:pPr>
      <w:r>
        <w:rPr>
          <w:bCs/>
          <w:b/>
        </w:rPr>
        <w:t xml:space="preserve">15.8 Pasojat e shkeljes.</w:t>
      </w:r>
      <w:r>
        <w:t xml:space="preserve"> </w:t>
      </w:r>
      <w:r>
        <w:t xml:space="preserve">Shkelja e këtij Neni nga Ofruesi:</w:t>
      </w:r>
    </w:p>
    <w:p>
      <w:pPr>
        <w:numPr>
          <w:ilvl w:val="0"/>
          <w:numId w:val="1012"/>
        </w:numPr>
        <w:pStyle w:val="Compact"/>
      </w:pPr>
      <w:r>
        <w:t xml:space="preserve">përbën</w:t>
      </w:r>
      <w:r>
        <w:t xml:space="preserve"> </w:t>
      </w:r>
      <w:r>
        <w:rPr>
          <w:bCs/>
          <w:b/>
        </w:rPr>
        <w:t xml:space="preserve">shkelje thelbësore</w:t>
      </w:r>
      <w:r>
        <w:t xml:space="preserve"> </w:t>
      </w:r>
      <w:r>
        <w:t xml:space="preserve">të Kontratës;</w:t>
      </w:r>
    </w:p>
    <w:p>
      <w:pPr>
        <w:numPr>
          <w:ilvl w:val="0"/>
          <w:numId w:val="1012"/>
        </w:numPr>
        <w:pStyle w:val="Compact"/>
      </w:pPr>
      <w:r>
        <w:t xml:space="preserve">i jep Klientit të drejtën e</w:t>
      </w:r>
      <w:r>
        <w:t xml:space="preserve"> </w:t>
      </w:r>
      <w:r>
        <w:rPr>
          <w:bCs/>
          <w:b/>
        </w:rPr>
        <w:t xml:space="preserve">zgjidhjes së menjëhershme</w:t>
      </w:r>
      <w:r>
        <w:t xml:space="preserve"> </w:t>
      </w:r>
      <w:r>
        <w:t xml:space="preserve">dhe të rimbursimit proporcional;</w:t>
      </w:r>
    </w:p>
    <w:p>
      <w:pPr>
        <w:numPr>
          <w:ilvl w:val="0"/>
          <w:numId w:val="1012"/>
        </w:numPr>
        <w:pStyle w:val="Compact"/>
      </w:pPr>
      <w:r>
        <w:rPr>
          <w:bCs/>
          <w:b/>
        </w:rPr>
        <w:t xml:space="preserve">nuk mbulohet</w:t>
      </w:r>
      <w:r>
        <w:t xml:space="preserve"> </w:t>
      </w:r>
      <w:r>
        <w:t xml:space="preserve">nga kufizimet e përgjegjësisë të Nenit 23, kur kryhet me dashje ose nga pakujdesia e rëndë.</w:t>
      </w:r>
    </w:p>
    <w:p>
      <w:pPr>
        <w:pStyle w:val="FirstParagraph"/>
      </w:pPr>
      <w:r>
        <w:rPr>
          <w:bCs/>
          <w:b/>
        </w:rPr>
        <w:t xml:space="preserve">15.9</w:t>
      </w:r>
      <w:r>
        <w:t xml:space="preserve"> </w:t>
      </w:r>
      <w:r>
        <w:t xml:space="preserve">Ky Nen</w:t>
      </w:r>
      <w:r>
        <w:t xml:space="preserve"> </w:t>
      </w:r>
      <w:r>
        <w:rPr>
          <w:bCs/>
          <w:b/>
        </w:rPr>
        <w:t xml:space="preserve">mbijeton</w:t>
      </w:r>
      <w:r>
        <w:t xml:space="preserve"> </w:t>
      </w:r>
      <w:r>
        <w:t xml:space="preserve">përfundimin ose zgjidhjen e Kontratës për një periudhë të pakufizuar kohore sa i përket të dhënave të marra gjatë kohëzgjatjes së saj.</w:t>
      </w:r>
    </w:p>
    <w:bookmarkEnd w:id="43"/>
    <w:bookmarkStart w:id="44" w:name="neni-16-siguria-e-informacionit"/>
    <w:p>
      <w:pPr>
        <w:pStyle w:val="Heading2"/>
      </w:pPr>
      <w:r>
        <w:t xml:space="preserve">Neni 16 — Siguria e Informacionit</w:t>
      </w:r>
    </w:p>
    <w:p>
      <w:pPr>
        <w:pStyle w:val="FirstParagraph"/>
      </w:pPr>
      <w:r>
        <w:rPr>
          <w:bCs/>
          <w:b/>
        </w:rPr>
        <w:t xml:space="preserve">16.1</w:t>
      </w:r>
      <w:r>
        <w:t xml:space="preserve"> </w:t>
      </w:r>
      <w:r>
        <w:t xml:space="preserve">Ofruesi zbaton masa teknike dhe organizative të përshtatshme, në pajtim me nenin 31 të Ligjit Nr. 06/L-082, duke përfshirë të paktën:</w:t>
      </w:r>
    </w:p>
    <w:p>
      <w:pPr>
        <w:numPr>
          <w:ilvl w:val="0"/>
          <w:numId w:val="1013"/>
        </w:numPr>
        <w:pStyle w:val="Compact"/>
      </w:pPr>
      <w:r>
        <w:rPr>
          <w:bCs/>
          <w:b/>
        </w:rPr>
        <w:t xml:space="preserve">enkriptim në transit</w:t>
      </w:r>
      <w:r>
        <w:t xml:space="preserve"> </w:t>
      </w:r>
      <w:r>
        <w:t xml:space="preserve">përmes protokollit TLS për të gjitha komunikimet;</w:t>
      </w:r>
    </w:p>
    <w:p>
      <w:pPr>
        <w:numPr>
          <w:ilvl w:val="0"/>
          <w:numId w:val="1013"/>
        </w:numPr>
        <w:pStyle w:val="Compact"/>
      </w:pPr>
      <w:r>
        <w:rPr>
          <w:bCs/>
          <w:b/>
        </w:rPr>
        <w:t xml:space="preserve">enkriptim në qetësi</w:t>
      </w:r>
      <w:r>
        <w:t xml:space="preserve"> </w:t>
      </w:r>
      <w:r>
        <w:t xml:space="preserve">(</w:t>
      </w:r>
      <w:r>
        <w:rPr>
          <w:iCs/>
          <w:i/>
        </w:rPr>
        <w:t xml:space="preserve">at rest</w:t>
      </w:r>
      <w:r>
        <w:t xml:space="preserve">) të bazës së të dhënave dhe kopjeve rezervë;</w:t>
      </w:r>
    </w:p>
    <w:p>
      <w:pPr>
        <w:numPr>
          <w:ilvl w:val="0"/>
          <w:numId w:val="1013"/>
        </w:numPr>
        <w:pStyle w:val="Compact"/>
      </w:pPr>
      <w:r>
        <w:rPr>
          <w:bCs/>
          <w:b/>
        </w:rPr>
        <w:t xml:space="preserve">izolim të rreptë sipas Llogarisë së Klientit</w:t>
      </w:r>
      <w:r>
        <w:t xml:space="preserve"> </w:t>
      </w:r>
      <w:r>
        <w:t xml:space="preserve">(</w:t>
      </w:r>
      <w:r>
        <w:rPr>
          <w:iCs/>
          <w:i/>
        </w:rPr>
        <w:t xml:space="preserve">tenant isolation</w:t>
      </w:r>
      <w:r>
        <w:t xml:space="preserve">), ku çdo pyetje ndaj bazës së të dhënave është e detyruar të filtrohet sipas identifikuesit të kompanisë;</w:t>
      </w:r>
    </w:p>
    <w:p>
      <w:pPr>
        <w:numPr>
          <w:ilvl w:val="0"/>
          <w:numId w:val="1013"/>
        </w:numPr>
        <w:pStyle w:val="Compact"/>
      </w:pPr>
      <w:r>
        <w:rPr>
          <w:bCs/>
          <w:b/>
        </w:rPr>
        <w:t xml:space="preserve">kontroll qasjeje bazuar në role</w:t>
      </w:r>
      <w:r>
        <w:t xml:space="preserve"> </w:t>
      </w:r>
      <w:r>
        <w:t xml:space="preserve">(RBAC) me parimin e privilegjit minimal;</w:t>
      </w:r>
    </w:p>
    <w:p>
      <w:pPr>
        <w:numPr>
          <w:ilvl w:val="0"/>
          <w:numId w:val="1013"/>
        </w:numPr>
        <w:pStyle w:val="Compact"/>
      </w:pPr>
      <w:r>
        <w:rPr>
          <w:bCs/>
          <w:b/>
        </w:rPr>
        <w:t xml:space="preserve">gjurmë auditimi</w:t>
      </w:r>
      <w:r>
        <w:t xml:space="preserve"> </w:t>
      </w:r>
      <w:r>
        <w:t xml:space="preserve">të pandryshueshme për veprimet e ndjeshme;</w:t>
      </w:r>
    </w:p>
    <w:p>
      <w:pPr>
        <w:numPr>
          <w:ilvl w:val="0"/>
          <w:numId w:val="1013"/>
        </w:numPr>
        <w:pStyle w:val="Compact"/>
      </w:pPr>
      <w:r>
        <w:rPr>
          <w:bCs/>
          <w:b/>
        </w:rPr>
        <w:t xml:space="preserve">hashim kriptografik</w:t>
      </w:r>
      <w:r>
        <w:t xml:space="preserve"> </w:t>
      </w:r>
      <w:r>
        <w:t xml:space="preserve">i fjalëkalimeve — Ofruesi nuk ruan dhe nuk mund të rikuperojë fjalëkalime në tekst të hapur;</w:t>
      </w:r>
    </w:p>
    <w:p>
      <w:pPr>
        <w:numPr>
          <w:ilvl w:val="0"/>
          <w:numId w:val="1013"/>
        </w:numPr>
        <w:pStyle w:val="Compact"/>
      </w:pPr>
      <w:r>
        <w:rPr>
          <w:bCs/>
          <w:b/>
        </w:rPr>
        <w:t xml:space="preserve">ndarje të mjediseve</w:t>
      </w:r>
      <w:r>
        <w:t xml:space="preserve"> </w:t>
      </w:r>
      <w:r>
        <w:t xml:space="preserve">të zhvillimit, testimit dhe prodhimit, me ndalim të përdorimit të të dhënave reale të Klientit në mjedise testimi;</w:t>
      </w:r>
    </w:p>
    <w:p>
      <w:pPr>
        <w:numPr>
          <w:ilvl w:val="0"/>
          <w:numId w:val="1013"/>
        </w:numPr>
        <w:pStyle w:val="Compact"/>
      </w:pPr>
      <w:r>
        <w:rPr>
          <w:bCs/>
          <w:b/>
        </w:rPr>
        <w:t xml:space="preserve">kopje rezervë</w:t>
      </w:r>
      <w:r>
        <w:t xml:space="preserve"> </w:t>
      </w:r>
      <w:r>
        <w:t xml:space="preserve">të rregullta me testim periodik të rikthimit;</w:t>
      </w:r>
    </w:p>
    <w:p>
      <w:pPr>
        <w:numPr>
          <w:ilvl w:val="0"/>
          <w:numId w:val="1013"/>
        </w:numPr>
        <w:pStyle w:val="Compact"/>
      </w:pPr>
      <w:r>
        <w:rPr>
          <w:bCs/>
          <w:b/>
        </w:rPr>
        <w:t xml:space="preserve">përditësime sigurie</w:t>
      </w:r>
      <w:r>
        <w:t xml:space="preserve"> </w:t>
      </w:r>
      <w:r>
        <w:t xml:space="preserve">të rregullta të varësive softuerike.</w:t>
      </w:r>
    </w:p>
    <w:p>
      <w:pPr>
        <w:pStyle w:val="FirstParagraph"/>
      </w:pPr>
      <w:r>
        <w:rPr>
          <w:bCs/>
          <w:b/>
        </w:rPr>
        <w:t xml:space="preserve">16.2</w:t>
      </w:r>
      <w:r>
        <w:t xml:space="preserve"> </w:t>
      </w:r>
      <w:r>
        <w:t xml:space="preserve">Detajet e plota përcaktohen në</w:t>
      </w:r>
      <w:r>
        <w:t xml:space="preserve"> </w:t>
      </w:r>
      <w:r>
        <w:rPr>
          <w:bCs/>
          <w:b/>
        </w:rPr>
        <w:t xml:space="preserve">Aneksin 3</w:t>
      </w:r>
      <w:r>
        <w:t xml:space="preserve">.</w:t>
      </w:r>
    </w:p>
    <w:p>
      <w:pPr>
        <w:pStyle w:val="BodyText"/>
      </w:pPr>
      <w:r>
        <w:rPr>
          <w:bCs/>
          <w:b/>
        </w:rPr>
        <w:t xml:space="preserve">16.3</w:t>
      </w:r>
      <w:r>
        <w:t xml:space="preserve"> </w:t>
      </w:r>
      <w:r>
        <w:t xml:space="preserve">Klienti është përgjegjës për sigurinë brenda sferës së tij: pajisjet fundore, rrjeti lokal, higjiena e fjalëkalimeve, menaxhimi i të drejtave të Përdoruesve dhe trajnimi i stafit.</w:t>
      </w:r>
    </w:p>
    <w:p>
      <w:pPr>
        <w:pStyle w:val="BodyText"/>
      </w:pPr>
      <w:r>
        <w:rPr>
          <w:bCs/>
          <w:b/>
        </w:rPr>
        <w:t xml:space="preserve">16.4</w:t>
      </w:r>
      <w:r>
        <w:t xml:space="preserve"> </w:t>
      </w:r>
      <w:r>
        <w:t xml:space="preserve">Ofruesi ka të drejtë të përmirësojë masat e sigurisë në çdo kohë, me kusht që niveli i mbrojtjes të mos ulet.</w:t>
      </w:r>
    </w:p>
    <w:bookmarkEnd w:id="44"/>
    <w:bookmarkStart w:id="45" w:name="X2fa6d93cc5502d63010c223249778a6def738b0"/>
    <w:p>
      <w:pPr>
        <w:pStyle w:val="Heading2"/>
      </w:pPr>
      <w:r>
        <w:t xml:space="preserve">Neni 17 — Incidentet e Sigurisë dhe Njoftimi</w:t>
      </w:r>
    </w:p>
    <w:p>
      <w:pPr>
        <w:pStyle w:val="FirstParagraph"/>
      </w:pPr>
      <w:r>
        <w:rPr>
          <w:bCs/>
          <w:b/>
        </w:rPr>
        <w:t xml:space="preserve">17.1</w:t>
      </w:r>
      <w:r>
        <w:t xml:space="preserve"> </w:t>
      </w:r>
      <w:r>
        <w:t xml:space="preserve">Ofruesi njofton Klientin për çdo Incident Sigurie që prek Të Dhënat e Klientit</w:t>
      </w:r>
      <w:r>
        <w:t xml:space="preserve"> </w:t>
      </w:r>
      <w:r>
        <w:rPr>
          <w:bCs/>
          <w:b/>
        </w:rPr>
        <w:t xml:space="preserve">pa vonesë të panevojshme dhe jo më vonë se dyzet e tetë (48) orë</w:t>
      </w:r>
      <w:r>
        <w:t xml:space="preserve"> </w:t>
      </w:r>
      <w:r>
        <w:t xml:space="preserve">nga momenti kur merr dijeni për të.</w:t>
      </w:r>
    </w:p>
    <w:p>
      <w:pPr>
        <w:pStyle w:val="BodyText"/>
      </w:pPr>
      <w:r>
        <w:rPr>
          <w:bCs/>
          <w:b/>
        </w:rPr>
        <w:t xml:space="preserve">17.2</w:t>
      </w:r>
      <w:r>
        <w:t xml:space="preserve"> </w:t>
      </w:r>
      <w:r>
        <w:t xml:space="preserve">Njoftimi përmban, në masën e disponueshme: natyrën e incidentit, kategoritë dhe numrin e përafërt të subjekteve dhe regjistrave të prekur, pasojat e mundshme, masat e marra ose të propozuara dhe pikën e kontaktit.</w:t>
      </w:r>
    </w:p>
    <w:p>
      <w:pPr>
        <w:pStyle w:val="BodyText"/>
      </w:pPr>
      <w:r>
        <w:rPr>
          <w:bCs/>
          <w:b/>
        </w:rPr>
        <w:t xml:space="preserve">17.3</w:t>
      </w:r>
      <w:r>
        <w:t xml:space="preserve"> </w:t>
      </w:r>
      <w:r>
        <w:t xml:space="preserve">Ofruesi</w:t>
      </w:r>
      <w:r>
        <w:t xml:space="preserve"> </w:t>
      </w:r>
      <w:r>
        <w:rPr>
          <w:bCs/>
          <w:b/>
        </w:rPr>
        <w:t xml:space="preserve">ndihmon Klientin</w:t>
      </w:r>
      <w:r>
        <w:t xml:space="preserve"> </w:t>
      </w:r>
      <w:r>
        <w:t xml:space="preserve">në përmbushjen e detyrimeve të tij të njoftimit ndaj Agjencisë për Informim dhe Privatësi sipas nenit 33 dhe ndaj subjekteve të të dhënave sipas nenit 34 të Ligjit Nr. 06/L-082. Detyrimi i njoftimit ndaj AIP-së i takon Klientit në cilësinë e Kontrolluesit.</w:t>
      </w:r>
    </w:p>
    <w:p>
      <w:pPr>
        <w:pStyle w:val="BodyText"/>
      </w:pPr>
      <w:r>
        <w:rPr>
          <w:bCs/>
          <w:b/>
        </w:rPr>
        <w:t xml:space="preserve">17.4</w:t>
      </w:r>
      <w:r>
        <w:t xml:space="preserve"> </w:t>
      </w:r>
      <w:r>
        <w:t xml:space="preserve">Ofruesi dokumenton çdo incident dhe masat korrigjuese dhe e vë dokumentacionin në dispozicion të Klientit me kërkesë.</w:t>
      </w:r>
    </w:p>
    <w:bookmarkEnd w:id="45"/>
    <w:bookmarkStart w:id="46" w:name="neni-18-konfidencialiteti"/>
    <w:p>
      <w:pPr>
        <w:pStyle w:val="Heading2"/>
      </w:pPr>
      <w:r>
        <w:t xml:space="preserve">Neni 18 — Konfidencialiteti</w:t>
      </w:r>
    </w:p>
    <w:p>
      <w:pPr>
        <w:pStyle w:val="FirstParagraph"/>
      </w:pPr>
      <w:r>
        <w:rPr>
          <w:bCs/>
          <w:b/>
        </w:rPr>
        <w:t xml:space="preserve">18.1</w:t>
      </w:r>
      <w:r>
        <w:t xml:space="preserve"> </w:t>
      </w:r>
      <w:r>
        <w:t xml:space="preserve">Secila Palë detyrohet të ruajë si konfidencial çdo informacion të marrë nga Pala tjetër që është shënuar si konfidencial ose që, sipas natyrës së tij, konsiderohet i tillë, duke përfshirë: të dhënat e pagave dhe personelit, çmimet, kushtet tregtare, kodin, arkitekturën, dokumentacionin teknik dhe planet e biznesit.</w:t>
      </w:r>
    </w:p>
    <w:p>
      <w:pPr>
        <w:pStyle w:val="BodyText"/>
      </w:pPr>
      <w:r>
        <w:rPr>
          <w:bCs/>
          <w:b/>
        </w:rPr>
        <w:t xml:space="preserve">18.2</w:t>
      </w:r>
      <w:r>
        <w:t xml:space="preserve"> </w:t>
      </w:r>
      <w:r>
        <w:t xml:space="preserve">Detyrimi i konfidencialitetit</w:t>
      </w:r>
      <w:r>
        <w:t xml:space="preserve"> </w:t>
      </w:r>
      <w:r>
        <w:rPr>
          <w:bCs/>
          <w:b/>
        </w:rPr>
        <w:t xml:space="preserve">nuk zbatohet</w:t>
      </w:r>
      <w:r>
        <w:t xml:space="preserve"> </w:t>
      </w:r>
      <w:r>
        <w:t xml:space="preserve">për informacionin që:</w:t>
      </w:r>
    </w:p>
    <w:p>
      <w:pPr>
        <w:numPr>
          <w:ilvl w:val="0"/>
          <w:numId w:val="1014"/>
        </w:numPr>
        <w:pStyle w:val="Compact"/>
      </w:pPr>
      <w:r>
        <w:t xml:space="preserve">është publikisht i njohur pa fajin e Palës marrëse;</w:t>
      </w:r>
    </w:p>
    <w:p>
      <w:pPr>
        <w:numPr>
          <w:ilvl w:val="0"/>
          <w:numId w:val="1014"/>
        </w:numPr>
        <w:pStyle w:val="Compact"/>
      </w:pPr>
      <w:r>
        <w:t xml:space="preserve">ishte ligjërisht në zotërim të Palës marrëse para zbulimit;</w:t>
      </w:r>
    </w:p>
    <w:p>
      <w:pPr>
        <w:numPr>
          <w:ilvl w:val="0"/>
          <w:numId w:val="1014"/>
        </w:numPr>
        <w:pStyle w:val="Compact"/>
      </w:pPr>
      <w:r>
        <w:t xml:space="preserve">është zhvilluar në mënyrë të pavarur pa përdorim të informacionit konfidencial;</w:t>
      </w:r>
    </w:p>
    <w:p>
      <w:pPr>
        <w:numPr>
          <w:ilvl w:val="0"/>
          <w:numId w:val="1014"/>
        </w:numPr>
        <w:pStyle w:val="Compact"/>
      </w:pPr>
      <w:r>
        <w:t xml:space="preserve">duhet zbuluar sipas urdhrit të detyrueshëm ligjor, me njoftim paraprak të Palës tjetër kur kjo lejohet.</w:t>
      </w:r>
    </w:p>
    <w:p>
      <w:pPr>
        <w:pStyle w:val="FirstParagraph"/>
      </w:pPr>
      <w:r>
        <w:rPr>
          <w:bCs/>
          <w:b/>
        </w:rPr>
        <w:t xml:space="preserve">18.3</w:t>
      </w:r>
      <w:r>
        <w:t xml:space="preserve"> </w:t>
      </w:r>
      <w:r>
        <w:t xml:space="preserve">Detyrimi i konfidencialitetit</w:t>
      </w:r>
      <w:r>
        <w:t xml:space="preserve"> </w:t>
      </w:r>
      <w:r>
        <w:rPr>
          <w:bCs/>
          <w:b/>
        </w:rPr>
        <w:t xml:space="preserve">mbijeton</w:t>
      </w:r>
      <w:r>
        <w:t xml:space="preserve"> </w:t>
      </w:r>
      <w:r>
        <w:t xml:space="preserve">përfundimin e Kontratës për një periudhë prej</w:t>
      </w:r>
      <w:r>
        <w:t xml:space="preserve"> </w:t>
      </w:r>
      <w:r>
        <w:rPr>
          <w:bCs/>
          <w:b/>
        </w:rPr>
        <w:t xml:space="preserve">pesë (5) vitesh</w:t>
      </w:r>
      <w:r>
        <w:t xml:space="preserve">, ndërsa për të dhënat personale dhe sekretet tregtare —</w:t>
      </w:r>
      <w:r>
        <w:t xml:space="preserve"> </w:t>
      </w:r>
      <w:r>
        <w:rPr>
          <w:bCs/>
          <w:b/>
        </w:rPr>
        <w:t xml:space="preserve">pa afat</w:t>
      </w:r>
      <w:r>
        <w:t xml:space="preserve">.</w:t>
      </w:r>
    </w:p>
    <w:p>
      <w:pPr>
        <w:pStyle w:val="BodyText"/>
      </w:pPr>
      <w:r>
        <w:rPr>
          <w:bCs/>
          <w:b/>
        </w:rPr>
        <w:t xml:space="preserve">18.4</w:t>
      </w:r>
      <w:r>
        <w:t xml:space="preserve"> </w:t>
      </w:r>
      <w:r>
        <w:t xml:space="preserve">Secila Palë kufizon qasjen në informacionin konfidencial vetëm te personat që kanë nevojë reale ta njohin dhe që janë të lidhur me detyrim ekuivalent konfidencialiteti.</w:t>
      </w:r>
    </w:p>
    <w:p>
      <w:r>
        <w:pict>
          <v:rect style="width:0;height:1.5pt" o:hralign="center" o:hrstd="t" o:hr="t"/>
        </w:pict>
      </w:r>
    </w:p>
    <w:bookmarkEnd w:id="46"/>
    <w:bookmarkEnd w:id="47"/>
    <w:bookmarkStart w:id="51" w:name="X5fc21de140bfec9489285dc493b67861d238d6d"/>
    <w:p>
      <w:pPr>
        <w:pStyle w:val="Heading1"/>
      </w:pPr>
      <w:r>
        <w:t xml:space="preserve">KREU VI — PRONËSIA INTELEKTUALE DHE TË DHËNAT</w:t>
      </w:r>
    </w:p>
    <w:bookmarkStart w:id="48" w:name="neni-19-pronësia-intelektuale-e-ofruesit"/>
    <w:p>
      <w:pPr>
        <w:pStyle w:val="Heading2"/>
      </w:pPr>
      <w:r>
        <w:t xml:space="preserve">Neni 19 — Pronësia Intelektuale e Ofruesit</w:t>
      </w:r>
    </w:p>
    <w:p>
      <w:pPr>
        <w:pStyle w:val="FirstParagraph"/>
      </w:pPr>
      <w:r>
        <w:rPr>
          <w:bCs/>
          <w:b/>
        </w:rPr>
        <w:t xml:space="preserve">19.1</w:t>
      </w:r>
      <w:r>
        <w:t xml:space="preserve"> </w:t>
      </w:r>
      <w:r>
        <w:t xml:space="preserve">Softueri</w:t>
      </w:r>
      <w:r>
        <w:t xml:space="preserve"> </w:t>
      </w:r>
      <w:r>
        <w:t xml:space="preserve">“</w:t>
      </w:r>
      <w:r>
        <w:t xml:space="preserve">Paga PRO</w:t>
      </w:r>
      <w:r>
        <w:t xml:space="preserve">”</w:t>
      </w:r>
      <w:r>
        <w:t xml:space="preserve">, kodi burimor dhe objekt, algoritmet e përllogaritjes, struktura e bazës së të dhënave, ndërfaqja e përdoruesit, dizajni grafik, dokumentacioni, emri tregtar, logoja dhe të gjitha elementet e tjera janë</w:t>
      </w:r>
      <w:r>
        <w:t xml:space="preserve"> </w:t>
      </w:r>
      <w:r>
        <w:rPr>
          <w:bCs/>
          <w:b/>
        </w:rPr>
        <w:t xml:space="preserve">pronë ekskluzive e Ofruesit</w:t>
      </w:r>
      <w:r>
        <w:t xml:space="preserve"> </w:t>
      </w:r>
      <w:r>
        <w:t xml:space="preserve">dhe mbrohen nga</w:t>
      </w:r>
      <w:r>
        <w:t xml:space="preserve"> </w:t>
      </w:r>
      <w:r>
        <w:rPr>
          <w:bCs/>
          <w:b/>
        </w:rPr>
        <w:t xml:space="preserve">Ligji Nr. 08/L-205 për të Drejtën e Autorit dhe të Drejtat e Përafërta</w:t>
      </w:r>
      <w:r>
        <w:t xml:space="preserve">, si dhe nga legjislacioni për markat tregtare dhe sekretet tregtare.</w:t>
      </w:r>
    </w:p>
    <w:p>
      <w:pPr>
        <w:pStyle w:val="BodyText"/>
      </w:pPr>
      <w:r>
        <w:rPr>
          <w:bCs/>
          <w:b/>
        </w:rPr>
        <w:t xml:space="preserve">19.2</w:t>
      </w:r>
      <w:r>
        <w:t xml:space="preserve"> </w:t>
      </w:r>
      <w:r>
        <w:t xml:space="preserve">Kjo Kontratë nuk i jep Klientit asnjë të drejtë mbi pronësinë intelektuale të Ofruesit përtej licencës së kufizuar të Nenit 4.1.</w:t>
      </w:r>
    </w:p>
    <w:p>
      <w:pPr>
        <w:pStyle w:val="BodyText"/>
      </w:pPr>
      <w:r>
        <w:rPr>
          <w:bCs/>
          <w:b/>
        </w:rPr>
        <w:t xml:space="preserve">19.3 Reagimet (</w:t>
      </w:r>
      <w:r>
        <w:rPr>
          <w:iCs/>
          <w:i/>
          <w:bCs/>
          <w:b/>
        </w:rPr>
        <w:t xml:space="preserve">feedback</w:t>
      </w:r>
      <w:r>
        <w:rPr>
          <w:bCs/>
          <w:b/>
        </w:rPr>
        <w:t xml:space="preserve">).</w:t>
      </w:r>
      <w:r>
        <w:t xml:space="preserve"> </w:t>
      </w:r>
      <w:r>
        <w:t xml:space="preserve">Nëse Klienti ofron sugjerime, ide apo propozime përmirësimi, Ofruesi ka të drejtën e pakufizuar, të përhershme, falas dhe të parevokueshme t’i zbatojë ato, pa detyrim kompensimi apo atribuimi, dhe pa krijuar të drejta bashkëautorësie për Klientin.</w:t>
      </w:r>
    </w:p>
    <w:p>
      <w:pPr>
        <w:pStyle w:val="BodyText"/>
      </w:pPr>
      <w:r>
        <w:rPr>
          <w:bCs/>
          <w:b/>
        </w:rPr>
        <w:t xml:space="preserve">19.4</w:t>
      </w:r>
      <w:r>
        <w:t xml:space="preserve"> </w:t>
      </w:r>
      <w:r>
        <w:t xml:space="preserve">Klienti detyrohet të njoftojë menjëherë Ofruesin për çdo shkelje të dyshuar të të drejtave të tij të pronësisë intelektuale për të cilën merr dijeni.</w:t>
      </w:r>
    </w:p>
    <w:p>
      <w:pPr>
        <w:pStyle w:val="BodyText"/>
      </w:pPr>
      <w:r>
        <w:rPr>
          <w:bCs/>
          <w:b/>
        </w:rPr>
        <w:t xml:space="preserve">19.5</w:t>
      </w:r>
      <w:r>
        <w:t xml:space="preserve"> </w:t>
      </w:r>
      <w:r>
        <w:t xml:space="preserve">Përdorimi i emrit ose logos së Klientit nga Ofruesi për qëllime referencash tregtare lejohet</w:t>
      </w:r>
      <w:r>
        <w:t xml:space="preserve"> </w:t>
      </w:r>
      <w:r>
        <w:rPr>
          <w:bCs/>
          <w:b/>
        </w:rPr>
        <w:t xml:space="preserve">vetëm me pëlqim paraprak me shkrim</w:t>
      </w:r>
      <w:r>
        <w:t xml:space="preserve"> </w:t>
      </w:r>
      <w:r>
        <w:t xml:space="preserve">të Klientit, i cili mund të revokohet në çdo kohë.</w:t>
      </w:r>
    </w:p>
    <w:bookmarkEnd w:id="48"/>
    <w:bookmarkStart w:id="49" w:name="Xfb8af885cb165214ba7173fa8a8ed1a769aa13e"/>
    <w:p>
      <w:pPr>
        <w:pStyle w:val="Heading2"/>
      </w:pPr>
      <w:r>
        <w:t xml:space="preserve">Neni 20 — Pronësia mbi Të Dhënat e Klientit, Eksportimi dhe Fshirja</w:t>
      </w:r>
    </w:p>
    <w:p>
      <w:pPr>
        <w:pStyle w:val="FirstParagraph"/>
      </w:pPr>
      <w:r>
        <w:rPr>
          <w:bCs/>
          <w:b/>
        </w:rPr>
        <w:t xml:space="preserve">20.1</w:t>
      </w:r>
      <w:r>
        <w:t xml:space="preserve"> </w:t>
      </w:r>
      <w:r>
        <w:rPr>
          <w:bCs/>
          <w:b/>
        </w:rPr>
        <w:t xml:space="preserve">Të Dhënat e Klientit mbeten pronë ekskluzive e Klientit.</w:t>
      </w:r>
      <w:r>
        <w:t xml:space="preserve"> </w:t>
      </w:r>
      <w:r>
        <w:t xml:space="preserve">Ofruesi nuk fiton asnjë të drejtë pronësie, licence apo shfrytëzimi mbi to, përtej të drejtës strikte të përpunimit teknik të nevojshëm për ofrimin e Shërbimit.</w:t>
      </w:r>
    </w:p>
    <w:p>
      <w:pPr>
        <w:pStyle w:val="BodyText"/>
      </w:pPr>
      <w:r>
        <w:rPr>
          <w:bCs/>
          <w:b/>
        </w:rPr>
        <w:t xml:space="preserve">20.2</w:t>
      </w:r>
      <w:r>
        <w:t xml:space="preserve"> </w:t>
      </w:r>
      <w:r>
        <w:t xml:space="preserve">Klienti ka të drejtë, në çdo kohë gjatë Periudhës së Abonimit, të</w:t>
      </w:r>
      <w:r>
        <w:t xml:space="preserve"> </w:t>
      </w:r>
      <w:r>
        <w:rPr>
          <w:bCs/>
          <w:b/>
        </w:rPr>
        <w:t xml:space="preserve">eksportojë</w:t>
      </w:r>
      <w:r>
        <w:t xml:space="preserve"> </w:t>
      </w:r>
      <w:r>
        <w:t xml:space="preserve">të dhënat e tij në formate të strukturuara dhe të lexueshme nga makina (CSV, XLSX), si dhe në formate dokumentare (PDF), sipas disponueshmërisë në Shërbim, pa pagesë shtesë.</w:t>
      </w:r>
    </w:p>
    <w:p>
      <w:pPr>
        <w:pStyle w:val="BodyText"/>
      </w:pPr>
      <w:r>
        <w:rPr>
          <w:bCs/>
          <w:b/>
        </w:rPr>
        <w:t xml:space="preserve">20.3</w:t>
      </w:r>
      <w:r>
        <w:t xml:space="preserve"> </w:t>
      </w:r>
      <w:r>
        <w:t xml:space="preserve">Pas përfundimit ose zgjidhjes së Kontratës, Ofruesi mban të dhënat në gjendje të qasshme për eksportim për një periudhë prej</w:t>
      </w:r>
      <w:r>
        <w:t xml:space="preserve"> </w:t>
      </w:r>
      <w:r>
        <w:rPr>
          <w:bCs/>
          <w:b/>
        </w:rPr>
        <w:t xml:space="preserve">tridhjetë (30) ditësh</w:t>
      </w:r>
      <w:r>
        <w:t xml:space="preserve"> </w:t>
      </w:r>
      <w:r>
        <w:t xml:space="preserve">(</w:t>
      </w:r>
      <w:r>
        <w:t xml:space="preserve">“</w:t>
      </w:r>
      <w:r>
        <w:t xml:space="preserve">periudha e nxjerrjes</w:t>
      </w:r>
      <w:r>
        <w:t xml:space="preserve">”</w:t>
      </w:r>
      <w:r>
        <w:t xml:space="preserve">).</w:t>
      </w:r>
    </w:p>
    <w:p>
      <w:pPr>
        <w:pStyle w:val="BodyText"/>
      </w:pPr>
      <w:r>
        <w:rPr>
          <w:bCs/>
          <w:b/>
        </w:rPr>
        <w:t xml:space="preserve">20.4</w:t>
      </w:r>
      <w:r>
        <w:t xml:space="preserve"> </w:t>
      </w:r>
      <w:r>
        <w:t xml:space="preserve">Pas kalimit të periudhës së nxjerrjes, Ofruesi</w:t>
      </w:r>
      <w:r>
        <w:t xml:space="preserve"> </w:t>
      </w:r>
      <w:r>
        <w:rPr>
          <w:bCs/>
          <w:b/>
        </w:rPr>
        <w:t xml:space="preserve">fshin</w:t>
      </w:r>
      <w:r>
        <w:t xml:space="preserve"> </w:t>
      </w:r>
      <w:r>
        <w:t xml:space="preserve">Të Dhënat e Klientit brenda</w:t>
      </w:r>
      <w:r>
        <w:t xml:space="preserve"> </w:t>
      </w:r>
      <w:r>
        <w:rPr>
          <w:bCs/>
          <w:b/>
        </w:rPr>
        <w:t xml:space="preserve">gjashtëdhjetë (60) ditëve</w:t>
      </w:r>
      <w:r>
        <w:t xml:space="preserve">, duke përfshirë kopjet në sistemet aktive, ose</w:t>
      </w:r>
      <w:r>
        <w:t xml:space="preserve"> </w:t>
      </w:r>
      <w:r>
        <w:rPr>
          <w:bCs/>
          <w:b/>
        </w:rPr>
        <w:t xml:space="preserve">ia kthen</w:t>
      </w:r>
      <w:r>
        <w:t xml:space="preserve"> </w:t>
      </w:r>
      <w:r>
        <w:t xml:space="preserve">ato Klientit nëse ky i fundit e ka kërkuar shprehimisht me shkrim para skadimit të periudhës së nxjerrjes. Zgjedhja ndërmjet kthimit dhe fshirjes i takon Klientit, në pajtim me nenin 27 të Ligjit Nr. 06/L-082. Kopjet rezervë fshihen sipas ciklit të rregullt të rotacionit, i cili nuk tejkalon</w:t>
      </w:r>
      <w:r>
        <w:t xml:space="preserve"> </w:t>
      </w:r>
      <w:r>
        <w:rPr>
          <w:bCs/>
          <w:b/>
        </w:rPr>
        <w:t xml:space="preserve">gjashtë (6) muaj</w:t>
      </w:r>
      <w:r>
        <w:t xml:space="preserve">.</w:t>
      </w:r>
    </w:p>
    <w:p>
      <w:pPr>
        <w:pStyle w:val="BodyText"/>
      </w:pPr>
      <w:r>
        <w:rPr>
          <w:bCs/>
          <w:b/>
        </w:rPr>
        <w:t xml:space="preserve">20.5</w:t>
      </w:r>
      <w:r>
        <w:t xml:space="preserve"> </w:t>
      </w:r>
      <w:r>
        <w:t xml:space="preserve">Ofruesi lëshon, me kërkesë, një</w:t>
      </w:r>
      <w:r>
        <w:t xml:space="preserve"> </w:t>
      </w:r>
      <w:r>
        <w:rPr>
          <w:bCs/>
          <w:b/>
        </w:rPr>
        <w:t xml:space="preserve">konfirmim me shkrim të fshirjes</w:t>
      </w:r>
      <w:r>
        <w:t xml:space="preserve">.</w:t>
      </w:r>
    </w:p>
    <w:p>
      <w:pPr>
        <w:pStyle w:val="BodyText"/>
      </w:pPr>
      <w:r>
        <w:rPr>
          <w:bCs/>
          <w:b/>
        </w:rPr>
        <w:t xml:space="preserve">20.6</w:t>
      </w:r>
      <w:r>
        <w:t xml:space="preserve"> </w:t>
      </w:r>
      <w:r>
        <w:t xml:space="preserve">Ofruesi ka të drejtë të mbajë të dhëna përtej afateve të mësipërme vetëm në masën e nevojshme për përmbushjen e një detyrimi ligjor, për mbrojtjen e pretendimeve juridike ose sipas Nenit 21, duke i mbajtur ato të bllokuara nga çdo përpunim tjetër.</w:t>
      </w:r>
    </w:p>
    <w:bookmarkEnd w:id="49"/>
    <w:bookmarkStart w:id="50" w:name="X7988d7e0819a45be6877b024d3912e6a8dec0de"/>
    <w:p>
      <w:pPr>
        <w:pStyle w:val="Heading2"/>
      </w:pPr>
      <w:r>
        <w:t xml:space="preserve">Neni 21 — Ruajtja e të Dhënave dhe Detyrimet Ligjore të Arkivimit</w:t>
      </w:r>
    </w:p>
    <w:p>
      <w:pPr>
        <w:pStyle w:val="FirstParagraph"/>
      </w:pPr>
      <w:r>
        <w:rPr>
          <w:bCs/>
          <w:b/>
        </w:rPr>
        <w:t xml:space="preserve">21.1</w:t>
      </w:r>
      <w:r>
        <w:t xml:space="preserve"> </w:t>
      </w:r>
      <w:r>
        <w:t xml:space="preserve">Palët konstatojnë se, sipas</w:t>
      </w:r>
      <w:r>
        <w:t xml:space="preserve"> </w:t>
      </w:r>
      <w:r>
        <w:rPr>
          <w:bCs/>
          <w:b/>
        </w:rPr>
        <w:t xml:space="preserve">nenit 6 të Ligjit Nr. 08/L-257 për Administrimin e Procedurave Tatimore</w:t>
      </w:r>
      <w:r>
        <w:t xml:space="preserve">, personi që ka detyrë të krijojë regjistra i mban ato për një periudhë prej së paku</w:t>
      </w:r>
      <w:r>
        <w:t xml:space="preserve"> </w:t>
      </w:r>
      <w:r>
        <w:rPr>
          <w:bCs/>
          <w:b/>
        </w:rPr>
        <w:t xml:space="preserve">gjashtë (6) vitesh pas përfundimit të periudhës tatimore</w:t>
      </w:r>
      <w:r>
        <w:t xml:space="preserve">.</w:t>
      </w:r>
    </w:p>
    <w:p>
      <w:pPr>
        <w:pStyle w:val="BodyText"/>
      </w:pPr>
      <w:r>
        <w:rPr>
          <w:bCs/>
          <w:b/>
        </w:rPr>
        <w:t xml:space="preserve">21.2</w:t>
      </w:r>
      <w:r>
        <w:t xml:space="preserve"> </w:t>
      </w:r>
      <w:r>
        <w:t xml:space="preserve">Detyrimi i arkivimit ligjor të listave të pagave, deklaratave dhe dokumenteve tatimore i takon</w:t>
      </w:r>
      <w:r>
        <w:t xml:space="preserve"> </w:t>
      </w:r>
      <w:r>
        <w:rPr>
          <w:bCs/>
          <w:b/>
        </w:rPr>
        <w:t xml:space="preserve">Klientit</w:t>
      </w:r>
      <w:r>
        <w:t xml:space="preserve">, jo Ofruesit. Klienti është përgjegjës të sigurojë kopje të pavarura të dokumentacionit të tij përpara përfundimit të Kontratës.</w:t>
      </w:r>
    </w:p>
    <w:p>
      <w:pPr>
        <w:pStyle w:val="BodyText"/>
      </w:pPr>
      <w:r>
        <w:rPr>
          <w:bCs/>
          <w:b/>
        </w:rPr>
        <w:t xml:space="preserve">21.3</w:t>
      </w:r>
      <w:r>
        <w:t xml:space="preserve"> </w:t>
      </w:r>
      <w:r>
        <w:t xml:space="preserve">Ky detyrim ligjor përbën bazë të vlefshme për refuzimin e pjesshëm të një kërkese për fshirje sipas nenit 16 të Ligjit Nr. 06/L-082, kur fshirja do të pengonte përmbushjen e detyrimeve tatimore.</w:t>
      </w:r>
    </w:p>
    <w:p>
      <w:pPr>
        <w:pStyle w:val="BodyText"/>
      </w:pPr>
      <w:r>
        <w:rPr>
          <w:bCs/>
          <w:b/>
        </w:rPr>
        <w:t xml:space="preserve">21.4</w:t>
      </w:r>
      <w:r>
        <w:t xml:space="preserve"> </w:t>
      </w:r>
      <w:r>
        <w:t xml:space="preserve">Ofruesi nuk vepron si arkivë ligjore dhe nuk garanton ruajtjen e të dhënave përtej afateve të Nenit 20.</w:t>
      </w:r>
    </w:p>
    <w:p>
      <w:r>
        <w:pict>
          <v:rect style="width:0;height:1.5pt" o:hralign="center" o:hrstd="t" o:hr="t"/>
        </w:pict>
      </w:r>
    </w:p>
    <w:bookmarkEnd w:id="50"/>
    <w:bookmarkEnd w:id="51"/>
    <w:bookmarkStart w:id="56" w:name="Xde51217500c1a62a4818d2bbc08ade6a90d0455"/>
    <w:p>
      <w:pPr>
        <w:pStyle w:val="Heading1"/>
      </w:pPr>
      <w:r>
        <w:t xml:space="preserve">KREU VII — GARANCITË, PËRGJEGJËSIA DHE RREZIQET</w:t>
      </w:r>
    </w:p>
    <w:bookmarkStart w:id="52" w:name="neni-22-garancitë-dhe-mohimi-i-garancive"/>
    <w:p>
      <w:pPr>
        <w:pStyle w:val="Heading2"/>
      </w:pPr>
      <w:r>
        <w:t xml:space="preserve">Neni 22 — Garancitë dhe Mohimi i Garancive</w:t>
      </w:r>
    </w:p>
    <w:p>
      <w:pPr>
        <w:pStyle w:val="FirstParagraph"/>
      </w:pPr>
      <w:r>
        <w:rPr>
          <w:bCs/>
          <w:b/>
        </w:rPr>
        <w:t xml:space="preserve">22.1 Garancitë e Ofruesit.</w:t>
      </w:r>
      <w:r>
        <w:t xml:space="preserve"> </w:t>
      </w:r>
      <w:r>
        <w:t xml:space="preserve">Ofruesi garanton se:</w:t>
      </w:r>
    </w:p>
    <w:p>
      <w:pPr>
        <w:numPr>
          <w:ilvl w:val="0"/>
          <w:numId w:val="1015"/>
        </w:numPr>
        <w:pStyle w:val="Compact"/>
      </w:pPr>
      <w:r>
        <w:t xml:space="preserve">ka të drejtën ligjore të ofrojë Shërbimin dhe të japë licencën e Nenit 4;</w:t>
      </w:r>
    </w:p>
    <w:p>
      <w:pPr>
        <w:numPr>
          <w:ilvl w:val="0"/>
          <w:numId w:val="1015"/>
        </w:numPr>
        <w:pStyle w:val="Compact"/>
      </w:pPr>
      <w:r>
        <w:t xml:space="preserve">Shërbimi do të funksionojë në thelb në përputhje me Dokumentacionin;</w:t>
      </w:r>
    </w:p>
    <w:p>
      <w:pPr>
        <w:numPr>
          <w:ilvl w:val="0"/>
          <w:numId w:val="1015"/>
        </w:numPr>
        <w:pStyle w:val="Compact"/>
      </w:pPr>
      <w:r>
        <w:t xml:space="preserve">do të zbatojë kujdesin dhe aftësinë profesionale të pritshme nga një ofrues i kualifikuar i shërbimeve softuerike;</w:t>
      </w:r>
    </w:p>
    <w:p>
      <w:pPr>
        <w:numPr>
          <w:ilvl w:val="0"/>
          <w:numId w:val="1015"/>
        </w:numPr>
        <w:pStyle w:val="Compact"/>
      </w:pPr>
      <w:r>
        <w:t xml:space="preserve">nuk do të fusë me dashje kod keqdashës në Shërbim.</w:t>
      </w:r>
    </w:p>
    <w:p>
      <w:pPr>
        <w:pStyle w:val="FirstParagraph"/>
      </w:pPr>
      <w:r>
        <w:rPr>
          <w:bCs/>
          <w:b/>
        </w:rPr>
        <w:t xml:space="preserve">22.2 Mohimi.</w:t>
      </w:r>
      <w:r>
        <w:t xml:space="preserve"> </w:t>
      </w:r>
      <w:r>
        <w:t xml:space="preserve">Përveç garancive dhe zotimeve të shprehura shprehimisht në paragrafin 22.1 dhe në</w:t>
      </w:r>
      <w:r>
        <w:t xml:space="preserve"> </w:t>
      </w:r>
      <w:r>
        <w:rPr>
          <w:bCs/>
          <w:b/>
        </w:rPr>
        <w:t xml:space="preserve">Nenet 6.2, 14.5, 14.6 dhe 15</w:t>
      </w:r>
      <w:r>
        <w:t xml:space="preserve">, Shërbimi ofrohet</w:t>
      </w:r>
      <w:r>
        <w:t xml:space="preserve"> </w:t>
      </w:r>
      <w:r>
        <w:rPr>
          <w:bCs/>
          <w:b/>
        </w:rPr>
        <w:t xml:space="preserve">“</w:t>
      </w:r>
      <w:r>
        <w:rPr>
          <w:bCs/>
          <w:b/>
        </w:rPr>
        <w:t xml:space="preserve">siç është</w:t>
      </w:r>
      <w:r>
        <w:rPr>
          <w:bCs/>
          <w:b/>
        </w:rPr>
        <w:t xml:space="preserve">”</w:t>
      </w:r>
      <w:r>
        <w:rPr>
          <w:bCs/>
          <w:b/>
        </w:rPr>
        <w:t xml:space="preserve"> </w:t>
      </w:r>
      <w:r>
        <w:rPr>
          <w:bCs/>
          <w:b/>
        </w:rPr>
        <w:t xml:space="preserve">dhe</w:t>
      </w:r>
      <w:r>
        <w:rPr>
          <w:bCs/>
          <w:b/>
        </w:rPr>
        <w:t xml:space="preserve"> </w:t>
      </w:r>
      <w:r>
        <w:rPr>
          <w:bCs/>
          <w:b/>
        </w:rPr>
        <w:t xml:space="preserve">“</w:t>
      </w:r>
      <w:r>
        <w:rPr>
          <w:bCs/>
          <w:b/>
        </w:rPr>
        <w:t xml:space="preserve">siç është i disponueshëm</w:t>
      </w:r>
      <w:r>
        <w:rPr>
          <w:bCs/>
          <w:b/>
        </w:rPr>
        <w:t xml:space="preserve">”</w:t>
      </w:r>
      <w:r>
        <w:t xml:space="preserve">. Ofruesi</w:t>
      </w:r>
      <w:r>
        <w:t xml:space="preserve"> </w:t>
      </w:r>
      <w:r>
        <w:rPr>
          <w:bCs/>
          <w:b/>
        </w:rPr>
        <w:t xml:space="preserve">nuk garanton</w:t>
      </w:r>
      <w:r>
        <w:t xml:space="preserve"> </w:t>
      </w:r>
      <w:r>
        <w:t xml:space="preserve">se:</w:t>
      </w:r>
    </w:p>
    <w:p>
      <w:pPr>
        <w:numPr>
          <w:ilvl w:val="0"/>
          <w:numId w:val="1016"/>
        </w:numPr>
        <w:pStyle w:val="Compact"/>
      </w:pPr>
      <w:r>
        <w:t xml:space="preserve">Shërbimi do të jetë i pandërprerë, pa gabime ose pa cenueshmëri;</w:t>
      </w:r>
    </w:p>
    <w:p>
      <w:pPr>
        <w:numPr>
          <w:ilvl w:val="0"/>
          <w:numId w:val="1016"/>
        </w:numPr>
        <w:pStyle w:val="Compact"/>
      </w:pPr>
      <w:r>
        <w:t xml:space="preserve">Shërbimi do të përmbushë çdo kërkesë specifike apo pritje individuale të Klientit;</w:t>
      </w:r>
    </w:p>
    <w:p>
      <w:pPr>
        <w:numPr>
          <w:ilvl w:val="0"/>
          <w:numId w:val="1016"/>
        </w:numPr>
        <w:pStyle w:val="Compact"/>
      </w:pPr>
      <w:r>
        <w:t xml:space="preserve">rezultatet e përftuara do të jenë pa gabime kur burimi i gabimit janë të dhënat ose konfigurimi i Klientit;</w:t>
      </w:r>
    </w:p>
    <w:p>
      <w:pPr>
        <w:numPr>
          <w:ilvl w:val="0"/>
          <w:numId w:val="1016"/>
        </w:numPr>
        <w:pStyle w:val="Compact"/>
      </w:pPr>
      <w:r>
        <w:t xml:space="preserve">Shërbimi do të jetë i pajtueshëm me çdo softuer, pajisje apo sistem të palëve të treta.</w:t>
      </w:r>
    </w:p>
    <w:p>
      <w:pPr>
        <w:pStyle w:val="FirstParagraph"/>
      </w:pPr>
      <w:r>
        <w:rPr>
          <w:bCs/>
          <w:b/>
        </w:rPr>
        <w:t xml:space="preserve">22.3</w:t>
      </w:r>
      <w:r>
        <w:t xml:space="preserve"> </w:t>
      </w:r>
      <w:r>
        <w:t xml:space="preserve">Asnjë këshillë verbale apo me shkrim e dhënë nga Ofruesi nuk krijon garanci që nuk parashikohet shprehimisht në këtë Kontratë.</w:t>
      </w:r>
    </w:p>
    <w:p>
      <w:pPr>
        <w:pStyle w:val="BodyText"/>
      </w:pPr>
      <w:r>
        <w:rPr>
          <w:bCs/>
          <w:b/>
        </w:rPr>
        <w:t xml:space="preserve">22.4</w:t>
      </w:r>
      <w:r>
        <w:t xml:space="preserve"> </w:t>
      </w:r>
      <w:r>
        <w:t xml:space="preserve">Klienti pranon se ka vlerësuar në mënyrë të pavarur përshtatshmërinë e Shërbimit për nevojat e tij.</w:t>
      </w:r>
    </w:p>
    <w:bookmarkEnd w:id="52"/>
    <w:bookmarkStart w:id="53" w:name="neni-23-kufizimi-i-përgjegjësisë"/>
    <w:p>
      <w:pPr>
        <w:pStyle w:val="Heading2"/>
      </w:pPr>
      <w:r>
        <w:t xml:space="preserve">Neni 23 — Kufizimi i Përgjegjësisë</w:t>
      </w:r>
    </w:p>
    <w:p>
      <w:pPr>
        <w:pStyle w:val="FirstParagraph"/>
      </w:pPr>
      <w:r>
        <w:rPr>
          <w:bCs/>
          <w:b/>
        </w:rPr>
        <w:t xml:space="preserve">23.1 Përjashtimi i dëmeve indirekte.</w:t>
      </w:r>
      <w:r>
        <w:t xml:space="preserve"> </w:t>
      </w:r>
      <w:r>
        <w:t xml:space="preserve">Asnjëra Palë nuk përgjigjet ndaj tjetrës për</w:t>
      </w:r>
      <w:r>
        <w:t xml:space="preserve"> </w:t>
      </w:r>
      <w:r>
        <w:rPr>
          <w:bCs/>
          <w:b/>
        </w:rPr>
        <w:t xml:space="preserve">dëme indirekte, të rastësishme, pasuese ose të veçanta</w:t>
      </w:r>
      <w:r>
        <w:t xml:space="preserve">, duke përfshirë por pa u kufizuar në: fitimin e humbur, humbjen e të ardhurave, humbjen e mundësive afariste, humbjen e reputacionit, humbjen e kursimeve të parashikuara apo ndërprerjen e veprimtarisë.</w:t>
      </w:r>
    </w:p>
    <w:p>
      <w:pPr>
        <w:pStyle w:val="BodyText"/>
      </w:pPr>
      <w:r>
        <w:rPr>
          <w:bCs/>
          <w:b/>
        </w:rPr>
        <w:t xml:space="preserve">23.2 Kufiri sasior.</w:t>
      </w:r>
      <w:r>
        <w:t xml:space="preserve"> </w:t>
      </w:r>
      <w:r>
        <w:t xml:space="preserve">Përgjegjësia e përgjithshme e Ofruesit ndaj Klientit, për të gjitha pretendimet e ngritura brenda një periudhe dymbëdhjetë (12) mujore, pavarësisht nga baza juridike (kontraktore, jashtëkontraktore apo tjetër), kufizohet në shumën</w:t>
      </w:r>
      <w:r>
        <w:t xml:space="preserve"> </w:t>
      </w:r>
      <w:r>
        <w:rPr>
          <w:bCs/>
          <w:b/>
        </w:rPr>
        <w:t xml:space="preserve">totale të Tarifave faktikisht të paguara nga Klienti gjatë dymbëdhjetë (12) muajve që i paraprijnë ngjarjes</w:t>
      </w:r>
      <w:r>
        <w:t xml:space="preserve"> </w:t>
      </w:r>
      <w:r>
        <w:t xml:space="preserve">që shkakton përgjegjësinë.</w:t>
      </w:r>
    </w:p>
    <w:p>
      <w:pPr>
        <w:pStyle w:val="BodyText"/>
      </w:pPr>
      <w:r>
        <w:rPr>
          <w:bCs/>
          <w:b/>
        </w:rPr>
        <w:t xml:space="preserve">23.3 Përjashtime specifike.</w:t>
      </w:r>
      <w:r>
        <w:t xml:space="preserve"> </w:t>
      </w:r>
      <w:r>
        <w:t xml:space="preserve">Ofruesi nuk përgjigjet për:</w:t>
      </w:r>
    </w:p>
    <w:p>
      <w:pPr>
        <w:numPr>
          <w:ilvl w:val="0"/>
          <w:numId w:val="1017"/>
        </w:numPr>
        <w:pStyle w:val="Compact"/>
      </w:pPr>
      <w:r>
        <w:t xml:space="preserve">humbjen e të dhënave që rrjedh nga veprimet e Klientit ose Përdoruesve të tij (fshirje, mbishkrim, konfigurim i gabuar);</w:t>
      </w:r>
    </w:p>
    <w:p>
      <w:pPr>
        <w:numPr>
          <w:ilvl w:val="0"/>
          <w:numId w:val="1017"/>
        </w:numPr>
        <w:pStyle w:val="Compact"/>
      </w:pPr>
      <w:r>
        <w:t xml:space="preserve">pasojat e futjes së të dhënave të pasakta nga Klienti;</w:t>
      </w:r>
    </w:p>
    <w:p>
      <w:pPr>
        <w:numPr>
          <w:ilvl w:val="0"/>
          <w:numId w:val="1017"/>
        </w:numPr>
        <w:pStyle w:val="Compact"/>
      </w:pPr>
      <w:r>
        <w:t xml:space="preserve">gjobat dhe penalitetet tatimore sipas Nenit 9.3;</w:t>
      </w:r>
    </w:p>
    <w:p>
      <w:pPr>
        <w:numPr>
          <w:ilvl w:val="0"/>
          <w:numId w:val="1017"/>
        </w:numPr>
        <w:pStyle w:val="Compact"/>
      </w:pPr>
      <w:r>
        <w:t xml:space="preserve">mosfunksionimin e shërbimeve të palëve të treta;</w:t>
      </w:r>
    </w:p>
    <w:p>
      <w:pPr>
        <w:numPr>
          <w:ilvl w:val="0"/>
          <w:numId w:val="1017"/>
        </w:numPr>
        <w:pStyle w:val="Compact"/>
      </w:pPr>
      <w:r>
        <w:t xml:space="preserve">dëmet që rrjedhin nga përdorimi i Shërbimit në kundërshtim me Kontratën ose Dokumentacionin;</w:t>
      </w:r>
    </w:p>
    <w:p>
      <w:pPr>
        <w:numPr>
          <w:ilvl w:val="0"/>
          <w:numId w:val="1017"/>
        </w:numPr>
        <w:pStyle w:val="Compact"/>
      </w:pPr>
      <w:r>
        <w:t xml:space="preserve">humbjet gjatë periudhës provuese falas.</w:t>
      </w:r>
    </w:p>
    <w:p>
      <w:pPr>
        <w:pStyle w:val="FirstParagraph"/>
      </w:pPr>
      <w:r>
        <w:rPr>
          <w:bCs/>
          <w:b/>
        </w:rPr>
        <w:t xml:space="preserve">23.4 Kufizime që NUK zbatohen.</w:t>
      </w:r>
      <w:r>
        <w:t xml:space="preserve"> </w:t>
      </w:r>
      <w:r>
        <w:t xml:space="preserve">Kufizimet e paragrafëve 23.1, 23.2 dhe 23.3</w:t>
      </w:r>
      <w:r>
        <w:t xml:space="preserve"> </w:t>
      </w:r>
      <w:r>
        <w:rPr>
          <w:bCs/>
          <w:b/>
        </w:rPr>
        <w:t xml:space="preserve">nuk zbatohen</w:t>
      </w:r>
      <w:r>
        <w:t xml:space="preserve"> </w:t>
      </w:r>
      <w:r>
        <w:t xml:space="preserve">dhe janë të pavlefshme në rastet e:</w:t>
      </w:r>
    </w:p>
    <w:p>
      <w:pPr>
        <w:numPr>
          <w:ilvl w:val="0"/>
          <w:numId w:val="1018"/>
        </w:numPr>
        <w:pStyle w:val="Compact"/>
      </w:pPr>
      <w:r>
        <w:rPr>
          <w:bCs/>
          <w:b/>
        </w:rPr>
        <w:t xml:space="preserve">dashjes (qëllimit të drejtpërdrejtë)</w:t>
      </w:r>
      <w:r>
        <w:t xml:space="preserve"> </w:t>
      </w:r>
      <w:r>
        <w:t xml:space="preserve">ose</w:t>
      </w:r>
      <w:r>
        <w:t xml:space="preserve"> </w:t>
      </w:r>
      <w:r>
        <w:rPr>
          <w:bCs/>
          <w:b/>
        </w:rPr>
        <w:t xml:space="preserve">pakujdesisë së rëndë</w:t>
      </w:r>
      <w:r>
        <w:t xml:space="preserve">;</w:t>
      </w:r>
    </w:p>
    <w:p>
      <w:pPr>
        <w:numPr>
          <w:ilvl w:val="0"/>
          <w:numId w:val="1018"/>
        </w:numPr>
        <w:pStyle w:val="Compact"/>
      </w:pPr>
      <w:r>
        <w:t xml:space="preserve">dëmit ndaj jetës, shëndetit ose integritetit trupor;</w:t>
      </w:r>
    </w:p>
    <w:p>
      <w:pPr>
        <w:numPr>
          <w:ilvl w:val="0"/>
          <w:numId w:val="1018"/>
        </w:numPr>
        <w:pStyle w:val="Compact"/>
      </w:pPr>
      <w:r>
        <w:t xml:space="preserve">shkeljes së zotimit të mos-qasjes së Nenit 15 të kryer me dashje;</w:t>
      </w:r>
    </w:p>
    <w:p>
      <w:pPr>
        <w:numPr>
          <w:ilvl w:val="0"/>
          <w:numId w:val="1018"/>
        </w:numPr>
        <w:pStyle w:val="Compact"/>
      </w:pPr>
      <w:r>
        <w:t xml:space="preserve">shkeljes së detyrimeve të konfidencialitetit të Nenit 18 të kryer me dashje;</w:t>
      </w:r>
    </w:p>
    <w:p>
      <w:pPr>
        <w:numPr>
          <w:ilvl w:val="0"/>
          <w:numId w:val="1018"/>
        </w:numPr>
        <w:pStyle w:val="Compact"/>
      </w:pPr>
      <w:r>
        <w:t xml:space="preserve">shkeljes së të drejtave të pronësisë intelektuale;</w:t>
      </w:r>
    </w:p>
    <w:p>
      <w:pPr>
        <w:numPr>
          <w:ilvl w:val="0"/>
          <w:numId w:val="1018"/>
        </w:numPr>
        <w:pStyle w:val="Compact"/>
      </w:pPr>
      <w:r>
        <w:t xml:space="preserve">detyrimit të Klientit për pagesën e Tarifave;</w:t>
      </w:r>
    </w:p>
    <w:p>
      <w:pPr>
        <w:numPr>
          <w:ilvl w:val="0"/>
          <w:numId w:val="1018"/>
        </w:numPr>
        <w:pStyle w:val="Compact"/>
      </w:pPr>
      <w:r>
        <w:t xml:space="preserve">çdo rasti tjetër ku kufizimi i përgjegjësisë është i pavlefshëm sipas dispozitave imperative të legjislacionit të Republikës së Kosovës.</w:t>
      </w:r>
    </w:p>
    <w:p>
      <w:pPr>
        <w:pStyle w:val="FirstParagraph"/>
      </w:pPr>
      <w:r>
        <w:rPr>
          <w:bCs/>
          <w:b/>
        </w:rPr>
        <w:t xml:space="preserve">23.5</w:t>
      </w:r>
      <w:r>
        <w:t xml:space="preserve"> </w:t>
      </w:r>
      <w:r>
        <w:t xml:space="preserve">Palët deklarojnë se ky kufizim përgjegjësie është rezultat i një negociate të ndërgjegjshme, pasqyron ndarjen e rrezikut ndërmjet subjekteve afariste dhe është marrë parasysh në përcaktimin e Tarifës.</w:t>
      </w:r>
    </w:p>
    <w:p>
      <w:pPr>
        <w:pStyle w:val="BodyText"/>
      </w:pPr>
      <w:r>
        <w:rPr>
          <w:bCs/>
          <w:b/>
        </w:rPr>
        <w:t xml:space="preserve">23.6 Afati i njoftimit të pretendimeve.</w:t>
      </w:r>
      <w:r>
        <w:t xml:space="preserve"> </w:t>
      </w:r>
      <w:r>
        <w:t xml:space="preserve">Secila Palë njofton me shkrim Palën tjetër për çdo pretendim që rrjedh nga kjo Kontratë brenda</w:t>
      </w:r>
      <w:r>
        <w:t xml:space="preserve"> </w:t>
      </w:r>
      <w:r>
        <w:rPr>
          <w:bCs/>
          <w:b/>
        </w:rPr>
        <w:t xml:space="preserve">dymbëdhjetë (12) muajve</w:t>
      </w:r>
      <w:r>
        <w:t xml:space="preserve"> </w:t>
      </w:r>
      <w:r>
        <w:t xml:space="preserve">nga momenti kur mori ose duhej të merrte dijeni për faktet përkatëse. Ky afat përbën detyrim kontraktual njoftimi dhe</w:t>
      </w:r>
      <w:r>
        <w:t xml:space="preserve"> </w:t>
      </w:r>
      <w:r>
        <w:rPr>
          <w:bCs/>
          <w:b/>
        </w:rPr>
        <w:t xml:space="preserve">nuk prek afatet ligjore të parashkrimit</w:t>
      </w:r>
      <w:r>
        <w:t xml:space="preserve">, të cilat zbatohen sipas Ligjit Nr. 04/L-077 dhe nuk mund të ndryshohen me marrëveshje të Palëve.</w:t>
      </w:r>
    </w:p>
    <w:bookmarkEnd w:id="53"/>
    <w:bookmarkStart w:id="54" w:name="neni-24-dëmshpërblimi"/>
    <w:p>
      <w:pPr>
        <w:pStyle w:val="Heading2"/>
      </w:pPr>
      <w:r>
        <w:t xml:space="preserve">Neni 24 — Dëmshpërblimi</w:t>
      </w:r>
    </w:p>
    <w:p>
      <w:pPr>
        <w:pStyle w:val="FirstParagraph"/>
      </w:pPr>
      <w:r>
        <w:rPr>
          <w:bCs/>
          <w:b/>
        </w:rPr>
        <w:t xml:space="preserve">24.1</w:t>
      </w:r>
      <w:r>
        <w:t xml:space="preserve"> </w:t>
      </w:r>
      <w:r>
        <w:rPr>
          <w:bCs/>
          <w:b/>
        </w:rPr>
        <w:t xml:space="preserve">Klienti dëmshpërblen Ofruesin</w:t>
      </w:r>
      <w:r>
        <w:t xml:space="preserve"> </w:t>
      </w:r>
      <w:r>
        <w:t xml:space="preserve">nga çdo pretendim, kërkesë, gjobë, dëm ose shpenzim të arsyeshëm (përfshirë shpenzimet ligjore) të ngritur nga palë të treta, punonjës të Klientit ose organe publike, që rrjedh nga:</w:t>
      </w:r>
    </w:p>
    <w:p>
      <w:pPr>
        <w:numPr>
          <w:ilvl w:val="0"/>
          <w:numId w:val="1019"/>
        </w:numPr>
        <w:pStyle w:val="Compact"/>
      </w:pPr>
      <w:r>
        <w:t xml:space="preserve">ngarkimi ose përpunimi i të dhënave pa bazë të vlefshme ligjore;</w:t>
      </w:r>
    </w:p>
    <w:p>
      <w:pPr>
        <w:numPr>
          <w:ilvl w:val="0"/>
          <w:numId w:val="1019"/>
        </w:numPr>
        <w:pStyle w:val="Compact"/>
      </w:pPr>
      <w:r>
        <w:t xml:space="preserve">shkelja e detyrimeve të Klientit si Kontrollues sipas Ligjit Nr. 06/L-082;</w:t>
      </w:r>
    </w:p>
    <w:p>
      <w:pPr>
        <w:numPr>
          <w:ilvl w:val="0"/>
          <w:numId w:val="1019"/>
        </w:numPr>
        <w:pStyle w:val="Compact"/>
      </w:pPr>
      <w:r>
        <w:t xml:space="preserve">përdorimi i Shërbimit në kundërshtim me Nenin 4.3 ose me ligjin;</w:t>
      </w:r>
    </w:p>
    <w:p>
      <w:pPr>
        <w:numPr>
          <w:ilvl w:val="0"/>
          <w:numId w:val="1019"/>
        </w:numPr>
        <w:pStyle w:val="Compact"/>
      </w:pPr>
      <w:r>
        <w:t xml:space="preserve">përmbajtja e paligjshme e ngarkuar në Shërbim;</w:t>
      </w:r>
    </w:p>
    <w:p>
      <w:pPr>
        <w:numPr>
          <w:ilvl w:val="0"/>
          <w:numId w:val="1019"/>
        </w:numPr>
        <w:pStyle w:val="Compact"/>
      </w:pPr>
      <w:r>
        <w:t xml:space="preserve">mospërmbushja e detyrimeve tatimore ose të punës të Klientit.</w:t>
      </w:r>
    </w:p>
    <w:p>
      <w:pPr>
        <w:pStyle w:val="FirstParagraph"/>
      </w:pPr>
      <w:r>
        <w:rPr>
          <w:bCs/>
          <w:b/>
        </w:rPr>
        <w:t xml:space="preserve">24.2</w:t>
      </w:r>
      <w:r>
        <w:t xml:space="preserve"> </w:t>
      </w:r>
      <w:r>
        <w:rPr>
          <w:bCs/>
          <w:b/>
        </w:rPr>
        <w:t xml:space="preserve">Ofruesi dëmshpërblen Klientin</w:t>
      </w:r>
      <w:r>
        <w:t xml:space="preserve"> </w:t>
      </w:r>
      <w:r>
        <w:t xml:space="preserve">nga çdo pretendim të palëve të treta që pretendon se përdorimi i ligjshëm i Shërbimit nga Klienti shkel të drejtat e pronësisë intelektuale të asaj pale të tretë. Në një rast të tillë Ofruesi ka të drejtë, sipas zgjedhjes së tij, të: (i) sigurojë të drejtën e vazhdimit të përdorimit; (ii) modifikojë Shërbimin që të shmangë shkeljen; ose (iii) zgjidhë Kontratën me rimbursim proporcional.</w:t>
      </w:r>
    </w:p>
    <w:p>
      <w:pPr>
        <w:pStyle w:val="BodyText"/>
      </w:pPr>
      <w:r>
        <w:rPr>
          <w:bCs/>
          <w:b/>
        </w:rPr>
        <w:t xml:space="preserve">24.3</w:t>
      </w:r>
      <w:r>
        <w:t xml:space="preserve"> </w:t>
      </w:r>
      <w:r>
        <w:t xml:space="preserve">Pala që kërkon dëmshpërblim duhet të njoftojë menjëherë Palën tjetër, të mos pranojë përgjegjësi pa pëlqim dhe të bashkëpunojë në mbrojtje.</w:t>
      </w:r>
    </w:p>
    <w:bookmarkEnd w:id="54"/>
    <w:bookmarkStart w:id="55" w:name="neni-25-forca-madhore"/>
    <w:p>
      <w:pPr>
        <w:pStyle w:val="Heading2"/>
      </w:pPr>
      <w:r>
        <w:t xml:space="preserve">Neni 25 — Forca Madhore</w:t>
      </w:r>
    </w:p>
    <w:p>
      <w:pPr>
        <w:pStyle w:val="FirstParagraph"/>
      </w:pPr>
      <w:r>
        <w:rPr>
          <w:bCs/>
          <w:b/>
        </w:rPr>
        <w:t xml:space="preserve">25.1</w:t>
      </w:r>
      <w:r>
        <w:t xml:space="preserve"> </w:t>
      </w:r>
      <w:r>
        <w:t xml:space="preserve">Asnjëra Palë nuk mban përgjegjësi për mospërmbushje ose vonesë në përmbushjen e detyrimeve kur kjo rrjedh nga rrethana</w:t>
      </w:r>
      <w:r>
        <w:t xml:space="preserve"> </w:t>
      </w:r>
      <w:r>
        <w:rPr>
          <w:bCs/>
          <w:b/>
        </w:rPr>
        <w:t xml:space="preserve">jashtë kontrollit të arsyeshëm</w:t>
      </w:r>
      <w:r>
        <w:t xml:space="preserve"> </w:t>
      </w:r>
      <w:r>
        <w:t xml:space="preserve">të saj, të cilat nuk mund të parashiheshin, shmangeshin apo tejkaloheshin, duke përfshirë: fatkeqësi natyrore, tërmete, zjarre, përmbytje, luftë, terrorizëm, trazira civile, epidemi dhe pandemi, masa të detyrueshme shtetërore, ndërprerje të zgjatura të energjisë elektrike ose të infrastrukturës kombëtare të internetit, sulme kibernetike masive të tipit DDoS mbi infrastrukturën kombëtare, si dhe dështime të rënda të ofruesve kryesorë të infrastrukturës cloud.</w:t>
      </w:r>
    </w:p>
    <w:p>
      <w:pPr>
        <w:pStyle w:val="BodyText"/>
      </w:pPr>
      <w:r>
        <w:rPr>
          <w:bCs/>
          <w:b/>
        </w:rPr>
        <w:t xml:space="preserve">25.2</w:t>
      </w:r>
      <w:r>
        <w:t xml:space="preserve"> </w:t>
      </w:r>
      <w:r>
        <w:t xml:space="preserve">Pala e prekur njofton Palën tjetër</w:t>
      </w:r>
      <w:r>
        <w:t xml:space="preserve"> </w:t>
      </w:r>
      <w:r>
        <w:rPr>
          <w:bCs/>
          <w:b/>
        </w:rPr>
        <w:t xml:space="preserve">pa vonesë të panevojshme</w:t>
      </w:r>
      <w:r>
        <w:t xml:space="preserve"> </w:t>
      </w:r>
      <w:r>
        <w:t xml:space="preserve">dhe merr masa të arsyeshme zbutëse.</w:t>
      </w:r>
    </w:p>
    <w:p>
      <w:pPr>
        <w:pStyle w:val="BodyText"/>
      </w:pPr>
      <w:r>
        <w:rPr>
          <w:bCs/>
          <w:b/>
        </w:rPr>
        <w:t xml:space="preserve">25.3</w:t>
      </w:r>
      <w:r>
        <w:t xml:space="preserve"> </w:t>
      </w:r>
      <w:r>
        <w:t xml:space="preserve">Detyrimet pezullohen për kohëzgjatjen e rrethanës. Nëse ajo zgjat më shumë se</w:t>
      </w:r>
      <w:r>
        <w:t xml:space="preserve"> </w:t>
      </w:r>
      <w:r>
        <w:rPr>
          <w:bCs/>
          <w:b/>
        </w:rPr>
        <w:t xml:space="preserve">gjashtëdhjetë (60) ditë</w:t>
      </w:r>
      <w:r>
        <w:t xml:space="preserve"> </w:t>
      </w:r>
      <w:r>
        <w:t xml:space="preserve">të pandërprera, secila Palë ka të drejtë të zgjidhë Kontratën me njoftim me shkrim, pa detyrim dëmshpërblimi, me rimbursim proporcional të tarifave të parapaguara për shërbimin e paofruar.</w:t>
      </w:r>
    </w:p>
    <w:p>
      <w:pPr>
        <w:pStyle w:val="BodyText"/>
      </w:pPr>
      <w:r>
        <w:rPr>
          <w:bCs/>
          <w:b/>
        </w:rPr>
        <w:t xml:space="preserve">25.4</w:t>
      </w:r>
      <w:r>
        <w:t xml:space="preserve"> </w:t>
      </w:r>
      <w:r>
        <w:t xml:space="preserve">Forca madhore</w:t>
      </w:r>
      <w:r>
        <w:t xml:space="preserve"> </w:t>
      </w:r>
      <w:r>
        <w:rPr>
          <w:bCs/>
          <w:b/>
        </w:rPr>
        <w:t xml:space="preserve">nuk e liron</w:t>
      </w:r>
      <w:r>
        <w:t xml:space="preserve"> </w:t>
      </w:r>
      <w:r>
        <w:t xml:space="preserve">Klientin nga detyrimi i pagesës për shërbimet e ofruara përpara ngjarjes.</w:t>
      </w:r>
    </w:p>
    <w:p>
      <w:pPr>
        <w:pStyle w:val="BodyText"/>
      </w:pPr>
      <w:r>
        <w:rPr>
          <w:bCs/>
          <w:b/>
        </w:rPr>
        <w:t xml:space="preserve">25.5</w:t>
      </w:r>
      <w:r>
        <w:t xml:space="preserve"> </w:t>
      </w:r>
      <w:r>
        <w:t xml:space="preserve">Mungesa e mjeteve financiare, falimentimi ose vështirësitë tregtare</w:t>
      </w:r>
      <w:r>
        <w:t xml:space="preserve"> </w:t>
      </w:r>
      <w:r>
        <w:rPr>
          <w:bCs/>
          <w:b/>
        </w:rPr>
        <w:t xml:space="preserve">nuk përbëjnë</w:t>
      </w:r>
      <w:r>
        <w:t xml:space="preserve"> </w:t>
      </w:r>
      <w:r>
        <w:t xml:space="preserve">forcë madhore.</w:t>
      </w:r>
    </w:p>
    <w:p>
      <w:r>
        <w:pict>
          <v:rect style="width:0;height:1.5pt" o:hralign="center" o:hrstd="t" o:hr="t"/>
        </w:pict>
      </w:r>
    </w:p>
    <w:bookmarkEnd w:id="55"/>
    <w:bookmarkEnd w:id="56"/>
    <w:bookmarkStart w:id="65" w:name="Xab82886a5f96aaf012cac4507b5ba08464a839f"/>
    <w:p>
      <w:pPr>
        <w:pStyle w:val="Heading1"/>
      </w:pPr>
      <w:r>
        <w:t xml:space="preserve">KREU VIII — KOHËZGJATJA, NDRYSHIMET DHE ZGJIDHJA E KONTESTEVE</w:t>
      </w:r>
    </w:p>
    <w:bookmarkStart w:id="57" w:name="neni-26-kohëzgjatja-dhe-ndërprerja"/>
    <w:p>
      <w:pPr>
        <w:pStyle w:val="Heading2"/>
      </w:pPr>
      <w:r>
        <w:t xml:space="preserve">Neni 26 — Kohëzgjatja dhe Ndërprerja</w:t>
      </w:r>
    </w:p>
    <w:p>
      <w:pPr>
        <w:pStyle w:val="FirstParagraph"/>
      </w:pPr>
      <w:r>
        <w:rPr>
          <w:bCs/>
          <w:b/>
        </w:rPr>
        <w:t xml:space="preserve">26.1</w:t>
      </w:r>
      <w:r>
        <w:t xml:space="preserve"> </w:t>
      </w:r>
      <w:r>
        <w:t xml:space="preserve">Kontrata hyn në fuqi në datën e lidhjes sipas Nenit 3 dhe zgjat për Periudhën e Abonimit, duke u rinovuar automatikisht sipas Nenit 11.</w:t>
      </w:r>
    </w:p>
    <w:p>
      <w:pPr>
        <w:pStyle w:val="BodyText"/>
      </w:pPr>
      <w:r>
        <w:rPr>
          <w:bCs/>
          <w:b/>
        </w:rPr>
        <w:t xml:space="preserve">26.2 Ndërprerja e zakonshme.</w:t>
      </w:r>
      <w:r>
        <w:t xml:space="preserve"> </w:t>
      </w:r>
      <w:r>
        <w:t xml:space="preserve">Secila Palë mund të ndërpresë Kontratën në fund të Periudhës aktuale të Abonimit, me njoftimin e afateve të Nenit 11.1.</w:t>
      </w:r>
    </w:p>
    <w:p>
      <w:pPr>
        <w:pStyle w:val="BodyText"/>
      </w:pPr>
      <w:r>
        <w:rPr>
          <w:bCs/>
          <w:b/>
        </w:rPr>
        <w:t xml:space="preserve">26.3 Ndërprerja nga Ofruesi për shkak.</w:t>
      </w:r>
      <w:r>
        <w:t xml:space="preserve"> </w:t>
      </w:r>
      <w:r>
        <w:t xml:space="preserve">Ofruesi mund ta zgjidhë Kontratën me</w:t>
      </w:r>
      <w:r>
        <w:t xml:space="preserve"> </w:t>
      </w:r>
      <w:r>
        <w:rPr>
          <w:bCs/>
          <w:b/>
        </w:rPr>
        <w:t xml:space="preserve">efekt të menjëhershëm</w:t>
      </w:r>
      <w:r>
        <w:t xml:space="preserve"> </w:t>
      </w:r>
      <w:r>
        <w:t xml:space="preserve">në rast të:</w:t>
      </w:r>
    </w:p>
    <w:p>
      <w:pPr>
        <w:numPr>
          <w:ilvl w:val="0"/>
          <w:numId w:val="1020"/>
        </w:numPr>
        <w:pStyle w:val="Compact"/>
      </w:pPr>
      <w:r>
        <w:t xml:space="preserve">shkeljes së Nenit 4.3 (kufizimet e licencës);</w:t>
      </w:r>
    </w:p>
    <w:p>
      <w:pPr>
        <w:numPr>
          <w:ilvl w:val="0"/>
          <w:numId w:val="1020"/>
        </w:numPr>
        <w:pStyle w:val="Compact"/>
      </w:pPr>
      <w:r>
        <w:t xml:space="preserve">vonesës në pagesë mbi gjashtëdhjetë (60) ditë sipas Nenit 12.6;</w:t>
      </w:r>
    </w:p>
    <w:p>
      <w:pPr>
        <w:numPr>
          <w:ilvl w:val="0"/>
          <w:numId w:val="1020"/>
        </w:numPr>
        <w:pStyle w:val="Compact"/>
      </w:pPr>
      <w:r>
        <w:t xml:space="preserve">përdorimit të Shërbimit për veprimtari të paligjshme;</w:t>
      </w:r>
    </w:p>
    <w:p>
      <w:pPr>
        <w:numPr>
          <w:ilvl w:val="0"/>
          <w:numId w:val="1020"/>
        </w:numPr>
        <w:pStyle w:val="Compact"/>
      </w:pPr>
      <w:r>
        <w:t xml:space="preserve">fillimit të procedurës së falimentimit ose likuidimit ndaj Klientit;</w:t>
      </w:r>
    </w:p>
    <w:p>
      <w:pPr>
        <w:numPr>
          <w:ilvl w:val="0"/>
          <w:numId w:val="1020"/>
        </w:numPr>
        <w:pStyle w:val="Compact"/>
      </w:pPr>
      <w:r>
        <w:t xml:space="preserve">veprimeve që rrezikojnë sigurinë, integritetin ose disponueshmërinë e Shërbimit për klientë të tjerë.</w:t>
      </w:r>
    </w:p>
    <w:p>
      <w:pPr>
        <w:pStyle w:val="FirstParagraph"/>
      </w:pPr>
      <w:r>
        <w:rPr>
          <w:bCs/>
          <w:b/>
        </w:rPr>
        <w:t xml:space="preserve">26.4 Ndërprerja nga Klienti për shkak.</w:t>
      </w:r>
      <w:r>
        <w:t xml:space="preserve"> </w:t>
      </w:r>
      <w:r>
        <w:t xml:space="preserve">Klienti mund ta zgjidhë Kontratën me efekt të menjëhershëm nëse Ofruesi kryen një</w:t>
      </w:r>
      <w:r>
        <w:t xml:space="preserve"> </w:t>
      </w:r>
      <w:r>
        <w:rPr>
          <w:bCs/>
          <w:b/>
        </w:rPr>
        <w:t xml:space="preserve">shkelje thelbësore</w:t>
      </w:r>
      <w:r>
        <w:t xml:space="preserve"> </w:t>
      </w:r>
      <w:r>
        <w:t xml:space="preserve">dhe nuk e riparon atë brenda</w:t>
      </w:r>
      <w:r>
        <w:t xml:space="preserve"> </w:t>
      </w:r>
      <w:r>
        <w:rPr>
          <w:bCs/>
          <w:b/>
        </w:rPr>
        <w:t xml:space="preserve">tridhjetë (30) ditëve</w:t>
      </w:r>
      <w:r>
        <w:t xml:space="preserve"> </w:t>
      </w:r>
      <w:r>
        <w:t xml:space="preserve">nga njoftimi me shkrim, ose me efekt të menjëhershëm dhe pa afat riparimi në rast shkeljeje me dashje të Nenit 15.</w:t>
      </w:r>
    </w:p>
    <w:p>
      <w:pPr>
        <w:pStyle w:val="BodyText"/>
      </w:pPr>
      <w:r>
        <w:rPr>
          <w:bCs/>
          <w:b/>
        </w:rPr>
        <w:t xml:space="preserve">26.5</w:t>
      </w:r>
      <w:r>
        <w:t xml:space="preserve"> </w:t>
      </w:r>
      <w:r>
        <w:t xml:space="preserve">Ofruesi mund të ndërpresë ofrimin e përgjithshëm të Shërbimit me njoftim paraprak prej së paku</w:t>
      </w:r>
      <w:r>
        <w:t xml:space="preserve"> </w:t>
      </w:r>
      <w:r>
        <w:rPr>
          <w:bCs/>
          <w:b/>
        </w:rPr>
        <w:t xml:space="preserve">gjashtëdhjetë (60) ditësh</w:t>
      </w:r>
      <w:r>
        <w:t xml:space="preserve">, me rimbursim proporcional të periudhës së papërdorur.</w:t>
      </w:r>
    </w:p>
    <w:bookmarkEnd w:id="57"/>
    <w:bookmarkStart w:id="58" w:name="neni-27-pasojat-e-ndërprerjes"/>
    <w:p>
      <w:pPr>
        <w:pStyle w:val="Heading2"/>
      </w:pPr>
      <w:r>
        <w:t xml:space="preserve">Neni 27 — Pasojat e Ndërprerjes</w:t>
      </w:r>
    </w:p>
    <w:p>
      <w:pPr>
        <w:pStyle w:val="FirstParagraph"/>
      </w:pPr>
      <w:r>
        <w:rPr>
          <w:bCs/>
          <w:b/>
        </w:rPr>
        <w:t xml:space="preserve">27.1</w:t>
      </w:r>
      <w:r>
        <w:t xml:space="preserve"> </w:t>
      </w:r>
      <w:r>
        <w:t xml:space="preserve">Me hyrjen në fuqi të ndërprerjes:</w:t>
      </w:r>
    </w:p>
    <w:p>
      <w:pPr>
        <w:numPr>
          <w:ilvl w:val="0"/>
          <w:numId w:val="1021"/>
        </w:numPr>
        <w:pStyle w:val="Compact"/>
      </w:pPr>
      <w:r>
        <w:t xml:space="preserve">licenca e Nenit 4 kufizohet menjëherë në qasjen e nevojshme për eksportimin e të dhënave dhe shuhet me përfundimin e periudhës së nxjerrjes, moment në të cilin çaktivizohet edhe qasja;</w:t>
      </w:r>
    </w:p>
    <w:p>
      <w:pPr>
        <w:numPr>
          <w:ilvl w:val="0"/>
          <w:numId w:val="1021"/>
        </w:numPr>
        <w:pStyle w:val="Compact"/>
      </w:pPr>
      <w:r>
        <w:t xml:space="preserve">fillon periudha e nxjerrjes së të dhënave prej tridhjetë (30) ditësh sipas Nenit 20.3;</w:t>
      </w:r>
    </w:p>
    <w:p>
      <w:pPr>
        <w:numPr>
          <w:ilvl w:val="0"/>
          <w:numId w:val="1021"/>
        </w:numPr>
        <w:pStyle w:val="Compact"/>
      </w:pPr>
      <w:r>
        <w:t xml:space="preserve">të gjitha detyrimet financiare të papaguara bëhen të kërkueshme menjëherë;</w:t>
      </w:r>
    </w:p>
    <w:p>
      <w:pPr>
        <w:numPr>
          <w:ilvl w:val="0"/>
          <w:numId w:val="1021"/>
        </w:numPr>
        <w:pStyle w:val="Compact"/>
      </w:pPr>
      <w:r>
        <w:t xml:space="preserve">secila Palë kthen ose asgjëson informacionin konfidencial të Palës tjetër.</w:t>
      </w:r>
    </w:p>
    <w:p>
      <w:pPr>
        <w:pStyle w:val="FirstParagraph"/>
      </w:pPr>
      <w:r>
        <w:rPr>
          <w:bCs/>
          <w:b/>
        </w:rPr>
        <w:t xml:space="preserve">27.2 Mbijetesa.</w:t>
      </w:r>
      <w:r>
        <w:t xml:space="preserve"> </w:t>
      </w:r>
      <w:r>
        <w:t xml:space="preserve">Mbijetojnë përfundimin e Kontratës: Neni 14 (privatësia),</w:t>
      </w:r>
      <w:r>
        <w:t xml:space="preserve"> </w:t>
      </w:r>
      <w:r>
        <w:rPr>
          <w:bCs/>
          <w:b/>
        </w:rPr>
        <w:t xml:space="preserve">Neni 15 (mos-qasja)</w:t>
      </w:r>
      <w:r>
        <w:t xml:space="preserve">, Neni 18 (konfidencialiteti), Neni 19 (pronësia intelektuale), Neni 20 (të dhënat), Neni 21 (arkivimi), Neni 23 (kufizimi i përgjegjësisë), Neni 24 (dëmshpërblimi), Neni 31 (ligji dhe kontestet), si dhe</w:t>
      </w:r>
      <w:r>
        <w:t xml:space="preserve"> </w:t>
      </w:r>
      <w:r>
        <w:rPr>
          <w:bCs/>
          <w:b/>
        </w:rPr>
        <w:t xml:space="preserve">Aneksi 2</w:t>
      </w:r>
      <w:r>
        <w:t xml:space="preserve">.</w:t>
      </w:r>
    </w:p>
    <w:bookmarkEnd w:id="58"/>
    <w:bookmarkStart w:id="59" w:name="X82be33134f718cd6242902dd6b01a50ccf3c676"/>
    <w:p>
      <w:pPr>
        <w:pStyle w:val="Heading2"/>
      </w:pPr>
      <w:r>
        <w:t xml:space="preserve">Neni 28 — Ndryshimi i Kontratës dhe i Kushteve</w:t>
      </w:r>
    </w:p>
    <w:p>
      <w:pPr>
        <w:pStyle w:val="FirstParagraph"/>
      </w:pPr>
      <w:r>
        <w:rPr>
          <w:bCs/>
          <w:b/>
        </w:rPr>
        <w:t xml:space="preserve">28.1</w:t>
      </w:r>
      <w:r>
        <w:t xml:space="preserve"> </w:t>
      </w:r>
      <w:r>
        <w:t xml:space="preserve">Ndryshimet e kësaj Kontrate bëhen me</w:t>
      </w:r>
      <w:r>
        <w:t xml:space="preserve"> </w:t>
      </w:r>
      <w:r>
        <w:rPr>
          <w:bCs/>
          <w:b/>
        </w:rPr>
        <w:t xml:space="preserve">shkrim</w:t>
      </w:r>
      <w:r>
        <w:t xml:space="preserve"> </w:t>
      </w:r>
      <w:r>
        <w:t xml:space="preserve">dhe nënshkruhen nga të dyja Palët, përfshirë formën elektronike sipas Nenit 3.</w:t>
      </w:r>
    </w:p>
    <w:p>
      <w:pPr>
        <w:pStyle w:val="BodyText"/>
      </w:pPr>
      <w:r>
        <w:rPr>
          <w:bCs/>
          <w:b/>
        </w:rPr>
        <w:t xml:space="preserve">28.2</w:t>
      </w:r>
      <w:r>
        <w:t xml:space="preserve"> </w:t>
      </w:r>
      <w:r>
        <w:t xml:space="preserve">Ofruesi ka të drejtë të ndryshojë njëanshëm kushtet e përgjithshme dhe</w:t>
      </w:r>
      <w:r>
        <w:t xml:space="preserve"> </w:t>
      </w:r>
      <w:r>
        <w:rPr>
          <w:bCs/>
          <w:b/>
        </w:rPr>
        <w:t xml:space="preserve">Aneksat 3, 4 dhe 5</w:t>
      </w:r>
      <w:r>
        <w:t xml:space="preserve"> </w:t>
      </w:r>
      <w:r>
        <w:t xml:space="preserve">kur kjo është e nevojshme për shkak të ndryshimeve legjislative, kërkesave të sigurisë ose evolucionit teknik, me njoftim paraprak prej</w:t>
      </w:r>
      <w:r>
        <w:t xml:space="preserve"> </w:t>
      </w:r>
      <w:r>
        <w:rPr>
          <w:bCs/>
          <w:b/>
        </w:rPr>
        <w:t xml:space="preserve">tridhjetë (30) ditësh</w:t>
      </w:r>
      <w:r>
        <w:t xml:space="preserve">.</w:t>
      </w:r>
      <w:r>
        <w:t xml:space="preserve"> </w:t>
      </w:r>
      <w:r>
        <w:rPr>
          <w:bCs/>
          <w:b/>
        </w:rPr>
        <w:t xml:space="preserve">Aneksi 2 (Përpunimi i të Dhënave) ndryshohet vetëm me marrëveshje me shkrim të të dyja Palëve</w:t>
      </w:r>
      <w:r>
        <w:t xml:space="preserve"> </w:t>
      </w:r>
      <w:r>
        <w:t xml:space="preserve">sipas paragrafit 28.1.</w:t>
      </w:r>
    </w:p>
    <w:p>
      <w:pPr>
        <w:pStyle w:val="BodyText"/>
      </w:pPr>
      <w:r>
        <w:rPr>
          <w:bCs/>
          <w:b/>
        </w:rPr>
        <w:t xml:space="preserve">28.3</w:t>
      </w:r>
      <w:r>
        <w:t xml:space="preserve"> </w:t>
      </w:r>
      <w:r>
        <w:t xml:space="preserve">Nëse ndryshimi njëanshëm</w:t>
      </w:r>
      <w:r>
        <w:t xml:space="preserve"> </w:t>
      </w:r>
      <w:r>
        <w:rPr>
          <w:bCs/>
          <w:b/>
        </w:rPr>
        <w:t xml:space="preserve">ul ndjeshëm</w:t>
      </w:r>
      <w:r>
        <w:t xml:space="preserve"> </w:t>
      </w:r>
      <w:r>
        <w:t xml:space="preserve">të drejtat e Klientit ose funksionalitetin thelbësor, Klienti ka të drejtë të zgjidhë Kontratën brenda tridhjetë (30) ditëve nga njoftimi, me rimbursim proporcional sipas Nenit 13.4(c).</w:t>
      </w:r>
    </w:p>
    <w:p>
      <w:pPr>
        <w:pStyle w:val="BodyText"/>
      </w:pPr>
      <w:r>
        <w:rPr>
          <w:bCs/>
          <w:b/>
        </w:rPr>
        <w:t xml:space="preserve">28.4</w:t>
      </w:r>
      <w:r>
        <w:t xml:space="preserve"> </w:t>
      </w:r>
      <w:r>
        <w:t xml:space="preserve">Palët konstatojnë se kushtet e përgjithshme detyrojnë në pajtim me</w:t>
      </w:r>
      <w:r>
        <w:t xml:space="preserve"> </w:t>
      </w:r>
      <w:r>
        <w:rPr>
          <w:bCs/>
          <w:b/>
        </w:rPr>
        <w:t xml:space="preserve">nenin 124 të Ligjit Nr. 04/L-077</w:t>
      </w:r>
      <w:r>
        <w:t xml:space="preserve">, dhe se janë të pavlefshme dispozitat e kushteve të përgjithshme që bien ndesh me qëllimin e kontratës ose me zakonet e mira afariste, në pajtim me</w:t>
      </w:r>
      <w:r>
        <w:t xml:space="preserve"> </w:t>
      </w:r>
      <w:r>
        <w:rPr>
          <w:bCs/>
          <w:b/>
        </w:rPr>
        <w:t xml:space="preserve">nenin 125</w:t>
      </w:r>
      <w:r>
        <w:t xml:space="preserve"> </w:t>
      </w:r>
      <w:r>
        <w:t xml:space="preserve">të po atij ligji.</w:t>
      </w:r>
    </w:p>
    <w:p>
      <w:pPr>
        <w:pStyle w:val="BodyText"/>
      </w:pPr>
      <w:r>
        <w:rPr>
          <w:bCs/>
          <w:b/>
        </w:rPr>
        <w:t xml:space="preserve">28.5</w:t>
      </w:r>
      <w:r>
        <w:t xml:space="preserve"> </w:t>
      </w:r>
      <w:r>
        <w:t xml:space="preserve">Në rast kolizioni ndërmjet kushteve të përgjithshme të Palëve, zbatohet</w:t>
      </w:r>
      <w:r>
        <w:t xml:space="preserve"> </w:t>
      </w:r>
      <w:r>
        <w:rPr>
          <w:bCs/>
          <w:b/>
        </w:rPr>
        <w:t xml:space="preserve">neni 126 i Ligjit Nr. 04/L-077</w:t>
      </w:r>
      <w:r>
        <w:t xml:space="preserve">; megjithatë, Palët pajtohen shprehimisht se</w:t>
      </w:r>
      <w:r>
        <w:t xml:space="preserve"> </w:t>
      </w:r>
      <w:r>
        <w:rPr>
          <w:bCs/>
          <w:b/>
        </w:rPr>
        <w:t xml:space="preserve">kjo Kontratë dhe aneksat e saj kanë përparësi</w:t>
      </w:r>
      <w:r>
        <w:t xml:space="preserve"> </w:t>
      </w:r>
      <w:r>
        <w:t xml:space="preserve">ndaj çdo kushti të përgjithshëm blerjeje të Klientit.</w:t>
      </w:r>
    </w:p>
    <w:bookmarkEnd w:id="59"/>
    <w:bookmarkStart w:id="60" w:name="X93a6326ef32f725d38b9f8cc0bef74cab1ff38f"/>
    <w:p>
      <w:pPr>
        <w:pStyle w:val="Heading2"/>
      </w:pPr>
      <w:r>
        <w:t xml:space="preserve">Neni 29 — Bartja, Nën-përpunuesit dhe Nënkontraktimi</w:t>
      </w:r>
    </w:p>
    <w:p>
      <w:pPr>
        <w:pStyle w:val="FirstParagraph"/>
      </w:pPr>
      <w:r>
        <w:rPr>
          <w:bCs/>
          <w:b/>
        </w:rPr>
        <w:t xml:space="preserve">29.1</w:t>
      </w:r>
      <w:r>
        <w:t xml:space="preserve"> </w:t>
      </w:r>
      <w:r>
        <w:t xml:space="preserve">Klienti</w:t>
      </w:r>
      <w:r>
        <w:t xml:space="preserve"> </w:t>
      </w:r>
      <w:r>
        <w:rPr>
          <w:bCs/>
          <w:b/>
        </w:rPr>
        <w:t xml:space="preserve">nuk mund ta bartë</w:t>
      </w:r>
      <w:r>
        <w:t xml:space="preserve"> </w:t>
      </w:r>
      <w:r>
        <w:t xml:space="preserve">këtë Kontratë pa pëlqim paraprak me shkrim të Ofruesit, i cili nuk refuzohet pa arsye.</w:t>
      </w:r>
    </w:p>
    <w:p>
      <w:pPr>
        <w:pStyle w:val="BodyText"/>
      </w:pPr>
      <w:r>
        <w:rPr>
          <w:bCs/>
          <w:b/>
        </w:rPr>
        <w:t xml:space="preserve">29.2</w:t>
      </w:r>
      <w:r>
        <w:t xml:space="preserve"> </w:t>
      </w:r>
      <w:r>
        <w:t xml:space="preserve">Ofruesi mund ta bartë Kontratën te një shoqëri e lidhur ose te një pasardhës ligjor në rast bashkimi, ndarjeje apo shitjeje të veprimtarisë, me njoftim paraprak të Klientit dhe me kusht që niveli i mbrojtjes së të dhënave të mos ulet.</w:t>
      </w:r>
    </w:p>
    <w:p>
      <w:pPr>
        <w:pStyle w:val="BodyText"/>
      </w:pPr>
      <w:r>
        <w:rPr>
          <w:bCs/>
          <w:b/>
        </w:rPr>
        <w:t xml:space="preserve">29.3</w:t>
      </w:r>
      <w:r>
        <w:t xml:space="preserve"> </w:t>
      </w:r>
      <w:r>
        <w:t xml:space="preserve">Ofruesi mund të përdorë</w:t>
      </w:r>
      <w:r>
        <w:t xml:space="preserve"> </w:t>
      </w:r>
      <w:r>
        <w:rPr>
          <w:bCs/>
          <w:b/>
        </w:rPr>
        <w:t xml:space="preserve">nën-përpunues</w:t>
      </w:r>
      <w:r>
        <w:t xml:space="preserve"> </w:t>
      </w:r>
      <w:r>
        <w:t xml:space="preserve">(ofrues hostimi, kopje rezervë, e-mail transaksional, monitorim) vetëm nëse ata janë të lidhur me detyrime kontraktuale</w:t>
      </w:r>
      <w:r>
        <w:t xml:space="preserve"> </w:t>
      </w:r>
      <w:r>
        <w:rPr>
          <w:bCs/>
          <w:b/>
        </w:rPr>
        <w:t xml:space="preserve">jo më pak mbrojtëse</w:t>
      </w:r>
      <w:r>
        <w:t xml:space="preserve"> </w:t>
      </w:r>
      <w:r>
        <w:t xml:space="preserve">se ato të Aneksit 2. Lista aktuale e nën-përpunuesve gjendet në</w:t>
      </w:r>
      <w:r>
        <w:t xml:space="preserve"> </w:t>
      </w:r>
      <w:r>
        <w:rPr>
          <w:bCs/>
          <w:b/>
        </w:rPr>
        <w:t xml:space="preserve">Aneksin 4</w:t>
      </w:r>
      <w:r>
        <w:t xml:space="preserve">.</w:t>
      </w:r>
    </w:p>
    <w:p>
      <w:pPr>
        <w:pStyle w:val="BodyText"/>
      </w:pPr>
      <w:r>
        <w:rPr>
          <w:bCs/>
          <w:b/>
        </w:rPr>
        <w:t xml:space="preserve">29.4</w:t>
      </w:r>
      <w:r>
        <w:t xml:space="preserve"> </w:t>
      </w:r>
      <w:r>
        <w:t xml:space="preserve">Ofruesi njofton Klientin së paku</w:t>
      </w:r>
      <w:r>
        <w:t xml:space="preserve"> </w:t>
      </w:r>
      <w:r>
        <w:rPr>
          <w:bCs/>
          <w:b/>
        </w:rPr>
        <w:t xml:space="preserve">tridhjetë (30) ditë</w:t>
      </w:r>
      <w:r>
        <w:t xml:space="preserve"> </w:t>
      </w:r>
      <w:r>
        <w:t xml:space="preserve">para shtimit ose zëvendësimit të një nën-përpunuesi. Klienti ka të drejtë të kundërshtojë me arsye të bazuara brenda pesëmbëdhjetë (15) ditëve; nëse mospajtimi nuk zgjidhet, Klienti mund të zgjidhë Kontratën me rimbursim proporcional.</w:t>
      </w:r>
    </w:p>
    <w:p>
      <w:pPr>
        <w:pStyle w:val="BodyText"/>
      </w:pPr>
      <w:r>
        <w:rPr>
          <w:bCs/>
          <w:b/>
        </w:rPr>
        <w:t xml:space="preserve">29.5</w:t>
      </w:r>
      <w:r>
        <w:t xml:space="preserve"> </w:t>
      </w:r>
      <w:r>
        <w:t xml:space="preserve">Ofruesi mban</w:t>
      </w:r>
      <w:r>
        <w:t xml:space="preserve"> </w:t>
      </w:r>
      <w:r>
        <w:rPr>
          <w:bCs/>
          <w:b/>
        </w:rPr>
        <w:t xml:space="preserve">përgjegjësi të plotë</w:t>
      </w:r>
      <w:r>
        <w:t xml:space="preserve"> </w:t>
      </w:r>
      <w:r>
        <w:t xml:space="preserve">për veprimet dhe mosveprimet e nën-përpunuesve të tij, si për veprimet e veta.</w:t>
      </w:r>
    </w:p>
    <w:bookmarkEnd w:id="60"/>
    <w:bookmarkStart w:id="61" w:name="neni-30-njoftimet-dhe-komunikimet"/>
    <w:p>
      <w:pPr>
        <w:pStyle w:val="Heading2"/>
      </w:pPr>
      <w:r>
        <w:t xml:space="preserve">Neni 30 — Njoftimet dhe Komunikimet</w:t>
      </w:r>
    </w:p>
    <w:p>
      <w:pPr>
        <w:pStyle w:val="FirstParagraph"/>
      </w:pPr>
      <w:r>
        <w:rPr>
          <w:bCs/>
          <w:b/>
        </w:rPr>
        <w:t xml:space="preserve">30.1</w:t>
      </w:r>
      <w:r>
        <w:t xml:space="preserve"> </w:t>
      </w:r>
      <w:r>
        <w:t xml:space="preserve">Njoftimet zyrtare bëhen me shkrim dhe dërgohen në adresat e e-mailit zyrtar të specifikuara në kokën e kësaj Kontrate ose me postë rekomande në selitë e regjistruara.</w:t>
      </w:r>
    </w:p>
    <w:p>
      <w:pPr>
        <w:pStyle w:val="BodyText"/>
      </w:pPr>
      <w:r>
        <w:rPr>
          <w:bCs/>
          <w:b/>
        </w:rPr>
        <w:t xml:space="preserve">30.2</w:t>
      </w:r>
      <w:r>
        <w:t xml:space="preserve"> </w:t>
      </w:r>
      <w:r>
        <w:t xml:space="preserve">Njoftimi me e-mail konsiderohet i pranuar</w:t>
      </w:r>
      <w:r>
        <w:t xml:space="preserve"> </w:t>
      </w:r>
      <w:r>
        <w:rPr>
          <w:bCs/>
          <w:b/>
        </w:rPr>
        <w:t xml:space="preserve">një (1) ditë pune</w:t>
      </w:r>
      <w:r>
        <w:t xml:space="preserve"> </w:t>
      </w:r>
      <w:r>
        <w:t xml:space="preserve">pas dërgimit, nëse dërguesi nuk ka marrë mesazh dështimi. Njoftimi me postë rekomande konsiderohet i pranuar</w:t>
      </w:r>
      <w:r>
        <w:t xml:space="preserve"> </w:t>
      </w:r>
      <w:r>
        <w:rPr>
          <w:bCs/>
          <w:b/>
        </w:rPr>
        <w:t xml:space="preserve">pesë (5) ditë pune</w:t>
      </w:r>
      <w:r>
        <w:t xml:space="preserve"> </w:t>
      </w:r>
      <w:r>
        <w:t xml:space="preserve">pas dërgimit.</w:t>
      </w:r>
    </w:p>
    <w:p>
      <w:pPr>
        <w:pStyle w:val="BodyText"/>
      </w:pPr>
      <w:r>
        <w:rPr>
          <w:bCs/>
          <w:b/>
        </w:rPr>
        <w:t xml:space="preserve">30.3</w:t>
      </w:r>
      <w:r>
        <w:t xml:space="preserve"> </w:t>
      </w:r>
      <w:r>
        <w:t xml:space="preserve">Njoftimet operative rutinë (mirëmbajtje, përditësime, mbështetje) mund të bëhen edhe përmes njoftimeve brenda Shërbimit.</w:t>
      </w:r>
    </w:p>
    <w:p>
      <w:pPr>
        <w:pStyle w:val="BodyText"/>
      </w:pPr>
      <w:r>
        <w:rPr>
          <w:bCs/>
          <w:b/>
        </w:rPr>
        <w:t xml:space="preserve">30.4</w:t>
      </w:r>
      <w:r>
        <w:t xml:space="preserve"> </w:t>
      </w:r>
      <w:r>
        <w:t xml:space="preserve">Secila Palë njofton menjëherë ndryshimin e të dhënave të kontaktit. Deri në njoftim, komunikimet në të dhënat e vjetra konsiderohen të vlefshme.</w:t>
      </w:r>
    </w:p>
    <w:bookmarkEnd w:id="61"/>
    <w:bookmarkStart w:id="62" w:name="X231fd9c548e382645a27928e4c20cb7e2dae2d9"/>
    <w:p>
      <w:pPr>
        <w:pStyle w:val="Heading2"/>
      </w:pPr>
      <w:r>
        <w:t xml:space="preserve">Neni 31 — Ligji i Zbatueshëm dhe Zgjidhja e Kontesteve</w:t>
      </w:r>
    </w:p>
    <w:p>
      <w:pPr>
        <w:pStyle w:val="FirstParagraph"/>
      </w:pPr>
      <w:r>
        <w:rPr>
          <w:bCs/>
          <w:b/>
        </w:rPr>
        <w:t xml:space="preserve">31.1</w:t>
      </w:r>
      <w:r>
        <w:t xml:space="preserve"> </w:t>
      </w:r>
      <w:r>
        <w:t xml:space="preserve">Kjo Kontratë rregullohet dhe interpretohet ekskluzivisht sipas</w:t>
      </w:r>
      <w:r>
        <w:t xml:space="preserve"> </w:t>
      </w:r>
      <w:r>
        <w:rPr>
          <w:bCs/>
          <w:b/>
        </w:rPr>
        <w:t xml:space="preserve">legjislacionit të Republikës së Kosovës</w:t>
      </w:r>
      <w:r>
        <w:t xml:space="preserve">, pa zbatimin e rregullave të konfliktit të ligjeve.</w:t>
      </w:r>
    </w:p>
    <w:p>
      <w:pPr>
        <w:pStyle w:val="BodyText"/>
      </w:pPr>
      <w:r>
        <w:rPr>
          <w:bCs/>
          <w:b/>
        </w:rPr>
        <w:t xml:space="preserve">31.2</w:t>
      </w:r>
      <w:r>
        <w:t xml:space="preserve"> </w:t>
      </w:r>
      <w:r>
        <w:t xml:space="preserve">Palët detyrohen të përpiqen së pari ta zgjidhin çdo kontest me</w:t>
      </w:r>
      <w:r>
        <w:t xml:space="preserve"> </w:t>
      </w:r>
      <w:r>
        <w:rPr>
          <w:bCs/>
          <w:b/>
        </w:rPr>
        <w:t xml:space="preserve">negociata të mirëbesimit</w:t>
      </w:r>
      <w:r>
        <w:t xml:space="preserve">, brenda</w:t>
      </w:r>
      <w:r>
        <w:t xml:space="preserve"> </w:t>
      </w:r>
      <w:r>
        <w:rPr>
          <w:bCs/>
          <w:b/>
        </w:rPr>
        <w:t xml:space="preserve">tridhjetë (30) ditëve</w:t>
      </w:r>
      <w:r>
        <w:t xml:space="preserve"> </w:t>
      </w:r>
      <w:r>
        <w:t xml:space="preserve">nga njoftimi me shkrim i kontestit.</w:t>
      </w:r>
    </w:p>
    <w:p>
      <w:pPr>
        <w:pStyle w:val="BodyText"/>
      </w:pPr>
      <w:r>
        <w:rPr>
          <w:bCs/>
          <w:b/>
        </w:rPr>
        <w:t xml:space="preserve">31.3</w:t>
      </w:r>
      <w:r>
        <w:t xml:space="preserve"> </w:t>
      </w:r>
      <w:r>
        <w:t xml:space="preserve">Nëse negociatat dështojnë, kontesti mund t’i nënshtrohet</w:t>
      </w:r>
      <w:r>
        <w:t xml:space="preserve"> </w:t>
      </w:r>
      <w:r>
        <w:rPr>
          <w:bCs/>
          <w:b/>
        </w:rPr>
        <w:t xml:space="preserve">ndërmjetësimit</w:t>
      </w:r>
      <w:r>
        <w:t xml:space="preserve"> </w:t>
      </w:r>
      <w:r>
        <w:t xml:space="preserve">vullnetar sipas legjislacionit në fuqi për ndërmjetësimin.</w:t>
      </w:r>
    </w:p>
    <w:p>
      <w:pPr>
        <w:pStyle w:val="BodyText"/>
      </w:pPr>
      <w:r>
        <w:rPr>
          <w:bCs/>
          <w:b/>
        </w:rPr>
        <w:t xml:space="preserve">31.4</w:t>
      </w:r>
      <w:r>
        <w:t xml:space="preserve"> </w:t>
      </w:r>
      <w:r>
        <w:t xml:space="preserve">Në mungesë të zgjidhjes, kontesti i nënshtrohet juridiksionit</w:t>
      </w:r>
      <w:r>
        <w:t xml:space="preserve"> </w:t>
      </w:r>
      <w:r>
        <w:rPr>
          <w:bCs/>
          <w:b/>
        </w:rPr>
        <w:t xml:space="preserve">ekskluziv</w:t>
      </w:r>
      <w:r>
        <w:t xml:space="preserve"> </w:t>
      </w:r>
      <w:r>
        <w:t xml:space="preserve">të</w:t>
      </w:r>
      <w:r>
        <w:t xml:space="preserve"> </w:t>
      </w:r>
      <w:r>
        <w:rPr>
          <w:bCs/>
          <w:b/>
        </w:rPr>
        <w:t xml:space="preserve">Gjykatës Komerciale të Republikës së Kosovës, me seli në Prishtinë</w:t>
      </w:r>
      <w:r>
        <w:t xml:space="preserve">, kompetente për kontestet ndërmjet organizatave afariste sipas</w:t>
      </w:r>
      <w:r>
        <w:t xml:space="preserve"> </w:t>
      </w:r>
      <w:r>
        <w:rPr>
          <w:bCs/>
          <w:b/>
        </w:rPr>
        <w:t xml:space="preserve">Ligjit Nr. 08/L-015 për Gjykatën Komerciale</w:t>
      </w:r>
      <w:r>
        <w:t xml:space="preserve">.</w:t>
      </w:r>
    </w:p>
    <w:p>
      <w:pPr>
        <w:pStyle w:val="BodyText"/>
      </w:pPr>
      <w:r>
        <w:rPr>
          <w:bCs/>
          <w:b/>
        </w:rPr>
        <w:t xml:space="preserve">31.5 Alternativë — arbitrazhi (opsionale).</w:t>
      </w:r>
      <w:r>
        <w:t xml:space="preserve"> </w:t>
      </w:r>
      <w:r>
        <w:t xml:space="preserve">Palët mund të pajtohen shprehimisht, duke shënuar këtu, që kontestet të zgjidhen përfundimisht me</w:t>
      </w:r>
      <w:r>
        <w:t xml:space="preserve"> </w:t>
      </w:r>
      <w:r>
        <w:rPr>
          <w:bCs/>
          <w:b/>
        </w:rPr>
        <w:t xml:space="preserve">arbitrazh</w:t>
      </w:r>
      <w:r>
        <w:t xml:space="preserve"> </w:t>
      </w:r>
      <w:r>
        <w:t xml:space="preserve">sipas</w:t>
      </w:r>
      <w:r>
        <w:t xml:space="preserve"> </w:t>
      </w:r>
      <w:r>
        <w:rPr>
          <w:bCs/>
          <w:b/>
        </w:rPr>
        <w:t xml:space="preserve">Ligjit Nr. 02/L-75 për Arbitrazhin</w:t>
      </w:r>
      <w:r>
        <w:t xml:space="preserve">, pranë Tribunalit të Përhershëm të Arbitrazhit të Odës Ekonomike të Kosovës, me një (1) arbitër të vetëm, në gjuhën shqipe, me seli në Prishtinë:</w:t>
      </w:r>
    </w:p>
    <w:p>
      <w:pPr>
        <w:pStyle w:val="BodyText"/>
      </w:pPr>
      <w:r>
        <w:t xml:space="preserve">☐ Palët zgjedhin arbitrazhin ☐ Palët zgjedhin juridiksionin gjyqësor sipas 31.4</w:t>
      </w:r>
    </w:p>
    <w:p>
      <w:pPr>
        <w:pStyle w:val="BodyText"/>
      </w:pPr>
      <w:r>
        <w:rPr>
          <w:bCs/>
          <w:b/>
        </w:rPr>
        <w:t xml:space="preserve">31.6</w:t>
      </w:r>
      <w:r>
        <w:t xml:space="preserve"> </w:t>
      </w:r>
      <w:r>
        <w:t xml:space="preserve">Pavarësisht nga sa më sipër, secila Palë ruan të drejtën të kërkojë</w:t>
      </w:r>
      <w:r>
        <w:t xml:space="preserve"> </w:t>
      </w:r>
      <w:r>
        <w:rPr>
          <w:bCs/>
          <w:b/>
        </w:rPr>
        <w:t xml:space="preserve">masa të përkohshme sigurie</w:t>
      </w:r>
      <w:r>
        <w:t xml:space="preserve"> </w:t>
      </w:r>
      <w:r>
        <w:t xml:space="preserve">para çdo gjykate kompetente për mbrojtjen e të drejtave të pronësisë intelektuale ose të konfidencialitetit.</w:t>
      </w:r>
    </w:p>
    <w:bookmarkEnd w:id="62"/>
    <w:bookmarkStart w:id="63" w:name="neni-32-dispozita-përfundimtare"/>
    <w:p>
      <w:pPr>
        <w:pStyle w:val="Heading2"/>
      </w:pPr>
      <w:r>
        <w:t xml:space="preserve">Neni 32 — Dispozita Përfundimtare</w:t>
      </w:r>
    </w:p>
    <w:p>
      <w:pPr>
        <w:pStyle w:val="FirstParagraph"/>
      </w:pPr>
      <w:r>
        <w:rPr>
          <w:bCs/>
          <w:b/>
        </w:rPr>
        <w:t xml:space="preserve">32.1 Tërësia e marrëveshjes.</w:t>
      </w:r>
      <w:r>
        <w:t xml:space="preserve"> </w:t>
      </w:r>
      <w:r>
        <w:t xml:space="preserve">Kjo Kontratë, së bashku me Aneksat 1–5, përbën</w:t>
      </w:r>
      <w:r>
        <w:t xml:space="preserve"> </w:t>
      </w:r>
      <w:r>
        <w:rPr>
          <w:bCs/>
          <w:b/>
        </w:rPr>
        <w:t xml:space="preserve">marrëveshjen e plotë</w:t>
      </w:r>
      <w:r>
        <w:t xml:space="preserve"> </w:t>
      </w:r>
      <w:r>
        <w:t xml:space="preserve">ndërmjet Palëve dhe zëvendëson çdo marrëveshje, premtim apo deklaratë paraprake, verbale apo me shkrim, në lidhje me objektin e saj.</w:t>
      </w:r>
    </w:p>
    <w:p>
      <w:pPr>
        <w:pStyle w:val="BodyText"/>
      </w:pPr>
      <w:r>
        <w:rPr>
          <w:bCs/>
          <w:b/>
        </w:rPr>
        <w:t xml:space="preserve">32.2 Renditja e përparësisë.</w:t>
      </w:r>
      <w:r>
        <w:t xml:space="preserve"> </w:t>
      </w:r>
      <w:r>
        <w:t xml:space="preserve">Në rast mospërputhjeje, zbatohet ky rend: (1) Aneksi 2 (Përpunimi i të Dhënave); (2) teksti kryesor i Kontratës; (3) Aneksi 1; (4) Aneksat 3, 4 dhe 5; (5) dokumentacioni teknik.</w:t>
      </w:r>
    </w:p>
    <w:p>
      <w:pPr>
        <w:pStyle w:val="BodyText"/>
      </w:pPr>
      <w:r>
        <w:rPr>
          <w:bCs/>
          <w:b/>
        </w:rPr>
        <w:t xml:space="preserve">32.3 Pavlefshmëria e pjesshme.</w:t>
      </w:r>
      <w:r>
        <w:t xml:space="preserve"> </w:t>
      </w:r>
      <w:r>
        <w:t xml:space="preserve">Nëse ndonjë dispozitë shpallet e pavlefshme ose e pazbatueshme, kjo</w:t>
      </w:r>
      <w:r>
        <w:t xml:space="preserve"> </w:t>
      </w:r>
      <w:r>
        <w:rPr>
          <w:bCs/>
          <w:b/>
        </w:rPr>
        <w:t xml:space="preserve">nuk prek vlefshmërinë</w:t>
      </w:r>
      <w:r>
        <w:t xml:space="preserve"> </w:t>
      </w:r>
      <w:r>
        <w:t xml:space="preserve">e dispozitave të tjera. Palët detyrohen ta zëvendësojnë dispozitën e pavlefshme me një dispozitë të vlefshme që i afrohet sa më shumë qëllimit ekonomik fillestar.</w:t>
      </w:r>
    </w:p>
    <w:p>
      <w:pPr>
        <w:pStyle w:val="BodyText"/>
      </w:pPr>
      <w:r>
        <w:rPr>
          <w:bCs/>
          <w:b/>
        </w:rPr>
        <w:t xml:space="preserve">32.4 Heqja dorë.</w:t>
      </w:r>
      <w:r>
        <w:t xml:space="preserve"> </w:t>
      </w:r>
      <w:r>
        <w:t xml:space="preserve">Mosushtrimi ose vonesa në ushtrimin e një të drejte</w:t>
      </w:r>
      <w:r>
        <w:t xml:space="preserve"> </w:t>
      </w:r>
      <w:r>
        <w:rPr>
          <w:bCs/>
          <w:b/>
        </w:rPr>
        <w:t xml:space="preserve">nuk përbën heqje dorë</w:t>
      </w:r>
      <w:r>
        <w:t xml:space="preserve"> </w:t>
      </w:r>
      <w:r>
        <w:t xml:space="preserve">prej saj. Heqja dorë është e vlefshme vetëm kur bëhet me shkrim.</w:t>
      </w:r>
    </w:p>
    <w:p>
      <w:pPr>
        <w:pStyle w:val="BodyText"/>
      </w:pPr>
      <w:r>
        <w:rPr>
          <w:bCs/>
          <w:b/>
        </w:rPr>
        <w:t xml:space="preserve">32.5 Marrëdhënia e Palëve.</w:t>
      </w:r>
      <w:r>
        <w:t xml:space="preserve"> </w:t>
      </w:r>
      <w:r>
        <w:t xml:space="preserve">Kjo Kontratë nuk krijon partneritet, ndërmarrje të përbashkët, agjenci apo marrëdhënie pune ndërmjet Palëve. Secila Palë vepron në emër dhe për llogari të vet.</w:t>
      </w:r>
    </w:p>
    <w:p>
      <w:pPr>
        <w:pStyle w:val="BodyText"/>
      </w:pPr>
      <w:r>
        <w:rPr>
          <w:bCs/>
          <w:b/>
        </w:rPr>
        <w:t xml:space="preserve">32.6 Gjuha.</w:t>
      </w:r>
      <w:r>
        <w:t xml:space="preserve"> </w:t>
      </w:r>
      <w:r>
        <w:t xml:space="preserve">Kjo Kontratë hartohet dhe nënshkruhet në</w:t>
      </w:r>
      <w:r>
        <w:t xml:space="preserve"> </w:t>
      </w:r>
      <w:r>
        <w:rPr>
          <w:bCs/>
          <w:b/>
        </w:rPr>
        <w:t xml:space="preserve">gjuhën shqipe</w:t>
      </w:r>
      <w:r>
        <w:t xml:space="preserve">. Në rast se përgatitet përkthim në gjuhë tjetër,</w:t>
      </w:r>
      <w:r>
        <w:t xml:space="preserve"> </w:t>
      </w:r>
      <w:r>
        <w:rPr>
          <w:bCs/>
          <w:b/>
        </w:rPr>
        <w:t xml:space="preserve">teksti shqip mbizotëron</w:t>
      </w:r>
      <w:r>
        <w:t xml:space="preserve"> </w:t>
      </w:r>
      <w:r>
        <w:t xml:space="preserve">në rast mospërputhjeje.</w:t>
      </w:r>
    </w:p>
    <w:p>
      <w:pPr>
        <w:pStyle w:val="BodyText"/>
      </w:pPr>
      <w:r>
        <w:rPr>
          <w:bCs/>
          <w:b/>
        </w:rPr>
        <w:t xml:space="preserve">32.7 Kopjet.</w:t>
      </w:r>
      <w:r>
        <w:t xml:space="preserve"> </w:t>
      </w:r>
      <w:r>
        <w:t xml:space="preserve">Kontrata nënshkruhet në</w:t>
      </w:r>
      <w:r>
        <w:t xml:space="preserve"> </w:t>
      </w:r>
      <w:r>
        <w:rPr>
          <w:bCs/>
          <w:b/>
        </w:rPr>
        <w:t xml:space="preserve">dy (2) kopje origjinale</w:t>
      </w:r>
      <w:r>
        <w:t xml:space="preserve">, nga një për secilën Palë, ose nënshkruhet elektronikisht, ku secila Palë ruan një kopje elektronike me vlerë të njëjtë provuese.</w:t>
      </w:r>
    </w:p>
    <w:p>
      <w:pPr>
        <w:pStyle w:val="BodyText"/>
      </w:pPr>
      <w:r>
        <w:rPr>
          <w:bCs/>
          <w:b/>
        </w:rPr>
        <w:t xml:space="preserve">32.8 Titujt.</w:t>
      </w:r>
      <w:r>
        <w:t xml:space="preserve"> </w:t>
      </w:r>
      <w:r>
        <w:t xml:space="preserve">Titujt e neneve shërbejnë vetëm për orientim dhe nuk ndikojnë në interpretimin e dispozitave.</w:t>
      </w:r>
    </w:p>
    <w:p>
      <w:pPr>
        <w:pStyle w:val="BodyText"/>
      </w:pPr>
      <w:r>
        <w:rPr>
          <w:bCs/>
          <w:b/>
        </w:rPr>
        <w:t xml:space="preserve">32.9 Deklarata e Palëve.</w:t>
      </w:r>
      <w:r>
        <w:t xml:space="preserve"> </w:t>
      </w:r>
      <w:r>
        <w:t xml:space="preserve">Palët deklarojnë se e kanë lexuar Kontratën në tërësi, i kanë kuptuar plotësisht dispozitat e saj — veçanërisht</w:t>
      </w:r>
      <w:r>
        <w:t xml:space="preserve"> </w:t>
      </w:r>
      <w:r>
        <w:rPr>
          <w:bCs/>
          <w:b/>
        </w:rPr>
        <w:t xml:space="preserve">Nenin 9 (kufizimi tatimor)</w:t>
      </w:r>
      <w:r>
        <w:t xml:space="preserve">,</w:t>
      </w:r>
      <w:r>
        <w:t xml:space="preserve"> </w:t>
      </w:r>
      <w:r>
        <w:rPr>
          <w:bCs/>
          <w:b/>
        </w:rPr>
        <w:t xml:space="preserve">Nenin 15 (mos-qasja)</w:t>
      </w:r>
      <w:r>
        <w:t xml:space="preserve"> </w:t>
      </w:r>
      <w:r>
        <w:t xml:space="preserve">dhe</w:t>
      </w:r>
      <w:r>
        <w:t xml:space="preserve"> </w:t>
      </w:r>
      <w:r>
        <w:rPr>
          <w:bCs/>
          <w:b/>
        </w:rPr>
        <w:t xml:space="preserve">Nenin 23 (kufizimi i përgjegjësisë)</w:t>
      </w:r>
      <w:r>
        <w:t xml:space="preserve"> </w:t>
      </w:r>
      <w:r>
        <w:t xml:space="preserve">— dhe e nënshkruajnë atë lirshëm, pa kanosje, mashtrim apo lajthim.</w:t>
      </w:r>
    </w:p>
    <w:p>
      <w:r>
        <w:pict>
          <v:rect style="width:0;height:1.5pt" o:hralign="center" o:hrstd="t" o:hr="t"/>
        </w:pict>
      </w:r>
    </w:p>
    <w:p>
      <w:r>
        <w:br w:type="page"/>
      </w:r>
    </w:p>
    <w:bookmarkEnd w:id="63"/>
    <w:bookmarkStart w:id="64" w:name="nënshkrimet-e-palëve"/>
    <w:p>
      <w:pPr>
        <w:pStyle w:val="Heading2"/>
      </w:pPr>
      <w:r>
        <w:t xml:space="preserve">NËNSHKRIMET E PALËVE</w:t>
      </w:r>
    </w:p>
    <w:p>
      <w:pPr>
        <w:pStyle w:val="FirstParagraph"/>
      </w:pPr>
      <w:r>
        <w:t xml:space="preserve">Në dëshmi të sa më sipër, Palët e nënshkruan këtë Kontratë në datën dhe vendin e shënuar në fillim të saj.</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PËR OFRUESIN — PAGA PRO</w:t>
            </w:r>
          </w:p>
        </w:tc>
        <w:tc>
          <w:tcPr/>
          <w:p>
            <w:pPr>
              <w:pStyle w:val="Compact"/>
              <w:jc w:val="left"/>
            </w:pPr>
            <w:r>
              <w:rPr>
                <w:bCs/>
                <w:b/>
              </w:rPr>
              <w:t xml:space="preserve">PËR KLIENTIN</w:t>
            </w:r>
          </w:p>
        </w:tc>
      </w:tr>
      <w:tr>
        <w:tc>
          <w:tcPr/>
          <w:p>
            <w:pPr>
              <w:pStyle w:val="Compact"/>
            </w:pPr>
          </w:p>
        </w:tc>
        <w:tc>
          <w:tcPr/>
          <w:p>
            <w:pPr>
              <w:pStyle w:val="Compact"/>
            </w:pPr>
          </w:p>
        </w:tc>
      </w:tr>
      <w:tr>
        <w:tc>
          <w:tcPr/>
          <w:p>
            <w:pPr>
              <w:pStyle w:val="Compact"/>
              <w:jc w:val="left"/>
            </w:pPr>
            <w:r>
              <w:t xml:space="preserve">Emri dhe mbiemri:</w:t>
            </w:r>
          </w:p>
        </w:tc>
        <w:tc>
          <w:tcPr/>
          <w:p>
            <w:pPr>
              <w:pStyle w:val="Compact"/>
              <w:jc w:val="left"/>
            </w:pPr>
            <w:r>
              <w:t xml:space="preserve">Emri dhe mbiemri:</w:t>
            </w:r>
          </w:p>
        </w:tc>
      </w:tr>
      <w:tr>
        <w:tc>
          <w:tcPr/>
          <w:p>
            <w:pPr>
              <w:pStyle w:val="Compact"/>
              <w:jc w:val="left"/>
            </w:pPr>
            <w:r>
              <w:t xml:space="preserve">________________________</w:t>
            </w:r>
          </w:p>
        </w:tc>
        <w:tc>
          <w:tcPr/>
          <w:p>
            <w:pPr>
              <w:pStyle w:val="Compact"/>
              <w:jc w:val="left"/>
            </w:pPr>
            <w:r>
              <w:t xml:space="preserve">________________________</w:t>
            </w:r>
          </w:p>
        </w:tc>
      </w:tr>
      <w:tr>
        <w:tc>
          <w:tcPr/>
          <w:p>
            <w:pPr>
              <w:pStyle w:val="Compact"/>
            </w:pPr>
          </w:p>
        </w:tc>
        <w:tc>
          <w:tcPr/>
          <w:p>
            <w:pPr>
              <w:pStyle w:val="Compact"/>
            </w:pPr>
          </w:p>
        </w:tc>
      </w:tr>
      <w:tr>
        <w:tc>
          <w:tcPr/>
          <w:p>
            <w:pPr>
              <w:pStyle w:val="Compact"/>
              <w:jc w:val="left"/>
            </w:pPr>
            <w:r>
              <w:t xml:space="preserve">Funksioni:</w:t>
            </w:r>
          </w:p>
        </w:tc>
        <w:tc>
          <w:tcPr/>
          <w:p>
            <w:pPr>
              <w:pStyle w:val="Compact"/>
              <w:jc w:val="left"/>
            </w:pPr>
            <w:r>
              <w:t xml:space="preserve">Funksioni:</w:t>
            </w:r>
          </w:p>
        </w:tc>
      </w:tr>
      <w:tr>
        <w:tc>
          <w:tcPr/>
          <w:p>
            <w:pPr>
              <w:pStyle w:val="Compact"/>
              <w:jc w:val="left"/>
            </w:pPr>
            <w:r>
              <w:t xml:space="preserve">________________________</w:t>
            </w:r>
          </w:p>
        </w:tc>
        <w:tc>
          <w:tcPr/>
          <w:p>
            <w:pPr>
              <w:pStyle w:val="Compact"/>
              <w:jc w:val="left"/>
            </w:pPr>
            <w:r>
              <w:t xml:space="preserve">________________________</w:t>
            </w:r>
          </w:p>
        </w:tc>
      </w:tr>
      <w:tr>
        <w:tc>
          <w:tcPr/>
          <w:p>
            <w:pPr>
              <w:pStyle w:val="Compact"/>
            </w:pPr>
          </w:p>
        </w:tc>
        <w:tc>
          <w:tcPr/>
          <w:p>
            <w:pPr>
              <w:pStyle w:val="Compact"/>
            </w:pPr>
          </w:p>
        </w:tc>
      </w:tr>
      <w:tr>
        <w:tc>
          <w:tcPr/>
          <w:p>
            <w:pPr>
              <w:pStyle w:val="Compact"/>
              <w:jc w:val="left"/>
            </w:pPr>
            <w:r>
              <w:t xml:space="preserve">Nënshkrimi dhe vula:</w:t>
            </w:r>
          </w:p>
        </w:tc>
        <w:tc>
          <w:tcPr/>
          <w:p>
            <w:pPr>
              <w:pStyle w:val="Compact"/>
              <w:jc w:val="left"/>
            </w:pPr>
            <w:r>
              <w:t xml:space="preserve">Nënshkrimi dhe vula:</w:t>
            </w:r>
          </w:p>
        </w:tc>
      </w:tr>
      <w:tr>
        <w:tc>
          <w:tcPr/>
          <w:p>
            <w:pPr>
              <w:pStyle w:val="Compact"/>
            </w:pPr>
          </w:p>
        </w:tc>
        <w:tc>
          <w:tcPr/>
          <w:p>
            <w:pPr>
              <w:pStyle w:val="Compact"/>
            </w:pPr>
          </w:p>
        </w:tc>
      </w:tr>
      <w:tr>
        <w:tc>
          <w:tcPr/>
          <w:p>
            <w:pPr>
              <w:pStyle w:val="Compact"/>
              <w:jc w:val="left"/>
            </w:pPr>
            <w:r>
              <w:t xml:space="preserve">________________________</w:t>
            </w:r>
          </w:p>
        </w:tc>
        <w:tc>
          <w:tcPr/>
          <w:p>
            <w:pPr>
              <w:pStyle w:val="Compact"/>
              <w:jc w:val="left"/>
            </w:pPr>
            <w:r>
              <w:t xml:space="preserve">________________________</w:t>
            </w:r>
          </w:p>
        </w:tc>
      </w:tr>
      <w:tr>
        <w:tc>
          <w:tcPr/>
          <w:p>
            <w:pPr>
              <w:pStyle w:val="Compact"/>
            </w:pPr>
          </w:p>
        </w:tc>
        <w:tc>
          <w:tcPr/>
          <w:p>
            <w:pPr>
              <w:pStyle w:val="Compact"/>
            </w:pPr>
          </w:p>
        </w:tc>
      </w:tr>
      <w:tr>
        <w:tc>
          <w:tcPr/>
          <w:p>
            <w:pPr>
              <w:pStyle w:val="Compact"/>
              <w:jc w:val="left"/>
            </w:pPr>
            <w:r>
              <w:t xml:space="preserve">Data: ___ / ___ / 20___</w:t>
            </w:r>
          </w:p>
        </w:tc>
        <w:tc>
          <w:tcPr/>
          <w:p>
            <w:pPr>
              <w:pStyle w:val="Compact"/>
              <w:jc w:val="left"/>
            </w:pPr>
            <w:r>
              <w:t xml:space="preserve">Data: ___ / ___ / 20___</w:t>
            </w:r>
          </w:p>
        </w:tc>
      </w:tr>
    </w:tbl>
    <w:p>
      <w:r>
        <w:br w:type="page"/>
      </w:r>
    </w:p>
    <w:bookmarkEnd w:id="64"/>
    <w:bookmarkEnd w:id="65"/>
    <w:bookmarkStart w:id="69" w:name="X2797340899dd52b4cc2e3742f8a3fe19d3acd8c"/>
    <w:p>
      <w:pPr>
        <w:pStyle w:val="Heading1"/>
      </w:pPr>
      <w:r>
        <w:t xml:space="preserve">ANEKSI 1 — PËRSHKRIMI I SHËRBIMIT DHE KUSHTET E ABONIMIT</w:t>
      </w:r>
    </w:p>
    <w:bookmarkStart w:id="66" w:name="modulet-e-shërbimit"/>
    <w:p>
      <w:pPr>
        <w:pStyle w:val="Heading2"/>
      </w:pPr>
      <w:r>
        <w:t xml:space="preserve">1. Modulet e Shërbimit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Moduli</w:t>
            </w:r>
          </w:p>
        </w:tc>
        <w:tc>
          <w:tcPr/>
          <w:p>
            <w:pPr>
              <w:pStyle w:val="Compact"/>
              <w:jc w:val="left"/>
            </w:pPr>
            <w:r>
              <w:t xml:space="preserve">Përmbajtja</w:t>
            </w:r>
          </w:p>
        </w:tc>
      </w:tr>
      <w:tr>
        <w:tc>
          <w:tcPr/>
          <w:p>
            <w:pPr>
              <w:pStyle w:val="Compact"/>
              <w:jc w:val="left"/>
            </w:pPr>
            <w:r>
              <w:t xml:space="preserve">Punonjësit</w:t>
            </w:r>
          </w:p>
        </w:tc>
        <w:tc>
          <w:tcPr/>
          <w:p>
            <w:pPr>
              <w:pStyle w:val="Compact"/>
              <w:jc w:val="left"/>
            </w:pPr>
            <w:r>
              <w:t xml:space="preserve">Regjistri i personelit, të dhënat bazë, dokumentet, historiku</w:t>
            </w:r>
          </w:p>
        </w:tc>
      </w:tr>
      <w:tr>
        <w:tc>
          <w:tcPr/>
          <w:p>
            <w:pPr>
              <w:pStyle w:val="Compact"/>
              <w:jc w:val="left"/>
            </w:pPr>
            <w:r>
              <w:t xml:space="preserve">Pagat</w:t>
            </w:r>
          </w:p>
        </w:tc>
        <w:tc>
          <w:tcPr/>
          <w:p>
            <w:pPr>
              <w:pStyle w:val="Compact"/>
              <w:jc w:val="left"/>
            </w:pPr>
            <w:r>
              <w:t xml:space="preserve">Përllogaritja e pagës bruto/neto, tatimi në të ardhura personale, kontributet pensionale (Trusti), lista e pagave</w:t>
            </w:r>
          </w:p>
        </w:tc>
      </w:tr>
      <w:tr>
        <w:tc>
          <w:tcPr/>
          <w:p>
            <w:pPr>
              <w:pStyle w:val="Compact"/>
              <w:jc w:val="left"/>
            </w:pPr>
            <w:r>
              <w:t xml:space="preserve">Pushimet</w:t>
            </w:r>
          </w:p>
        </w:tc>
        <w:tc>
          <w:tcPr/>
          <w:p>
            <w:pPr>
              <w:pStyle w:val="Compact"/>
              <w:jc w:val="left"/>
            </w:pPr>
            <w:r>
              <w:t xml:space="preserve">Pushimi vjetor, mjekësor, i lehonisë; akumulimi mujor; bilanci</w:t>
            </w:r>
          </w:p>
        </w:tc>
      </w:tr>
      <w:tr>
        <w:tc>
          <w:tcPr/>
          <w:p>
            <w:pPr>
              <w:pStyle w:val="Compact"/>
              <w:jc w:val="left"/>
            </w:pPr>
            <w:r>
              <w:t xml:space="preserve">Dokumentet</w:t>
            </w:r>
          </w:p>
        </w:tc>
        <w:tc>
          <w:tcPr/>
          <w:p>
            <w:pPr>
              <w:pStyle w:val="Compact"/>
              <w:jc w:val="left"/>
            </w:pPr>
            <w:r>
              <w:t xml:space="preserve">Gjenerimi i kontratave të punës, vendimeve, vërtetimeve</w:t>
            </w:r>
          </w:p>
        </w:tc>
      </w:tr>
      <w:tr>
        <w:tc>
          <w:tcPr/>
          <w:p>
            <w:pPr>
              <w:pStyle w:val="Compact"/>
              <w:jc w:val="left"/>
            </w:pPr>
            <w:r>
              <w:t xml:space="preserve">Largimet</w:t>
            </w:r>
          </w:p>
        </w:tc>
        <w:tc>
          <w:tcPr/>
          <w:p>
            <w:pPr>
              <w:pStyle w:val="Compact"/>
              <w:jc w:val="left"/>
            </w:pPr>
            <w:r>
              <w:t xml:space="preserve">Procedura e ndërprerjes së marrëdhënies së punës, dokumentacioni</w:t>
            </w:r>
          </w:p>
        </w:tc>
      </w:tr>
      <w:tr>
        <w:tc>
          <w:tcPr/>
          <w:p>
            <w:pPr>
              <w:pStyle w:val="Compact"/>
              <w:jc w:val="left"/>
            </w:pPr>
            <w:r>
              <w:t xml:space="preserve">Raportet</w:t>
            </w:r>
          </w:p>
        </w:tc>
        <w:tc>
          <w:tcPr/>
          <w:p>
            <w:pPr>
              <w:pStyle w:val="Compact"/>
              <w:jc w:val="left"/>
            </w:pPr>
            <w:r>
              <w:t xml:space="preserve">Raporte periodike, eksport në PDF/XLSX/CSV</w:t>
            </w:r>
          </w:p>
        </w:tc>
      </w:tr>
      <w:tr>
        <w:tc>
          <w:tcPr/>
          <w:p>
            <w:pPr>
              <w:pStyle w:val="Compact"/>
              <w:jc w:val="left"/>
            </w:pPr>
            <w:r>
              <w:t xml:space="preserve">Konfigurimet</w:t>
            </w:r>
          </w:p>
        </w:tc>
        <w:tc>
          <w:tcPr/>
          <w:p>
            <w:pPr>
              <w:pStyle w:val="Compact"/>
              <w:jc w:val="left"/>
            </w:pPr>
            <w:r>
              <w:t xml:space="preserve">Parametrat e kompanisë, rolet, të drejtat e qasjes</w:t>
            </w:r>
          </w:p>
        </w:tc>
      </w:tr>
    </w:tbl>
    <w:bookmarkEnd w:id="66"/>
    <w:bookmarkStart w:id="67" w:name="plani-i-zgjedhur"/>
    <w:p>
      <w:pPr>
        <w:pStyle w:val="Heading2"/>
      </w:pPr>
      <w:r>
        <w:t xml:space="preserve">2. Plani i zgjedhur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Vlera</w:t>
            </w:r>
          </w:p>
        </w:tc>
      </w:tr>
      <w:tr>
        <w:tc>
          <w:tcPr/>
          <w:p>
            <w:pPr>
              <w:pStyle w:val="Compact"/>
              <w:jc w:val="left"/>
            </w:pPr>
            <w:r>
              <w:t xml:space="preserve">Emri i planit</w:t>
            </w:r>
          </w:p>
        </w:tc>
        <w:tc>
          <w:tcPr/>
          <w:p>
            <w:pPr>
              <w:pStyle w:val="Compact"/>
              <w:jc w:val="left"/>
            </w:pPr>
            <w:r>
              <w:t xml:space="preserve">__________________</w:t>
            </w:r>
          </w:p>
        </w:tc>
      </w:tr>
      <w:tr>
        <w:tc>
          <w:tcPr/>
          <w:p>
            <w:pPr>
              <w:pStyle w:val="Compact"/>
              <w:jc w:val="left"/>
            </w:pPr>
            <w:r>
              <w:t xml:space="preserve">Numri maksimal i punonjësve</w:t>
            </w:r>
          </w:p>
        </w:tc>
        <w:tc>
          <w:tcPr/>
          <w:p>
            <w:pPr>
              <w:pStyle w:val="Compact"/>
              <w:jc w:val="left"/>
            </w:pPr>
            <w:r>
              <w:t xml:space="preserve">_________</w:t>
            </w:r>
          </w:p>
        </w:tc>
      </w:tr>
      <w:tr>
        <w:tc>
          <w:tcPr/>
          <w:p>
            <w:pPr>
              <w:pStyle w:val="Compact"/>
              <w:jc w:val="left"/>
            </w:pPr>
            <w:r>
              <w:t xml:space="preserve">Numri maksimal i Përdoruesve</w:t>
            </w:r>
          </w:p>
        </w:tc>
        <w:tc>
          <w:tcPr/>
          <w:p>
            <w:pPr>
              <w:pStyle w:val="Compact"/>
              <w:jc w:val="left"/>
            </w:pPr>
            <w:r>
              <w:t xml:space="preserve">_________</w:t>
            </w:r>
          </w:p>
        </w:tc>
      </w:tr>
      <w:tr>
        <w:tc>
          <w:tcPr/>
          <w:p>
            <w:pPr>
              <w:pStyle w:val="Compact"/>
              <w:jc w:val="left"/>
            </w:pPr>
            <w:r>
              <w:t xml:space="preserve">Cikli i faturimit</w:t>
            </w:r>
          </w:p>
        </w:tc>
        <w:tc>
          <w:tcPr/>
          <w:p>
            <w:pPr>
              <w:pStyle w:val="Compact"/>
              <w:jc w:val="left"/>
            </w:pPr>
            <w:r>
              <w:t xml:space="preserve">☐ Mujor ☐ Vjetor</w:t>
            </w:r>
          </w:p>
        </w:tc>
      </w:tr>
      <w:tr>
        <w:tc>
          <w:tcPr/>
          <w:p>
            <w:pPr>
              <w:pStyle w:val="Compact"/>
              <w:jc w:val="left"/>
            </w:pPr>
            <w:r>
              <w:t xml:space="preserve">Tarifa (pa TVSH)</w:t>
            </w:r>
          </w:p>
        </w:tc>
        <w:tc>
          <w:tcPr/>
          <w:p>
            <w:pPr>
              <w:pStyle w:val="Compact"/>
              <w:jc w:val="left"/>
            </w:pPr>
            <w:r>
              <w:t xml:space="preserve">_________ EUR</w:t>
            </w:r>
          </w:p>
        </w:tc>
      </w:tr>
      <w:tr>
        <w:tc>
          <w:tcPr/>
          <w:p>
            <w:pPr>
              <w:pStyle w:val="Compact"/>
              <w:jc w:val="left"/>
            </w:pPr>
            <w:r>
              <w:t xml:space="preserve">TVSH (nëse aplikohet)</w:t>
            </w:r>
          </w:p>
        </w:tc>
        <w:tc>
          <w:tcPr/>
          <w:p>
            <w:pPr>
              <w:pStyle w:val="Compact"/>
              <w:jc w:val="left"/>
            </w:pPr>
            <w:r>
              <w:t xml:space="preserve">_________ EUR</w:t>
            </w:r>
          </w:p>
        </w:tc>
      </w:tr>
      <w:tr>
        <w:tc>
          <w:tcPr/>
          <w:p>
            <w:pPr>
              <w:pStyle w:val="Compact"/>
              <w:jc w:val="left"/>
            </w:pPr>
            <w:r>
              <w:t xml:space="preserve">Totali</w:t>
            </w:r>
          </w:p>
        </w:tc>
        <w:tc>
          <w:tcPr/>
          <w:p>
            <w:pPr>
              <w:pStyle w:val="Compact"/>
              <w:jc w:val="left"/>
            </w:pPr>
            <w:r>
              <w:t xml:space="preserve">_________ EUR</w:t>
            </w:r>
          </w:p>
        </w:tc>
      </w:tr>
      <w:tr>
        <w:tc>
          <w:tcPr/>
          <w:p>
            <w:pPr>
              <w:pStyle w:val="Compact"/>
              <w:jc w:val="left"/>
            </w:pPr>
            <w:r>
              <w:t xml:space="preserve">Data e fillimit</w:t>
            </w:r>
          </w:p>
        </w:tc>
        <w:tc>
          <w:tcPr/>
          <w:p>
            <w:pPr>
              <w:pStyle w:val="Compact"/>
              <w:jc w:val="left"/>
            </w:pPr>
            <w:r>
              <w:t xml:space="preserve">___ / ___ / 20___</w:t>
            </w:r>
          </w:p>
        </w:tc>
      </w:tr>
      <w:tr>
        <w:tc>
          <w:tcPr/>
          <w:p>
            <w:pPr>
              <w:pStyle w:val="Compact"/>
              <w:jc w:val="left"/>
            </w:pPr>
            <w:r>
              <w:t xml:space="preserve">Periudha provuese</w:t>
            </w:r>
          </w:p>
        </w:tc>
        <w:tc>
          <w:tcPr/>
          <w:p>
            <w:pPr>
              <w:pStyle w:val="Compact"/>
              <w:jc w:val="left"/>
            </w:pPr>
            <w:r>
              <w:t xml:space="preserve">☐ Po, ___ ditë ☐ Jo</w:t>
            </w:r>
          </w:p>
        </w:tc>
      </w:tr>
      <w:tr>
        <w:tc>
          <w:tcPr/>
          <w:p>
            <w:pPr>
              <w:pStyle w:val="Compact"/>
              <w:jc w:val="left"/>
            </w:pPr>
            <w:r>
              <w:t xml:space="preserve">Tarifa e konfigurimit fillestar</w:t>
            </w:r>
          </w:p>
        </w:tc>
        <w:tc>
          <w:tcPr/>
          <w:p>
            <w:pPr>
              <w:pStyle w:val="Compact"/>
              <w:jc w:val="left"/>
            </w:pPr>
            <w:r>
              <w:t xml:space="preserve">_________ EUR</w:t>
            </w:r>
          </w:p>
        </w:tc>
      </w:tr>
      <w:tr>
        <w:tc>
          <w:tcPr/>
          <w:p>
            <w:pPr>
              <w:pStyle w:val="Compact"/>
              <w:jc w:val="left"/>
            </w:pPr>
            <w:r>
              <w:t xml:space="preserve">Migrimi i të dhënave</w:t>
            </w:r>
          </w:p>
        </w:tc>
        <w:tc>
          <w:tcPr/>
          <w:p>
            <w:pPr>
              <w:pStyle w:val="Compact"/>
              <w:jc w:val="left"/>
            </w:pPr>
            <w:r>
              <w:t xml:space="preserve">☐ I përfshirë ☐ _______ EUR</w:t>
            </w:r>
          </w:p>
        </w:tc>
      </w:tr>
      <w:tr>
        <w:tc>
          <w:tcPr/>
          <w:p>
            <w:pPr>
              <w:pStyle w:val="Compact"/>
              <w:jc w:val="left"/>
            </w:pPr>
            <w:r>
              <w:t xml:space="preserve">Trajnimi</w:t>
            </w:r>
          </w:p>
        </w:tc>
        <w:tc>
          <w:tcPr/>
          <w:p>
            <w:pPr>
              <w:pStyle w:val="Compact"/>
              <w:jc w:val="left"/>
            </w:pPr>
            <w:r>
              <w:t xml:space="preserve">☐ I përfshirë ☐ _______ EUR</w:t>
            </w:r>
          </w:p>
        </w:tc>
      </w:tr>
      <w:tr>
        <w:tc>
          <w:tcPr/>
          <w:p>
            <w:pPr>
              <w:pStyle w:val="Compact"/>
              <w:jc w:val="left"/>
            </w:pPr>
            <w:r>
              <w:t xml:space="preserve">E drejta e përdorimit si</w:t>
            </w:r>
            <w:r>
              <w:t xml:space="preserve"> </w:t>
            </w:r>
            <w:r>
              <w:rPr>
                <w:iCs/>
                <w:i/>
              </w:rPr>
              <w:t xml:space="preserve">service bureau</w:t>
            </w:r>
          </w:p>
        </w:tc>
        <w:tc>
          <w:tcPr/>
          <w:p>
            <w:pPr>
              <w:pStyle w:val="Compact"/>
              <w:jc w:val="left"/>
            </w:pPr>
            <w:r>
              <w:t xml:space="preserve">☐ Po ☐ Jo</w:t>
            </w:r>
          </w:p>
        </w:tc>
      </w:tr>
    </w:tbl>
    <w:bookmarkEnd w:id="67"/>
    <w:bookmarkStart w:id="68" w:name="nuk-përfshihen"/>
    <w:p>
      <w:pPr>
        <w:pStyle w:val="Heading2"/>
      </w:pPr>
      <w:r>
        <w:t xml:space="preserve">3. Nuk përfshihen</w:t>
      </w:r>
    </w:p>
    <w:p>
      <w:pPr>
        <w:pStyle w:val="FirstParagraph"/>
      </w:pPr>
      <w:r>
        <w:t xml:space="preserve">Shërbime kontabiliteti; deklarim tatimor në emër të Klientit; konsulencë ligjore ose tatimore; zhvillim i personalizuar (</w:t>
      </w:r>
      <w:r>
        <w:rPr>
          <w:iCs/>
          <w:i/>
        </w:rPr>
        <w:t xml:space="preserve">custom development</w:t>
      </w:r>
      <w:r>
        <w:t xml:space="preserve">); integrime me sisteme të palëve të treta; rikuperim i të dhënave të fshira nga Klienti pas periudhës së kopjeve rezervë.</w:t>
      </w:r>
    </w:p>
    <w:p>
      <w:r>
        <w:br w:type="page"/>
      </w:r>
    </w:p>
    <w:bookmarkEnd w:id="68"/>
    <w:bookmarkEnd w:id="69"/>
    <w:bookmarkStart w:id="78" w:name="Xee28e667ce3f939b8ad3013425dd783b68f38ee"/>
    <w:p>
      <w:pPr>
        <w:pStyle w:val="Heading1"/>
      </w:pPr>
      <w:r>
        <w:t xml:space="preserve">ANEKSI 2 — MARRËVESHJE PËR PËRPUNIMIN E TË DHËNAVE PERSONALE (MPDh)</w:t>
      </w:r>
    </w:p>
    <w:p>
      <w:pPr>
        <w:pStyle w:val="FirstParagraph"/>
      </w:pPr>
      <w:r>
        <w:rPr>
          <w:iCs/>
          <w:i/>
        </w:rPr>
        <w:t xml:space="preserve">Hartuar në pajtim me nenin 27 të Ligjit Nr. 06/L-082 për Mbrojtjen e të Dhënave Personale</w:t>
      </w:r>
    </w:p>
    <w:bookmarkStart w:id="70" w:name="a2.1-objekti-dhe-kohëzgjatja"/>
    <w:p>
      <w:pPr>
        <w:pStyle w:val="Heading2"/>
      </w:pPr>
      <w:r>
        <w:t xml:space="preserve">A2.1 — Objekti dhe kohëzgjatja</w:t>
      </w:r>
    </w:p>
    <w:p>
      <w:pPr>
        <w:pStyle w:val="FirstParagraph"/>
      </w:pPr>
      <w:r>
        <w:t xml:space="preserve">Ofruesi përpunon të dhëna personale në emër dhe për llogari të Klientit, ekskluzivisht për ofrimin e Shërbimit, për të gjithë kohëzgjatjen e Kontratës.</w:t>
      </w:r>
    </w:p>
    <w:bookmarkEnd w:id="70"/>
    <w:bookmarkStart w:id="71" w:name="a2.2-natyra-dhe-qëllimi-i-përpunimit"/>
    <w:p>
      <w:pPr>
        <w:pStyle w:val="Heading2"/>
      </w:pPr>
      <w:r>
        <w:t xml:space="preserve">A2.2 — Natyra dhe qëllimi i përpunimit</w:t>
      </w:r>
    </w:p>
    <w:p>
      <w:pPr>
        <w:pStyle w:val="FirstParagraph"/>
      </w:pPr>
      <w:r>
        <w:t xml:space="preserve">Administrimi i burimeve njerëzore dhe përllogaritja e pagave: ruajtje, organizim, strukturim, përllogaritje, gjenerim dokumentesh, raportim dhe eksportim, me mjete të automatizuara.</w:t>
      </w:r>
    </w:p>
    <w:bookmarkEnd w:id="71"/>
    <w:bookmarkStart w:id="72" w:name="Xb6f18223e100d4086b332a1732145f36531e431"/>
    <w:p>
      <w:pPr>
        <w:pStyle w:val="Heading2"/>
      </w:pPr>
      <w:r>
        <w:t xml:space="preserve">A2.3 — Kategoritë e subjekteve të të dhënave</w:t>
      </w:r>
    </w:p>
    <w:p>
      <w:pPr>
        <w:pStyle w:val="FirstParagraph"/>
      </w:pPr>
      <w:r>
        <w:t xml:space="preserve">Punonjësit aktualë dhe të mëparshëm të Klientit; kandidatët, kur regjistrohen; personat e kontaktit dhe personat në ngarkim, kur regjistrohen nga Klienti; Përdoruesit e Klientit.</w:t>
      </w:r>
    </w:p>
    <w:bookmarkEnd w:id="72"/>
    <w:bookmarkStart w:id="73" w:name="a2.4-kategoritë-e-të-dhënave-personale"/>
    <w:p>
      <w:pPr>
        <w:pStyle w:val="Heading2"/>
      </w:pPr>
      <w:r>
        <w:t xml:space="preserve">A2.4 — Kategoritë e të dhënave personale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Kategoria</w:t>
            </w:r>
          </w:p>
        </w:tc>
        <w:tc>
          <w:tcPr/>
          <w:p>
            <w:pPr>
              <w:pStyle w:val="Compact"/>
              <w:jc w:val="left"/>
            </w:pPr>
            <w:r>
              <w:t xml:space="preserve">Shembuj</w:t>
            </w:r>
          </w:p>
        </w:tc>
      </w:tr>
      <w:tr>
        <w:tc>
          <w:tcPr/>
          <w:p>
            <w:pPr>
              <w:pStyle w:val="Compact"/>
              <w:jc w:val="left"/>
            </w:pPr>
            <w:r>
              <w:t xml:space="preserve">Identifikuese</w:t>
            </w:r>
          </w:p>
        </w:tc>
        <w:tc>
          <w:tcPr/>
          <w:p>
            <w:pPr>
              <w:pStyle w:val="Compact"/>
              <w:jc w:val="left"/>
            </w:pPr>
            <w:r>
              <w:t xml:space="preserve">Emri, mbiemri, numri personal, data e lindjes, gjinia</w:t>
            </w:r>
          </w:p>
        </w:tc>
      </w:tr>
      <w:tr>
        <w:tc>
          <w:tcPr/>
          <w:p>
            <w:pPr>
              <w:pStyle w:val="Compact"/>
              <w:jc w:val="left"/>
            </w:pPr>
            <w:r>
              <w:t xml:space="preserve">Kontakti</w:t>
            </w:r>
          </w:p>
        </w:tc>
        <w:tc>
          <w:tcPr/>
          <w:p>
            <w:pPr>
              <w:pStyle w:val="Compact"/>
              <w:jc w:val="left"/>
            </w:pPr>
            <w:r>
              <w:t xml:space="preserve">Adresa, telefoni, e-mail</w:t>
            </w:r>
          </w:p>
        </w:tc>
      </w:tr>
      <w:tr>
        <w:tc>
          <w:tcPr/>
          <w:p>
            <w:pPr>
              <w:pStyle w:val="Compact"/>
              <w:jc w:val="left"/>
            </w:pPr>
            <w:r>
              <w:t xml:space="preserve">Punësimi</w:t>
            </w:r>
          </w:p>
        </w:tc>
        <w:tc>
          <w:tcPr/>
          <w:p>
            <w:pPr>
              <w:pStyle w:val="Compact"/>
              <w:jc w:val="left"/>
            </w:pPr>
            <w:r>
              <w:t xml:space="preserve">Pozita, data e fillimit, lloji i kontratës, orari</w:t>
            </w:r>
          </w:p>
        </w:tc>
      </w:tr>
      <w:tr>
        <w:tc>
          <w:tcPr/>
          <w:p>
            <w:pPr>
              <w:pStyle w:val="Compact"/>
              <w:jc w:val="left"/>
            </w:pPr>
            <w:r>
              <w:t xml:space="preserve">Financiare</w:t>
            </w:r>
          </w:p>
        </w:tc>
        <w:tc>
          <w:tcPr/>
          <w:p>
            <w:pPr>
              <w:pStyle w:val="Compact"/>
              <w:jc w:val="left"/>
            </w:pPr>
            <w:r>
              <w:t xml:space="preserve">Paga bruto/neto, shtesat, zbritjet, llogaria bankare</w:t>
            </w:r>
          </w:p>
        </w:tc>
      </w:tr>
      <w:tr>
        <w:tc>
          <w:tcPr/>
          <w:p>
            <w:pPr>
              <w:pStyle w:val="Compact"/>
              <w:jc w:val="left"/>
            </w:pPr>
            <w:r>
              <w:t xml:space="preserve">Tatimore/kontributive</w:t>
            </w:r>
          </w:p>
        </w:tc>
        <w:tc>
          <w:tcPr/>
          <w:p>
            <w:pPr>
              <w:pStyle w:val="Compact"/>
              <w:jc w:val="left"/>
            </w:pPr>
            <w:r>
              <w:t xml:space="preserve">Statusi tatimor, kontributet pensionale, koeficientët</w:t>
            </w:r>
          </w:p>
        </w:tc>
      </w:tr>
      <w:tr>
        <w:tc>
          <w:tcPr/>
          <w:p>
            <w:pPr>
              <w:pStyle w:val="Compact"/>
              <w:jc w:val="left"/>
            </w:pPr>
            <w:r>
              <w:t xml:space="preserve">Mungesat</w:t>
            </w:r>
          </w:p>
        </w:tc>
        <w:tc>
          <w:tcPr/>
          <w:p>
            <w:pPr>
              <w:pStyle w:val="Compact"/>
              <w:jc w:val="left"/>
            </w:pPr>
            <w:r>
              <w:t xml:space="preserve">Pushimet, ditët e sëmundjes, lehonia</w:t>
            </w:r>
          </w:p>
        </w:tc>
      </w:tr>
      <w:tr>
        <w:tc>
          <w:tcPr/>
          <w:p>
            <w:pPr>
              <w:pStyle w:val="Compact"/>
              <w:jc w:val="left"/>
            </w:pPr>
            <w:r>
              <w:t xml:space="preserve">Teknike</w:t>
            </w:r>
          </w:p>
        </w:tc>
        <w:tc>
          <w:tcPr/>
          <w:p>
            <w:pPr>
              <w:pStyle w:val="Compact"/>
              <w:jc w:val="left"/>
            </w:pPr>
            <w:r>
              <w:t xml:space="preserve">Regjistrat e qasjes, adresa IP, koha e veprimeve</w:t>
            </w:r>
          </w:p>
        </w:tc>
      </w:tr>
    </w:tbl>
    <w:p>
      <w:pPr>
        <w:pStyle w:val="BodyText"/>
      </w:pPr>
      <w:r>
        <w:rPr>
          <w:bCs/>
          <w:b/>
        </w:rPr>
        <w:t xml:space="preserve">Kategoritë e veçanta</w:t>
      </w:r>
      <w:r>
        <w:t xml:space="preserve"> </w:t>
      </w:r>
      <w:r>
        <w:t xml:space="preserve">përpunohen vetëm nëse Klienti i ngarkon vetë; Klienti mban përgjegjësinë e plotë ligjore për to (Neni 7.5 i Kontratës).</w:t>
      </w:r>
    </w:p>
    <w:bookmarkEnd w:id="73"/>
    <w:bookmarkStart w:id="74" w:name="a2.5-detyrimet-e-ofruesit-si-përpunues"/>
    <w:p>
      <w:pPr>
        <w:pStyle w:val="Heading2"/>
      </w:pPr>
      <w:r>
        <w:t xml:space="preserve">A2.5 — Detyrimet e Ofruesit si Përpunues</w:t>
      </w:r>
    </w:p>
    <w:p>
      <w:pPr>
        <w:pStyle w:val="FirstParagraph"/>
      </w:pPr>
      <w:r>
        <w:t xml:space="preserve">Ofruesi:</w:t>
      </w:r>
    </w:p>
    <w:p>
      <w:pPr>
        <w:numPr>
          <w:ilvl w:val="0"/>
          <w:numId w:val="1022"/>
        </w:numPr>
        <w:pStyle w:val="Compact"/>
      </w:pPr>
      <w:r>
        <w:t xml:space="preserve">përpunon të dhënat</w:t>
      </w:r>
      <w:r>
        <w:t xml:space="preserve"> </w:t>
      </w:r>
      <w:r>
        <w:rPr>
          <w:bCs/>
          <w:b/>
        </w:rPr>
        <w:t xml:space="preserve">vetëm sipas udhëzimeve të dokumentuara</w:t>
      </w:r>
      <w:r>
        <w:t xml:space="preserve"> </w:t>
      </w:r>
      <w:r>
        <w:t xml:space="preserve">të Klientit, përfshirë përdorimin normal të funksionaliteteve të Shërbimit, përveç kur detyrohet nga ligji — në këtë rast njofton Klientin paraprakisht, nëse ligji nuk e ndalon;</w:t>
      </w:r>
    </w:p>
    <w:p>
      <w:pPr>
        <w:numPr>
          <w:ilvl w:val="0"/>
          <w:numId w:val="1022"/>
        </w:numPr>
        <w:pStyle w:val="Compact"/>
      </w:pPr>
      <w:r>
        <w:t xml:space="preserve">siguron që personat e autorizuar janë të lidhur me</w:t>
      </w:r>
      <w:r>
        <w:t xml:space="preserve"> </w:t>
      </w:r>
      <w:r>
        <w:rPr>
          <w:bCs/>
          <w:b/>
        </w:rPr>
        <w:t xml:space="preserve">detyrim konfidencialiteti</w:t>
      </w:r>
      <w:r>
        <w:t xml:space="preserve">;</w:t>
      </w:r>
    </w:p>
    <w:p>
      <w:pPr>
        <w:numPr>
          <w:ilvl w:val="0"/>
          <w:numId w:val="1022"/>
        </w:numPr>
        <w:pStyle w:val="Compact"/>
      </w:pPr>
      <w:r>
        <w:t xml:space="preserve">zbaton masat e sigurisë të Aneksit 3, sipas nenit 31 të Ligjit Nr. 06/L-082;</w:t>
      </w:r>
    </w:p>
    <w:p>
      <w:pPr>
        <w:numPr>
          <w:ilvl w:val="0"/>
          <w:numId w:val="1022"/>
        </w:numPr>
        <w:pStyle w:val="Compact"/>
      </w:pPr>
      <w:r>
        <w:t xml:space="preserve">respekton kushtet e</w:t>
      </w:r>
      <w:r>
        <w:t xml:space="preserve"> </w:t>
      </w:r>
      <w:r>
        <w:rPr>
          <w:bCs/>
          <w:b/>
        </w:rPr>
        <w:t xml:space="preserve">Nenit 15 (mos-qasja)</w:t>
      </w:r>
      <w:r>
        <w:t xml:space="preserve"> </w:t>
      </w:r>
      <w:r>
        <w:t xml:space="preserve">të Kontratës në çdo veprim;</w:t>
      </w:r>
    </w:p>
    <w:p>
      <w:pPr>
        <w:numPr>
          <w:ilvl w:val="0"/>
          <w:numId w:val="1022"/>
        </w:numPr>
        <w:pStyle w:val="Compact"/>
      </w:pPr>
      <w:r>
        <w:t xml:space="preserve">angazhon nën-përpunues vetëm sipas Nenit 29;</w:t>
      </w:r>
    </w:p>
    <w:p>
      <w:pPr>
        <w:numPr>
          <w:ilvl w:val="0"/>
          <w:numId w:val="1022"/>
        </w:numPr>
        <w:pStyle w:val="Compact"/>
      </w:pPr>
      <w:r>
        <w:rPr>
          <w:bCs/>
          <w:b/>
        </w:rPr>
        <w:t xml:space="preserve">ndihmon Klientin</w:t>
      </w:r>
      <w:r>
        <w:t xml:space="preserve"> </w:t>
      </w:r>
      <w:r>
        <w:t xml:space="preserve">me masa teknike të përshtatshme në përgjigjen ndaj kërkesave të subjekteve të të dhënave (qasje, korrigjim, fshirje, kufizim, kundërshtim, transferim — nenet 14–20 të Ligjit Nr. 06/L-082);</w:t>
      </w:r>
    </w:p>
    <w:p>
      <w:pPr>
        <w:numPr>
          <w:ilvl w:val="0"/>
          <w:numId w:val="1022"/>
        </w:numPr>
        <w:pStyle w:val="Compact"/>
      </w:pPr>
      <w:r>
        <w:t xml:space="preserve">ndihmon Klientin në sigurimin e pajtueshmërisë me detyrimet e sigurisë, njoftimit të shkeljeve dhe vlerësimit të ndikimit;</w:t>
      </w:r>
    </w:p>
    <w:p>
      <w:pPr>
        <w:numPr>
          <w:ilvl w:val="0"/>
          <w:numId w:val="1022"/>
        </w:numPr>
        <w:pStyle w:val="Compact"/>
      </w:pPr>
      <w:r>
        <w:rPr>
          <w:bCs/>
          <w:b/>
        </w:rPr>
        <w:t xml:space="preserve">fshin ose kthen</w:t>
      </w:r>
      <w:r>
        <w:t xml:space="preserve"> </w:t>
      </w:r>
      <w:r>
        <w:t xml:space="preserve">të dhënat sipas Nenit 20 të Kontratës;</w:t>
      </w:r>
    </w:p>
    <w:p>
      <w:pPr>
        <w:numPr>
          <w:ilvl w:val="0"/>
          <w:numId w:val="1022"/>
        </w:numPr>
        <w:pStyle w:val="Compact"/>
      </w:pPr>
      <w:r>
        <w:t xml:space="preserve">vë në dispozicion informacionin e nevojshëm për të provuar pajtueshmërinë dhe lejon auditime sipas A2.7;</w:t>
      </w:r>
    </w:p>
    <w:p>
      <w:pPr>
        <w:numPr>
          <w:ilvl w:val="0"/>
          <w:numId w:val="1022"/>
        </w:numPr>
        <w:pStyle w:val="Compact"/>
      </w:pPr>
      <w:r>
        <w:t xml:space="preserve">njofton menjëherë Klientin nëse konsideron se një udhëzim i tij</w:t>
      </w:r>
      <w:r>
        <w:t xml:space="preserve"> </w:t>
      </w:r>
      <w:r>
        <w:rPr>
          <w:bCs/>
          <w:b/>
        </w:rPr>
        <w:t xml:space="preserve">shkel ligjin</w:t>
      </w:r>
      <w:r>
        <w:t xml:space="preserve">;</w:t>
      </w:r>
    </w:p>
    <w:p>
      <w:pPr>
        <w:numPr>
          <w:ilvl w:val="0"/>
          <w:numId w:val="1022"/>
        </w:numPr>
        <w:pStyle w:val="Compact"/>
      </w:pPr>
      <w:r>
        <w:t xml:space="preserve">mban</w:t>
      </w:r>
      <w:r>
        <w:t xml:space="preserve"> </w:t>
      </w:r>
      <w:r>
        <w:rPr>
          <w:bCs/>
          <w:b/>
        </w:rPr>
        <w:t xml:space="preserve">regjistër të aktiviteteve të përpunimit</w:t>
      </w:r>
      <w:r>
        <w:t xml:space="preserve"> </w:t>
      </w:r>
      <w:r>
        <w:t xml:space="preserve">sipas nenit 29 të Ligjit Nr. 06/L-082.</w:t>
      </w:r>
    </w:p>
    <w:bookmarkEnd w:id="74"/>
    <w:bookmarkStart w:id="75" w:name="a2.6-detyrimet-e-klientit-si-kontrollues"/>
    <w:p>
      <w:pPr>
        <w:pStyle w:val="Heading2"/>
      </w:pPr>
      <w:r>
        <w:t xml:space="preserve">A2.6 — Detyrimet e Klientit si Kontrollues</w:t>
      </w:r>
    </w:p>
    <w:p>
      <w:pPr>
        <w:pStyle w:val="FirstParagraph"/>
      </w:pPr>
      <w:r>
        <w:t xml:space="preserve">Klienti garanton se: ka bazë të ligjshme përpunimi sipas nenit 5; ka informuar subjektet e të dhënave sipas neneve 12–13; të dhënat e transmetuara janë të sakta dhe të përshtatshme; udhëzimet e tij janë në pajtim me ligjin; përgjigjet ndaj kërkesave të subjekteve të të dhënave.</w:t>
      </w:r>
    </w:p>
    <w:bookmarkEnd w:id="75"/>
    <w:bookmarkStart w:id="76" w:name="a2.7-auditimi"/>
    <w:p>
      <w:pPr>
        <w:pStyle w:val="Heading2"/>
      </w:pPr>
      <w:r>
        <w:t xml:space="preserve">A2.7 — Auditimi</w:t>
      </w:r>
    </w:p>
    <w:p>
      <w:pPr>
        <w:pStyle w:val="FirstParagraph"/>
      </w:pPr>
      <w:r>
        <w:t xml:space="preserve">Klienti ka të drejtë,</w:t>
      </w:r>
      <w:r>
        <w:t xml:space="preserve"> </w:t>
      </w:r>
      <w:r>
        <w:rPr>
          <w:bCs/>
          <w:b/>
        </w:rPr>
        <w:t xml:space="preserve">një herë në vit kalendarik</w:t>
      </w:r>
      <w:r>
        <w:t xml:space="preserve"> </w:t>
      </w:r>
      <w:r>
        <w:t xml:space="preserve">dhe me njoftim paraprak prej tridhjetë (30) ditësh, të verifikojë pajtueshmërinë e Ofruesit, kryesisht përmes pyetësorit të sigurisë, dokumentacionit ose raporteve të certifikimit. Auditimi në vend lejohet vetëm pas një Incidenti Sigurie të konfirmuar ose me kërkesë të AIP-së, gjatë orarit të punës, pa cenuar veprimtarinë dhe pa qasje në të dhëna të klientëve të tjerë. Shpenzimet e auditimit i mbulon Klienti, përveç kur konstatohet shkelje thelbësore e Ofruesit.</w:t>
      </w:r>
    </w:p>
    <w:bookmarkEnd w:id="76"/>
    <w:bookmarkStart w:id="77" w:name="X1664dd31e12998527ca4d7ae54c1d264089f7f1"/>
    <w:p>
      <w:pPr>
        <w:pStyle w:val="Heading2"/>
      </w:pPr>
      <w:r>
        <w:t xml:space="preserve">A2.8 — Personi i kontaktit për mbrojtjen e të dhënave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Ofruesi</w:t>
            </w:r>
          </w:p>
        </w:tc>
        <w:tc>
          <w:tcPr/>
          <w:p>
            <w:pPr>
              <w:pStyle w:val="Compact"/>
              <w:jc w:val="left"/>
            </w:pPr>
            <w:r>
              <w:t xml:space="preserve">Klienti</w:t>
            </w:r>
          </w:p>
        </w:tc>
      </w:tr>
      <w:tr>
        <w:tc>
          <w:tcPr/>
          <w:p>
            <w:pPr>
              <w:pStyle w:val="Compact"/>
              <w:jc w:val="left"/>
            </w:pPr>
            <w:r>
              <w:t xml:space="preserve">Emri</w:t>
            </w:r>
          </w:p>
        </w:tc>
        <w:tc>
          <w:tcPr/>
          <w:p>
            <w:pPr>
              <w:pStyle w:val="Compact"/>
              <w:jc w:val="left"/>
            </w:pPr>
            <w:r>
              <w:t xml:space="preserve">____________</w:t>
            </w:r>
          </w:p>
        </w:tc>
        <w:tc>
          <w:tcPr/>
          <w:p>
            <w:pPr>
              <w:pStyle w:val="Compact"/>
              <w:jc w:val="left"/>
            </w:pPr>
            <w:r>
              <w:t xml:space="preserve">____________</w:t>
            </w:r>
          </w:p>
        </w:tc>
      </w:tr>
      <w:tr>
        <w:tc>
          <w:tcPr/>
          <w:p>
            <w:pPr>
              <w:pStyle w:val="Compact"/>
              <w:jc w:val="left"/>
            </w:pPr>
            <w:r>
              <w:t xml:space="preserve">E-mail</w:t>
            </w:r>
          </w:p>
        </w:tc>
        <w:tc>
          <w:tcPr/>
          <w:p>
            <w:pPr>
              <w:pStyle w:val="Compact"/>
              <w:jc w:val="left"/>
            </w:pPr>
            <w:r>
              <w:t xml:space="preserve">____________</w:t>
            </w:r>
          </w:p>
        </w:tc>
        <w:tc>
          <w:tcPr/>
          <w:p>
            <w:pPr>
              <w:pStyle w:val="Compact"/>
              <w:jc w:val="left"/>
            </w:pPr>
            <w:r>
              <w:t xml:space="preserve">____________</w:t>
            </w:r>
          </w:p>
        </w:tc>
      </w:tr>
      <w:tr>
        <w:tc>
          <w:tcPr/>
          <w:p>
            <w:pPr>
              <w:pStyle w:val="Compact"/>
              <w:jc w:val="left"/>
            </w:pPr>
            <w:r>
              <w:t xml:space="preserve">Telefoni</w:t>
            </w:r>
          </w:p>
        </w:tc>
        <w:tc>
          <w:tcPr/>
          <w:p>
            <w:pPr>
              <w:pStyle w:val="Compact"/>
              <w:jc w:val="left"/>
            </w:pPr>
            <w:r>
              <w:t xml:space="preserve">____________</w:t>
            </w:r>
          </w:p>
        </w:tc>
        <w:tc>
          <w:tcPr/>
          <w:p>
            <w:pPr>
              <w:pStyle w:val="Compact"/>
              <w:jc w:val="left"/>
            </w:pPr>
            <w:r>
              <w:t xml:space="preserve">____________</w:t>
            </w:r>
          </w:p>
        </w:tc>
      </w:tr>
    </w:tbl>
    <w:p>
      <w:r>
        <w:br w:type="page"/>
      </w:r>
    </w:p>
    <w:bookmarkEnd w:id="77"/>
    <w:bookmarkEnd w:id="78"/>
    <w:bookmarkStart w:id="79" w:name="X23c42e0a10de1c8cddd2778d9ebb587dbe615a4"/>
    <w:p>
      <w:pPr>
        <w:pStyle w:val="Heading1"/>
      </w:pPr>
      <w:r>
        <w:t xml:space="preserve">ANEKSI 3 — MASAT TEKNIKE DHE ORGANIZATIVE TË SIGURISË</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Fusha</w:t>
            </w:r>
          </w:p>
        </w:tc>
        <w:tc>
          <w:tcPr/>
          <w:p>
            <w:pPr>
              <w:pStyle w:val="Compact"/>
              <w:jc w:val="left"/>
            </w:pPr>
            <w:r>
              <w:t xml:space="preserve">Masa e zbatuar</w:t>
            </w:r>
          </w:p>
        </w:tc>
      </w:tr>
      <w:tr>
        <w:tc>
          <w:tcPr/>
          <w:p>
            <w:pPr>
              <w:pStyle w:val="Compact"/>
              <w:jc w:val="left"/>
            </w:pPr>
            <w:r>
              <w:t xml:space="preserve">Enkriptimi në transit</w:t>
            </w:r>
          </w:p>
        </w:tc>
        <w:tc>
          <w:tcPr/>
          <w:p>
            <w:pPr>
              <w:pStyle w:val="Compact"/>
              <w:jc w:val="left"/>
            </w:pPr>
            <w:r>
              <w:t xml:space="preserve">TLS 1.2 ose më i lartë për të gjitha lidhjet</w:t>
            </w:r>
          </w:p>
        </w:tc>
      </w:tr>
      <w:tr>
        <w:tc>
          <w:tcPr/>
          <w:p>
            <w:pPr>
              <w:pStyle w:val="Compact"/>
              <w:jc w:val="left"/>
            </w:pPr>
            <w:r>
              <w:t xml:space="preserve">Enkriptimi në qetësi</w:t>
            </w:r>
          </w:p>
        </w:tc>
        <w:tc>
          <w:tcPr/>
          <w:p>
            <w:pPr>
              <w:pStyle w:val="Compact"/>
              <w:jc w:val="left"/>
            </w:pPr>
            <w:r>
              <w:t xml:space="preserve">Enkriptim i bazës së të dhënave dhe i kopjeve rezervë</w:t>
            </w:r>
          </w:p>
        </w:tc>
      </w:tr>
      <w:tr>
        <w:tc>
          <w:tcPr/>
          <w:p>
            <w:pPr>
              <w:pStyle w:val="Compact"/>
              <w:jc w:val="left"/>
            </w:pPr>
            <w:r>
              <w:t xml:space="preserve">Autentifikimi</w:t>
            </w:r>
          </w:p>
        </w:tc>
        <w:tc>
          <w:tcPr/>
          <w:p>
            <w:pPr>
              <w:pStyle w:val="Compact"/>
              <w:jc w:val="left"/>
            </w:pPr>
            <w:r>
              <w:t xml:space="preserve">Fjalëkalime të hashuara kriptografikisht (pa ruajtje në tekst të hapur); sesione me skadim; 2FA i disponueshëm</w:t>
            </w:r>
          </w:p>
        </w:tc>
      </w:tr>
      <w:tr>
        <w:tc>
          <w:tcPr/>
          <w:p>
            <w:pPr>
              <w:pStyle w:val="Compact"/>
              <w:jc w:val="left"/>
            </w:pPr>
            <w:r>
              <w:t xml:space="preserve">Autorizimi</w:t>
            </w:r>
          </w:p>
        </w:tc>
        <w:tc>
          <w:tcPr/>
          <w:p>
            <w:pPr>
              <w:pStyle w:val="Compact"/>
              <w:jc w:val="left"/>
            </w:pPr>
            <w:r>
              <w:t xml:space="preserve">Kontroll i detyrueshëm i kontekstit të kompanisë në çdo veprim serveri dhe në çdo pyetje ndaj bazës së të dhënave</w:t>
            </w:r>
          </w:p>
        </w:tc>
      </w:tr>
      <w:tr>
        <w:tc>
          <w:tcPr/>
          <w:p>
            <w:pPr>
              <w:pStyle w:val="Compact"/>
              <w:jc w:val="left"/>
            </w:pPr>
            <w:r>
              <w:t xml:space="preserve">Izolimi ndër-klientësh</w:t>
            </w:r>
          </w:p>
        </w:tc>
        <w:tc>
          <w:tcPr/>
          <w:p>
            <w:pPr>
              <w:pStyle w:val="Compact"/>
              <w:jc w:val="left"/>
            </w:pPr>
            <w:r>
              <w:t xml:space="preserve">Filtrim i detyrueshëm sipas identifikuesit të kompanisë; ndalim strukturor i qasjes ndër-klientësh</w:t>
            </w:r>
          </w:p>
        </w:tc>
      </w:tr>
      <w:tr>
        <w:tc>
          <w:tcPr/>
          <w:p>
            <w:pPr>
              <w:pStyle w:val="Compact"/>
              <w:jc w:val="left"/>
            </w:pPr>
            <w:r>
              <w:t xml:space="preserve">Gjurmët e auditimit</w:t>
            </w:r>
          </w:p>
        </w:tc>
        <w:tc>
          <w:tcPr/>
          <w:p>
            <w:pPr>
              <w:pStyle w:val="Compact"/>
              <w:jc w:val="left"/>
            </w:pPr>
            <w:r>
              <w:t xml:space="preserve">Regjistrim i pandryshueshëm i veprimeve të ndjeshme me identitetin e aktorit dhe kohën</w:t>
            </w:r>
          </w:p>
        </w:tc>
      </w:tr>
      <w:tr>
        <w:tc>
          <w:tcPr/>
          <w:p>
            <w:pPr>
              <w:pStyle w:val="Compact"/>
              <w:jc w:val="left"/>
            </w:pPr>
            <w:r>
              <w:t xml:space="preserve">Ndarja e mjediseve</w:t>
            </w:r>
          </w:p>
        </w:tc>
        <w:tc>
          <w:tcPr/>
          <w:p>
            <w:pPr>
              <w:pStyle w:val="Compact"/>
              <w:jc w:val="left"/>
            </w:pPr>
            <w:r>
              <w:t xml:space="preserve">Mjedise të ndara zhvillimi / testimi / prodhimi; ndalim i përdorimit të të dhënave reale në testim</w:t>
            </w:r>
          </w:p>
        </w:tc>
      </w:tr>
      <w:tr>
        <w:tc>
          <w:tcPr/>
          <w:p>
            <w:pPr>
              <w:pStyle w:val="Compact"/>
              <w:jc w:val="left"/>
            </w:pPr>
            <w:r>
              <w:t xml:space="preserve">Kopjet rezervë</w:t>
            </w:r>
          </w:p>
        </w:tc>
        <w:tc>
          <w:tcPr/>
          <w:p>
            <w:pPr>
              <w:pStyle w:val="Compact"/>
              <w:jc w:val="left"/>
            </w:pPr>
            <w:r>
              <w:t xml:space="preserve">Kopje të përditshme; ruajtje e enkriptuar; testim periodik i rikthimit</w:t>
            </w:r>
          </w:p>
        </w:tc>
      </w:tr>
      <w:tr>
        <w:tc>
          <w:tcPr/>
          <w:p>
            <w:pPr>
              <w:pStyle w:val="Compact"/>
              <w:jc w:val="left"/>
            </w:pPr>
            <w:r>
              <w:t xml:space="preserve">Menaxhimi i cenueshmërive</w:t>
            </w:r>
          </w:p>
        </w:tc>
        <w:tc>
          <w:tcPr/>
          <w:p>
            <w:pPr>
              <w:pStyle w:val="Compact"/>
              <w:jc w:val="left"/>
            </w:pPr>
            <w:r>
              <w:t xml:space="preserve">Përditësim i rregullt i varësive; monitorim i njoftimeve të sigurisë</w:t>
            </w:r>
          </w:p>
        </w:tc>
      </w:tr>
      <w:tr>
        <w:tc>
          <w:tcPr/>
          <w:p>
            <w:pPr>
              <w:pStyle w:val="Compact"/>
              <w:jc w:val="left"/>
            </w:pPr>
            <w:r>
              <w:t xml:space="preserve">Kontrolli i qasjes së personelit</w:t>
            </w:r>
          </w:p>
        </w:tc>
        <w:tc>
          <w:tcPr/>
          <w:p>
            <w:pPr>
              <w:pStyle w:val="Compact"/>
              <w:jc w:val="left"/>
            </w:pPr>
            <w:r>
              <w:t xml:space="preserve">Privilegj minimal; autorizim individual; heqje e menjëhershme e qasjes në largim</w:t>
            </w:r>
          </w:p>
        </w:tc>
      </w:tr>
      <w:tr>
        <w:tc>
          <w:tcPr/>
          <w:p>
            <w:pPr>
              <w:pStyle w:val="Compact"/>
              <w:jc w:val="left"/>
            </w:pPr>
            <w:r>
              <w:t xml:space="preserve">Ruajtja e dokumenteve</w:t>
            </w:r>
          </w:p>
        </w:tc>
        <w:tc>
          <w:tcPr/>
          <w:p>
            <w:pPr>
              <w:pStyle w:val="Compact"/>
              <w:jc w:val="left"/>
            </w:pPr>
            <w:r>
              <w:t xml:space="preserve">Çelësa të verifikuar sipas kompanisë para servirjes së çdo dokumenti</w:t>
            </w:r>
          </w:p>
        </w:tc>
      </w:tr>
      <w:tr>
        <w:tc>
          <w:tcPr/>
          <w:p>
            <w:pPr>
              <w:pStyle w:val="Compact"/>
              <w:jc w:val="left"/>
            </w:pPr>
            <w:r>
              <w:t xml:space="preserve">Vazhdimësia</w:t>
            </w:r>
          </w:p>
        </w:tc>
        <w:tc>
          <w:tcPr/>
          <w:p>
            <w:pPr>
              <w:pStyle w:val="Compact"/>
              <w:jc w:val="left"/>
            </w:pPr>
            <w:r>
              <w:t xml:space="preserve">Plan i rikuperimit nga fatkeqësitë; objektiva RPO/RTO sipas Aneksit 5</w:t>
            </w:r>
          </w:p>
        </w:tc>
      </w:tr>
    </w:tbl>
    <w:p>
      <w:pPr>
        <w:pStyle w:val="BodyText"/>
      </w:pPr>
      <w:r>
        <w:rPr>
          <w:iCs/>
          <w:i/>
        </w:rPr>
        <w:t xml:space="preserve">Ofruesi mund të përditësojë këtë Aneks për të reflektuar përmirësime, pa ulur nivelin e mbrojtjes.</w:t>
      </w:r>
    </w:p>
    <w:p>
      <w:r>
        <w:br w:type="page"/>
      </w:r>
    </w:p>
    <w:bookmarkEnd w:id="79"/>
    <w:bookmarkStart w:id="80" w:name="X9e7b93a63a05af8db00ff2a0fb1b04a793378df"/>
    <w:p>
      <w:pPr>
        <w:pStyle w:val="Heading1"/>
      </w:pPr>
      <w:r>
        <w:t xml:space="preserve">ANEKSI 4 — NËN-PËRPUNUESIT DHE VENDNDODHJA E TË DHËNAVE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Nën-përpunuesi</w:t>
            </w:r>
          </w:p>
        </w:tc>
        <w:tc>
          <w:tcPr/>
          <w:p>
            <w:pPr>
              <w:pStyle w:val="Compact"/>
              <w:jc w:val="left"/>
            </w:pPr>
            <w:r>
              <w:t xml:space="preserve">Shërbimi</w:t>
            </w:r>
          </w:p>
        </w:tc>
        <w:tc>
          <w:tcPr/>
          <w:p>
            <w:pPr>
              <w:pStyle w:val="Compact"/>
              <w:jc w:val="left"/>
            </w:pPr>
            <w:r>
              <w:t xml:space="preserve">Vendndodhja e përpunimit</w:t>
            </w:r>
          </w:p>
        </w:tc>
        <w:tc>
          <w:tcPr/>
          <w:p>
            <w:pPr>
              <w:pStyle w:val="Compact"/>
              <w:jc w:val="left"/>
            </w:pPr>
            <w:r>
              <w:t xml:space="preserve">Baza e transferimit</w:t>
            </w:r>
          </w:p>
        </w:tc>
      </w:tr>
      <w:tr>
        <w:tc>
          <w:tcPr/>
          <w:p>
            <w:pPr>
              <w:pStyle w:val="Compact"/>
              <w:jc w:val="left"/>
            </w:pPr>
            <w:r>
              <w:t xml:space="preserve">__________</w:t>
            </w:r>
          </w:p>
        </w:tc>
        <w:tc>
          <w:tcPr/>
          <w:p>
            <w:pPr>
              <w:pStyle w:val="Compact"/>
              <w:jc w:val="left"/>
            </w:pPr>
            <w:r>
              <w:t xml:space="preserve">Hostimi i aplikacionit</w:t>
            </w:r>
          </w:p>
        </w:tc>
        <w:tc>
          <w:tcPr/>
          <w:p>
            <w:pPr>
              <w:pStyle w:val="Compact"/>
              <w:jc w:val="left"/>
            </w:pPr>
            <w:r>
              <w:t xml:space="preserve">__________</w:t>
            </w:r>
          </w:p>
        </w:tc>
        <w:tc>
          <w:tcPr/>
          <w:p>
            <w:pPr>
              <w:pStyle w:val="Compact"/>
              <w:jc w:val="left"/>
            </w:pPr>
            <w:r>
              <w:t xml:space="preserve">__________</w:t>
            </w:r>
          </w:p>
        </w:tc>
      </w:tr>
      <w:tr>
        <w:tc>
          <w:tcPr/>
          <w:p>
            <w:pPr>
              <w:pStyle w:val="Compact"/>
              <w:jc w:val="left"/>
            </w:pPr>
            <w:r>
              <w:t xml:space="preserve">__________</w:t>
            </w:r>
          </w:p>
        </w:tc>
        <w:tc>
          <w:tcPr/>
          <w:p>
            <w:pPr>
              <w:pStyle w:val="Compact"/>
              <w:jc w:val="left"/>
            </w:pPr>
            <w:r>
              <w:t xml:space="preserve">Baza e të dhënave</w:t>
            </w:r>
          </w:p>
        </w:tc>
        <w:tc>
          <w:tcPr/>
          <w:p>
            <w:pPr>
              <w:pStyle w:val="Compact"/>
              <w:jc w:val="left"/>
            </w:pPr>
            <w:r>
              <w:t xml:space="preserve">__________</w:t>
            </w:r>
          </w:p>
        </w:tc>
        <w:tc>
          <w:tcPr/>
          <w:p>
            <w:pPr>
              <w:pStyle w:val="Compact"/>
              <w:jc w:val="left"/>
            </w:pPr>
            <w:r>
              <w:t xml:space="preserve">__________</w:t>
            </w:r>
          </w:p>
        </w:tc>
      </w:tr>
      <w:tr>
        <w:tc>
          <w:tcPr/>
          <w:p>
            <w:pPr>
              <w:pStyle w:val="Compact"/>
              <w:jc w:val="left"/>
            </w:pPr>
            <w:r>
              <w:t xml:space="preserve">__________</w:t>
            </w:r>
          </w:p>
        </w:tc>
        <w:tc>
          <w:tcPr/>
          <w:p>
            <w:pPr>
              <w:pStyle w:val="Compact"/>
              <w:jc w:val="left"/>
            </w:pPr>
            <w:r>
              <w:t xml:space="preserve">Kopjet rezervë / ruajtja e dokumenteve</w:t>
            </w:r>
          </w:p>
        </w:tc>
        <w:tc>
          <w:tcPr/>
          <w:p>
            <w:pPr>
              <w:pStyle w:val="Compact"/>
              <w:jc w:val="left"/>
            </w:pPr>
            <w:r>
              <w:t xml:space="preserve">__________</w:t>
            </w:r>
          </w:p>
        </w:tc>
        <w:tc>
          <w:tcPr/>
          <w:p>
            <w:pPr>
              <w:pStyle w:val="Compact"/>
              <w:jc w:val="left"/>
            </w:pPr>
            <w:r>
              <w:t xml:space="preserve">__________</w:t>
            </w:r>
          </w:p>
        </w:tc>
      </w:tr>
      <w:tr>
        <w:tc>
          <w:tcPr/>
          <w:p>
            <w:pPr>
              <w:pStyle w:val="Compact"/>
              <w:jc w:val="left"/>
            </w:pPr>
            <w:r>
              <w:t xml:space="preserve">__________</w:t>
            </w:r>
          </w:p>
        </w:tc>
        <w:tc>
          <w:tcPr/>
          <w:p>
            <w:pPr>
              <w:pStyle w:val="Compact"/>
              <w:jc w:val="left"/>
            </w:pPr>
            <w:r>
              <w:t xml:space="preserve">E-mail transaksional</w:t>
            </w:r>
          </w:p>
        </w:tc>
        <w:tc>
          <w:tcPr/>
          <w:p>
            <w:pPr>
              <w:pStyle w:val="Compact"/>
              <w:jc w:val="left"/>
            </w:pPr>
            <w:r>
              <w:t xml:space="preserve">__________</w:t>
            </w:r>
          </w:p>
        </w:tc>
        <w:tc>
          <w:tcPr/>
          <w:p>
            <w:pPr>
              <w:pStyle w:val="Compact"/>
              <w:jc w:val="left"/>
            </w:pPr>
            <w:r>
              <w:t xml:space="preserve">__________</w:t>
            </w:r>
          </w:p>
        </w:tc>
      </w:tr>
      <w:tr>
        <w:tc>
          <w:tcPr/>
          <w:p>
            <w:pPr>
              <w:pStyle w:val="Compact"/>
              <w:jc w:val="left"/>
            </w:pPr>
            <w:r>
              <w:t xml:space="preserve">__________</w:t>
            </w:r>
          </w:p>
        </w:tc>
        <w:tc>
          <w:tcPr/>
          <w:p>
            <w:pPr>
              <w:pStyle w:val="Compact"/>
              <w:jc w:val="left"/>
            </w:pPr>
            <w:r>
              <w:t xml:space="preserve">Monitorim / regjistrim gabimesh</w:t>
            </w:r>
          </w:p>
        </w:tc>
        <w:tc>
          <w:tcPr/>
          <w:p>
            <w:pPr>
              <w:pStyle w:val="Compact"/>
              <w:jc w:val="left"/>
            </w:pPr>
            <w:r>
              <w:t xml:space="preserve">__________</w:t>
            </w:r>
          </w:p>
        </w:tc>
        <w:tc>
          <w:tcPr/>
          <w:p>
            <w:pPr>
              <w:pStyle w:val="Compact"/>
              <w:jc w:val="left"/>
            </w:pPr>
            <w:r>
              <w:t xml:space="preserve">__________</w:t>
            </w:r>
          </w:p>
        </w:tc>
      </w:tr>
    </w:tbl>
    <w:p>
      <w:pPr>
        <w:pStyle w:val="BodyText"/>
      </w:pPr>
      <w:r>
        <w:t xml:space="preserve">Lista e përditësuar publikohet në: ________________________</w:t>
      </w:r>
    </w:p>
    <w:p>
      <w:r>
        <w:br w:type="page"/>
      </w:r>
    </w:p>
    <w:bookmarkEnd w:id="80"/>
    <w:bookmarkStart w:id="86" w:name="X594ad74f1dd1ac277a252d3ab4a8ba8b88b616d"/>
    <w:p>
      <w:pPr>
        <w:pStyle w:val="Heading1"/>
      </w:pPr>
      <w:r>
        <w:t xml:space="preserve">ANEKSI 5 — MBËSHTETJA TEKNIKE DHE NIVELI I SHËRBIMIT (SLA)</w:t>
      </w:r>
    </w:p>
    <w:bookmarkStart w:id="81" w:name="a5.1-orari-i-mbështetjes"/>
    <w:p>
      <w:pPr>
        <w:pStyle w:val="Heading2"/>
      </w:pPr>
      <w:r>
        <w:t xml:space="preserve">A5.1 — Orari i mbështetjes</w:t>
      </w:r>
    </w:p>
    <w:p>
      <w:pPr>
        <w:pStyle w:val="FirstParagraph"/>
      </w:pPr>
      <w:r>
        <w:t xml:space="preserve">E hënë – e premte, 09:00–17:00, ditë pune sipas kalendarit zyrtar të Republikës së Kosovës. Kanali: ________________ (e-mail / sistem tiketash).</w:t>
      </w:r>
    </w:p>
    <w:bookmarkEnd w:id="81"/>
    <w:bookmarkStart w:id="82" w:name="a5.2-kohët-e-reagimit"/>
    <w:p>
      <w:pPr>
        <w:pStyle w:val="Heading2"/>
      </w:pPr>
      <w:r>
        <w:t xml:space="preserve">A5.2 — Kohët e reagimit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Prioriteti</w:t>
            </w:r>
          </w:p>
        </w:tc>
        <w:tc>
          <w:tcPr/>
          <w:p>
            <w:pPr>
              <w:pStyle w:val="Compact"/>
              <w:jc w:val="left"/>
            </w:pPr>
            <w:r>
              <w:t xml:space="preserve">Përkufizimi</w:t>
            </w:r>
          </w:p>
        </w:tc>
        <w:tc>
          <w:tcPr/>
          <w:p>
            <w:pPr>
              <w:pStyle w:val="Compact"/>
              <w:jc w:val="left"/>
            </w:pPr>
            <w:r>
              <w:t xml:space="preserve">Reagimi fillestar</w:t>
            </w:r>
          </w:p>
        </w:tc>
        <w:tc>
          <w:tcPr/>
          <w:p>
            <w:pPr>
              <w:pStyle w:val="Compact"/>
              <w:jc w:val="left"/>
            </w:pPr>
            <w:r>
              <w:t xml:space="preserve">Synimi i zgjidhjes</w:t>
            </w:r>
          </w:p>
        </w:tc>
      </w:tr>
      <w:tr>
        <w:tc>
          <w:tcPr/>
          <w:p>
            <w:pPr>
              <w:pStyle w:val="Compact"/>
              <w:jc w:val="left"/>
            </w:pPr>
            <w:r>
              <w:rPr>
                <w:bCs/>
                <w:b/>
              </w:rPr>
              <w:t xml:space="preserve">P1 — Kritik</w:t>
            </w:r>
          </w:p>
        </w:tc>
        <w:tc>
          <w:tcPr/>
          <w:p>
            <w:pPr>
              <w:pStyle w:val="Compact"/>
              <w:jc w:val="left"/>
            </w:pPr>
            <w:r>
              <w:t xml:space="preserve">Shërbimi plotësisht i padisponueshëm ose përllogaritja e pagave e bllokuar</w:t>
            </w:r>
          </w:p>
        </w:tc>
        <w:tc>
          <w:tcPr/>
          <w:p>
            <w:pPr>
              <w:pStyle w:val="Compact"/>
              <w:jc w:val="left"/>
            </w:pPr>
            <w:r>
              <w:t xml:space="preserve">4 orë pune</w:t>
            </w:r>
          </w:p>
        </w:tc>
        <w:tc>
          <w:tcPr/>
          <w:p>
            <w:pPr>
              <w:pStyle w:val="Compact"/>
              <w:jc w:val="left"/>
            </w:pPr>
            <w:r>
              <w:t xml:space="preserve">1 ditë pune</w:t>
            </w:r>
          </w:p>
        </w:tc>
      </w:tr>
      <w:tr>
        <w:tc>
          <w:tcPr/>
          <w:p>
            <w:pPr>
              <w:pStyle w:val="Compact"/>
              <w:jc w:val="left"/>
            </w:pPr>
            <w:r>
              <w:rPr>
                <w:bCs/>
                <w:b/>
              </w:rPr>
              <w:t xml:space="preserve">P2 — I lartë</w:t>
            </w:r>
          </w:p>
        </w:tc>
        <w:tc>
          <w:tcPr/>
          <w:p>
            <w:pPr>
              <w:pStyle w:val="Compact"/>
              <w:jc w:val="left"/>
            </w:pPr>
            <w:r>
              <w:t xml:space="preserve">Funksionalitet thelbësor i dëmtuar, pa zgjidhje alternative</w:t>
            </w:r>
          </w:p>
        </w:tc>
        <w:tc>
          <w:tcPr/>
          <w:p>
            <w:pPr>
              <w:pStyle w:val="Compact"/>
              <w:jc w:val="left"/>
            </w:pPr>
            <w:r>
              <w:t xml:space="preserve">8 orë pune</w:t>
            </w:r>
          </w:p>
        </w:tc>
        <w:tc>
          <w:tcPr/>
          <w:p>
            <w:pPr>
              <w:pStyle w:val="Compact"/>
              <w:jc w:val="left"/>
            </w:pPr>
            <w:r>
              <w:t xml:space="preserve">3 ditë pune</w:t>
            </w:r>
          </w:p>
        </w:tc>
      </w:tr>
      <w:tr>
        <w:tc>
          <w:tcPr/>
          <w:p>
            <w:pPr>
              <w:pStyle w:val="Compact"/>
              <w:jc w:val="left"/>
            </w:pPr>
            <w:r>
              <w:rPr>
                <w:bCs/>
                <w:b/>
              </w:rPr>
              <w:t xml:space="preserve">P3 — I mesëm</w:t>
            </w:r>
          </w:p>
        </w:tc>
        <w:tc>
          <w:tcPr/>
          <w:p>
            <w:pPr>
              <w:pStyle w:val="Compact"/>
              <w:jc w:val="left"/>
            </w:pPr>
            <w:r>
              <w:t xml:space="preserve">Funksionalitet i dëmtuar me zgjidhje alternative</w:t>
            </w:r>
          </w:p>
        </w:tc>
        <w:tc>
          <w:tcPr/>
          <w:p>
            <w:pPr>
              <w:pStyle w:val="Compact"/>
              <w:jc w:val="left"/>
            </w:pPr>
            <w:r>
              <w:t xml:space="preserve">2 ditë pune</w:t>
            </w:r>
          </w:p>
        </w:tc>
        <w:tc>
          <w:tcPr/>
          <w:p>
            <w:pPr>
              <w:pStyle w:val="Compact"/>
              <w:jc w:val="left"/>
            </w:pPr>
            <w:r>
              <w:t xml:space="preserve">10 ditë pune</w:t>
            </w:r>
          </w:p>
        </w:tc>
      </w:tr>
      <w:tr>
        <w:tc>
          <w:tcPr/>
          <w:p>
            <w:pPr>
              <w:pStyle w:val="Compact"/>
              <w:jc w:val="left"/>
            </w:pPr>
            <w:r>
              <w:rPr>
                <w:bCs/>
                <w:b/>
              </w:rPr>
              <w:t xml:space="preserve">P4 — I ulët</w:t>
            </w:r>
          </w:p>
        </w:tc>
        <w:tc>
          <w:tcPr/>
          <w:p>
            <w:pPr>
              <w:pStyle w:val="Compact"/>
              <w:jc w:val="left"/>
            </w:pPr>
            <w:r>
              <w:t xml:space="preserve">Pyetje, kërkesa përmirësimi, çështje kozmetike</w:t>
            </w:r>
          </w:p>
        </w:tc>
        <w:tc>
          <w:tcPr/>
          <w:p>
            <w:pPr>
              <w:pStyle w:val="Compact"/>
              <w:jc w:val="left"/>
            </w:pPr>
            <w:r>
              <w:t xml:space="preserve">5 ditë pune</w:t>
            </w:r>
          </w:p>
        </w:tc>
        <w:tc>
          <w:tcPr/>
          <w:p>
            <w:pPr>
              <w:pStyle w:val="Compact"/>
              <w:jc w:val="left"/>
            </w:pPr>
            <w:r>
              <w:t xml:space="preserve">Sipas planit</w:t>
            </w:r>
          </w:p>
        </w:tc>
      </w:tr>
    </w:tbl>
    <w:bookmarkEnd w:id="82"/>
    <w:bookmarkStart w:id="83" w:name="a5.3-disponueshmëria-dhe-kreditimi"/>
    <w:p>
      <w:pPr>
        <w:pStyle w:val="Heading2"/>
      </w:pPr>
      <w:r>
        <w:t xml:space="preserve">A5.3 — Disponueshmëria dhe kreditimi</w:t>
      </w:r>
    </w:p>
    <w:p>
      <w:pPr>
        <w:pStyle w:val="FirstParagraph"/>
      </w:pPr>
      <w:r>
        <w:t xml:space="preserve">Disponueshmëria mujore = (minutat totale të muajit − minutat e mosdisponueshmërisë së atribuueshme) / minutat totale × 100, duke përjashtuar rastet e Nenit 8.2.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Disponueshmëria mujore</w:t>
            </w:r>
          </w:p>
        </w:tc>
        <w:tc>
          <w:tcPr/>
          <w:p>
            <w:pPr>
              <w:pStyle w:val="Compact"/>
              <w:jc w:val="left"/>
            </w:pPr>
            <w:r>
              <w:t xml:space="preserve">Kredit shërbimi</w:t>
            </w:r>
          </w:p>
        </w:tc>
      </w:tr>
      <w:tr>
        <w:tc>
          <w:tcPr/>
          <w:p>
            <w:pPr>
              <w:pStyle w:val="Compact"/>
              <w:jc w:val="left"/>
            </w:pPr>
            <w:r>
              <w:t xml:space="preserve">≥ 99,5%</w:t>
            </w:r>
          </w:p>
        </w:tc>
        <w:tc>
          <w:tcPr/>
          <w:p>
            <w:pPr>
              <w:pStyle w:val="Compact"/>
              <w:jc w:val="left"/>
            </w:pPr>
            <w:r>
              <w:t xml:space="preserve">Pa kredit</w:t>
            </w:r>
          </w:p>
        </w:tc>
      </w:tr>
      <w:tr>
        <w:tc>
          <w:tcPr/>
          <w:p>
            <w:pPr>
              <w:pStyle w:val="Compact"/>
              <w:jc w:val="left"/>
            </w:pPr>
            <w:r>
              <w:t xml:space="preserve">≥ 99,0% dhe &lt; 99,5%</w:t>
            </w:r>
          </w:p>
        </w:tc>
        <w:tc>
          <w:tcPr/>
          <w:p>
            <w:pPr>
              <w:pStyle w:val="Compact"/>
              <w:jc w:val="left"/>
            </w:pPr>
            <w:r>
              <w:t xml:space="preserve">5% e tarifës mujore</w:t>
            </w:r>
          </w:p>
        </w:tc>
      </w:tr>
      <w:tr>
        <w:tc>
          <w:tcPr/>
          <w:p>
            <w:pPr>
              <w:pStyle w:val="Compact"/>
              <w:jc w:val="left"/>
            </w:pPr>
            <w:r>
              <w:t xml:space="preserve">≥ 95,0% dhe &lt; 99,0%</w:t>
            </w:r>
          </w:p>
        </w:tc>
        <w:tc>
          <w:tcPr/>
          <w:p>
            <w:pPr>
              <w:pStyle w:val="Compact"/>
              <w:jc w:val="left"/>
            </w:pPr>
            <w:r>
              <w:t xml:space="preserve">10% e tarifës mujore</w:t>
            </w:r>
          </w:p>
        </w:tc>
      </w:tr>
      <w:tr>
        <w:tc>
          <w:tcPr/>
          <w:p>
            <w:pPr>
              <w:pStyle w:val="Compact"/>
              <w:jc w:val="left"/>
            </w:pPr>
            <w:r>
              <w:t xml:space="preserve">&lt; 95,0%</w:t>
            </w:r>
          </w:p>
        </w:tc>
        <w:tc>
          <w:tcPr/>
          <w:p>
            <w:pPr>
              <w:pStyle w:val="Compact"/>
              <w:jc w:val="left"/>
            </w:pPr>
            <w:r>
              <w:t xml:space="preserve">25% e tarifës mujore</w:t>
            </w:r>
          </w:p>
        </w:tc>
      </w:tr>
    </w:tbl>
    <w:p>
      <w:pPr>
        <w:pStyle w:val="BodyText"/>
      </w:pPr>
      <w:r>
        <w:t xml:space="preserve">Për abonimet vjetore,</w:t>
      </w:r>
      <w:r>
        <w:t xml:space="preserve"> </w:t>
      </w:r>
      <w:r>
        <w:t xml:space="preserve">“</w:t>
      </w:r>
      <w:r>
        <w:t xml:space="preserve">tarifa mujore</w:t>
      </w:r>
      <w:r>
        <w:t xml:space="preserve">”</w:t>
      </w:r>
      <w:r>
        <w:t xml:space="preserve"> </w:t>
      </w:r>
      <w:r>
        <w:t xml:space="preserve">llogaritet si një e dymbëdhjeta (1/12) e tarifës vjetore.</w:t>
      </w:r>
    </w:p>
    <w:p>
      <w:pPr>
        <w:pStyle w:val="BodyText"/>
      </w:pPr>
      <w:r>
        <w:t xml:space="preserve">Kreditimi kërkohet me shkrim brenda tridhjetë (30) ditëve nga fundi i muajit përkatës, aplikohet në faturën e ardhshme ose, në mungesë të saj brenda afatit, në rinovimin e ardhshëm, dhe përbën mjetin e vetëm dhe ekskluziv të Klientit sipas Nenit 8.3.</w:t>
      </w:r>
    </w:p>
    <w:bookmarkEnd w:id="83"/>
    <w:bookmarkStart w:id="84" w:name="a5.4-mirëmbajtja-e-planifikuar"/>
    <w:p>
      <w:pPr>
        <w:pStyle w:val="Heading2"/>
      </w:pPr>
      <w:r>
        <w:t xml:space="preserve">A5.4 — Mirëmbajtja e planifikuar</w:t>
      </w:r>
    </w:p>
    <w:p>
      <w:pPr>
        <w:pStyle w:val="FirstParagraph"/>
      </w:pPr>
      <w:r>
        <w:t xml:space="preserve">Dritarja e preferuar: e diel, 22:00–02:00. Njoftim paraprak: 48 orë. Ndërhyrjet urgjente të sigurisë mund të kryhen pa njoftim paraprak, me njoftim pasues.</w:t>
      </w:r>
    </w:p>
    <w:bookmarkEnd w:id="84"/>
    <w:bookmarkStart w:id="85" w:name="a5.5-objektivat-e-rikuperimit"/>
    <w:p>
      <w:pPr>
        <w:pStyle w:val="Heading2"/>
      </w:pPr>
      <w:r>
        <w:t xml:space="preserve">A5.5 — Objektivat e rikuperimit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Treguesi</w:t>
            </w:r>
          </w:p>
        </w:tc>
        <w:tc>
          <w:tcPr/>
          <w:p>
            <w:pPr>
              <w:pStyle w:val="Compact"/>
              <w:jc w:val="left"/>
            </w:pPr>
            <w:r>
              <w:t xml:space="preserve">Objektivi</w:t>
            </w:r>
          </w:p>
        </w:tc>
      </w:tr>
      <w:tr>
        <w:tc>
          <w:tcPr/>
          <w:p>
            <w:pPr>
              <w:pStyle w:val="Compact"/>
              <w:jc w:val="left"/>
            </w:pPr>
            <w:r>
              <w:t xml:space="preserve">RPO (humbja maksimale e pranueshme e të dhënave)</w:t>
            </w:r>
          </w:p>
        </w:tc>
        <w:tc>
          <w:tcPr/>
          <w:p>
            <w:pPr>
              <w:pStyle w:val="Compact"/>
              <w:jc w:val="left"/>
            </w:pPr>
            <w:r>
              <w:t xml:space="preserve">______ orë</w:t>
            </w:r>
          </w:p>
        </w:tc>
      </w:tr>
      <w:tr>
        <w:tc>
          <w:tcPr/>
          <w:p>
            <w:pPr>
              <w:pStyle w:val="Compact"/>
              <w:jc w:val="left"/>
            </w:pPr>
            <w:r>
              <w:t xml:space="preserve">RTO (koha maksimale e rikuperimit)</w:t>
            </w:r>
          </w:p>
        </w:tc>
        <w:tc>
          <w:tcPr/>
          <w:p>
            <w:pPr>
              <w:pStyle w:val="Compact"/>
              <w:jc w:val="left"/>
            </w:pPr>
            <w:r>
              <w:t xml:space="preserve">______ orë</w:t>
            </w:r>
          </w:p>
        </w:tc>
      </w:tr>
    </w:tbl>
    <w:p>
      <w:r>
        <w:pict>
          <v:rect style="width:0;height:1.5pt" o:hralign="center" o:hrstd="t" o:hr="t"/>
        </w:pict>
      </w:r>
    </w:p>
    <w:p>
      <w:pPr>
        <w:pStyle w:val="BlockText"/>
      </w:pPr>
      <w:r>
        <w:rPr>
          <w:bCs/>
          <w:b/>
        </w:rPr>
        <w:t xml:space="preserve">Shënim ligjor.</w:t>
      </w:r>
      <w:r>
        <w:t xml:space="preserve"> </w:t>
      </w:r>
      <w:r>
        <w:t xml:space="preserve">Ky dokument është hartuar si model kontraktual i bazuar në legjislacionin e Republikës së Kosovës në fuqi në gusht 2026. Para përdorimit tregtar, rekomandohet fuqishëm rishikimi dhe miratimi nga një avokat i licencuar në Republikën e Kosovës, si dhe plotësimi i të gjitha fushave të zbrazëta dhe i aneksave sipas gjendjes faktike të Ofruesit dhe Klientit.</w:t>
      </w:r>
    </w:p>
    <w:bookmarkEnd w:id="85"/>
    <w:bookmarkEnd w:id="86"/>
    <w:sectPr>
      <w:footerReference w:type="default" r:id="rId9"/>
      <w:pgSz w:w="11906" w:h="16838"/>
      <w:pgMar w:top="1418" w:right="1276" w:bottom="1418" w:left="1418" w:header="709" w:footer="709"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4" w:space="4" w:color="B4C6E7"/>
      </w:pBdr>
      <w:spacing w:before="0" w:after="0"/>
      <w:jc w:val="center"/>
    </w:pPr>
    <w:r>
      <w:rPr>
        <w:rFonts w:ascii="Cambria" w:hAnsi="Cambria"/>
        <w:color w:val="595959"/>
        <w:sz w:val="16"/>
        <w:szCs w:val="16"/>
      </w:rPr>
      <w:t xml:space="preserve">Kontratë Kornizë — Paga PRO   |   Faqe </w:t>
    </w:r>
    <w:r>
      <w:rPr>
        <w:rFonts w:ascii="Cambria" w:hAnsi="Cambria"/>
        <w:color w:val="595959"/>
        <w:sz w:val="16"/>
        <w:szCs w:val="16"/>
      </w:rPr>
      <w:fldChar w:fldCharType="begin"/>
    </w:r>
    <w:r>
      <w:rPr>
        <w:rFonts w:ascii="Cambria" w:hAnsi="Cambria"/>
        <w:color w:val="595959"/>
        <w:sz w:val="16"/>
        <w:szCs w:val="16"/>
      </w:rPr>
      <w:instrText xml:space="preserve"> PAGE </w:instrText>
    </w:r>
    <w:r>
      <w:rPr>
        <w:rFonts w:ascii="Cambria" w:hAnsi="Cambria"/>
        <w:color w:val="595959"/>
        <w:sz w:val="16"/>
        <w:szCs w:val="16"/>
      </w:rPr>
      <w:fldChar w:fldCharType="separate"/>
    </w:r>
    <w:r>
      <w:rPr>
        <w:rFonts w:ascii="Cambria" w:hAnsi="Cambria"/>
        <w:color w:val="595959"/>
        <w:sz w:val="16"/>
        <w:szCs w:val="16"/>
      </w:rPr>
      <w:t>1</w:t>
    </w:r>
    <w:r>
      <w:rPr>
        <w:rFonts w:ascii="Cambria" w:hAnsi="Cambria"/>
        <w:color w:val="595959"/>
        <w:sz w:val="16"/>
        <w:szCs w:val="16"/>
      </w:rPr>
      <w:fldChar w:fldCharType="end"/>
    </w:r>
    <w:r>
      <w:rPr>
        <w:rFonts w:ascii="Cambria" w:hAnsi="Cambria"/>
        <w:color w:val="595959"/>
        <w:sz w:val="16"/>
        <w:szCs w:val="16"/>
      </w:rPr>
      <w:t xml:space="preserve"> nga </w:t>
    </w:r>
    <w:r>
      <w:rPr>
        <w:rFonts w:ascii="Cambria" w:hAnsi="Cambria"/>
        <w:color w:val="595959"/>
        <w:sz w:val="16"/>
        <w:szCs w:val="16"/>
      </w:rPr>
      <w:fldChar w:fldCharType="begin"/>
    </w:r>
    <w:r>
      <w:rPr>
        <w:rFonts w:ascii="Cambria" w:hAnsi="Cambria"/>
        <w:color w:val="595959"/>
        <w:sz w:val="16"/>
        <w:szCs w:val="16"/>
      </w:rPr>
      <w:instrText xml:space="preserve"> NUMPAGES </w:instrText>
    </w:r>
    <w:r>
      <w:rPr>
        <w:rFonts w:ascii="Cambria" w:hAnsi="Cambria"/>
        <w:color w:val="595959"/>
        <w:sz w:val="16"/>
        <w:szCs w:val="16"/>
      </w:rPr>
      <w:fldChar w:fldCharType="separate"/>
    </w:r>
    <w:r>
      <w:rPr>
        <w:rFonts w:ascii="Cambria" w:hAnsi="Cambria"/>
        <w:color w:val="595959"/>
        <w:sz w:val="16"/>
        <w:szCs w:val="16"/>
      </w:rPr>
      <w:t>1</w:t>
    </w:r>
    <w:r>
      <w:rPr>
        <w:rFonts w:ascii="Cambria" w:hAnsi="Cambria"/>
        <w:color w:val="595959"/>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sq"/>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jc w:val="both"/>
    </w:pPr>
    <w:rPr>
      <w:rFonts w:ascii="Cambria" w:cs="Times New Roman" w:eastAsia="Cambria" w:hAnsi="Cambria"/>
      <w:sz w:val="21"/>
      <w:szCs w:val="21"/>
      <w:lang w:val="sq"/>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qFormat/>
    <w:pPr>
      <w:pBdr>
        <w:bottom w:color="1F3864" w:space="6" w:sz="12" w:val="single"/>
      </w:pBdr>
      <w:spacing w:after="160" w:before="0"/>
      <w:jc w:val="center"/>
    </w:pPr>
    <w:rPr>
      <w:rFonts w:ascii="Cambria" w:hAnsi="Cambria"/>
      <w:b/>
      <w:caps/>
      <w:color w:val="1F3864"/>
      <w:sz w:val="32"/>
      <w:szCs w:val="32"/>
    </w:rPr>
  </w:style>
  <w:style w:styleId="Subtitle" w:type="paragraph">
    <w:name w:val="Subtitle"/>
    <w:basedOn w:val="Normal"/>
    <w:next w:val="Normal"/>
    <w:qFormat/>
    <w:pPr>
      <w:spacing w:after="240" w:before="60"/>
      <w:jc w:val="center"/>
    </w:pPr>
    <w:rPr>
      <w:rFonts w:ascii="Cambria" w:hAnsi="Cambria"/>
      <w:i/>
      <w:color w:val="44546A"/>
      <w:sz w:val="22"/>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qFormat/>
    <w:pPr>
      <w:keepNext/>
      <w:pBdr>
        <w:top w:color="1F3864" w:space="4" w:sz="6" w:val="single"/>
        <w:bottom w:color="1F3864" w:space="4" w:sz="6" w:val="single"/>
      </w:pBdr>
      <w:spacing w:after="200" w:before="400"/>
      <w:jc w:val="center"/>
      <w:outlineLvl w:val="0"/>
    </w:pPr>
    <w:rPr>
      <w:rFonts w:ascii="Cambria" w:hAnsi="Cambria"/>
      <w:b/>
      <w:caps/>
      <w:color w:val="1F3864"/>
      <w:sz w:val="24"/>
      <w:szCs w:val="24"/>
    </w:rPr>
  </w:style>
  <w:style w:styleId="Heading2" w:type="paragraph">
    <w:name w:val="heading 2"/>
    <w:basedOn w:val="Normal"/>
    <w:next w:val="Normal"/>
    <w:qFormat/>
    <w:pPr>
      <w:keepNext/>
      <w:pBdr>
        <w:bottom w:color="B4C6E7" w:space="3" w:sz="4" w:val="single"/>
      </w:pBdr>
      <w:spacing w:after="120" w:before="320"/>
      <w:jc w:val="left"/>
      <w:outlineLvl w:val="1"/>
    </w:pPr>
    <w:rPr>
      <w:rFonts w:ascii="Cambria" w:hAnsi="Cambria"/>
      <w:b/>
      <w:color w:val="1F3864"/>
      <w:sz w:val="24"/>
      <w:szCs w:val="24"/>
    </w:rPr>
  </w:style>
  <w:style w:styleId="Heading3" w:type="paragraph">
    <w:name w:val="heading 3"/>
    <w:basedOn w:val="Normal"/>
    <w:next w:val="Normal"/>
    <w:qFormat/>
    <w:pPr>
      <w:keepNext/>
      <w:spacing w:after="80" w:before="220"/>
      <w:jc w:val="left"/>
      <w:outlineLvl w:val="2"/>
    </w:pPr>
    <w:rPr>
      <w:rFonts w:ascii="Cambria" w:hAnsi="Cambria"/>
      <w:b/>
      <w:color w:val="2E5496"/>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pPr>
      <w:pBdr>
        <w:left w:color="1F3864" w:space="8" w:sz="18" w:val="single"/>
      </w:pBdr>
      <w:shd w:color="auto" w:fill="EEF2F8" w:val="clear"/>
      <w:spacing w:after="160" w:before="160"/>
      <w:ind w:left="200" w:right="200"/>
    </w:pPr>
    <w:rPr>
      <w:i/>
      <w:color w:val="1F3864"/>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tblPr>
      <w:tblBorders>
        <w:top w:color="8EAADB" w:space="0" w:sz="4" w:val="single"/>
        <w:start w:color="8EAADB" w:space="0" w:sz="4" w:val="single"/>
        <w:bottom w:color="8EAADB" w:space="0" w:sz="4" w:val="single"/>
        <w:end w:color="8EAADB" w:space="0" w:sz="4" w:val="single"/>
        <w:insideH w:color="C5D3EC" w:space="0" w:sz="4" w:val="single"/>
        <w:insideV w:color="C5D3EC" w:space="0" w:sz="4" w:val="single"/>
      </w:tblBorders>
      <w:tblCellMar>
        <w:top w:type="dxa" w:w="60"/>
        <w:start w:type="dxa" w:w="90"/>
        <w:bottom w:type="dxa" w:w="60"/>
        <w:end w:type="dxa" w:w="90"/>
      </w:tblCellMar>
    </w:tblPr>
    <w:tblStylePr w:type="firstRow">
      <w:rPr>
        <w:b/>
        <w:color w:val="FFFFFF"/>
      </w:rPr>
      <w:tcPr>
        <w:shd w:color="auto" w:fill="1F3864"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2026-08-02T14:01:38Z</dcterms:created>
  <dcterms:modified xsi:type="dcterms:W3CDTF">2026-08-02T14:01:38Z</dcterms:modified>
</cp:coreProperties>
</file>

<file path=docProps/custom.xml><?xml version="1.0" encoding="utf-8"?>
<Properties xmlns="http://schemas.openxmlformats.org/officeDocument/2006/custom-properties" xmlns:vt="http://schemas.openxmlformats.org/officeDocument/2006/docPropsVTypes"/>
</file>