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nenit 32 dhe nenit 37, paragrafi 4 të Ligjit të Punës Nr. 03/L-212, si dhe Aktit të Brendshëm të Punëdhënësit dhe Kontratës së Punës, punëdhënësi nxjerr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E N D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shfrytëzimin e pushimit vjetor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Të punësuarit {{employee_name}} {{employee_last_name}}, me numër personal {{employee_personal_number}}, në pozitën {{employee_position}}, në njësinë/departamentin {{employee_department}}, i lejohet shfrytëzimi i pushimit vjetor të paguar për vitin kalendarik.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Pushimi vjetor do të shfrytëzohet nga data {{leave_start_date}} deri më {{leave_end_date}}, në kohëzgjatje prej {{leave_working_days}} ditë pune.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III.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Gjatë kohës së shfrytëzimit të pushimit vjetor, i punësuari ka të drejtë në kompensimin e pagës, në pajtim me Ligjin e Punës dhe Kontratën e Punës.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IV.</w:t>
      </w:r>
    </w:p>
    <w:p>
      <w:pPr>
        <w:spacing w:after="1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Festat zyrtare që bien në ditë pune gjatë kësaj periudhe nuk llogariten si ditë të pushimit vjetor. Nëse i punësuari sëmuret gjatë shfrytëzimit të pushimit vjetor, koha e pushimit të lejuar mjekësor nuk llogaritet në pushimin vjetor (neni 34 i Ligjit të Punës Nr. 03/L-212).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2"/>
          <w:szCs w:val="22"/>
        </w:rPr>
        <w:t xml:space="preserve">V.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Ky vendim hyn në fuqi ditën e nxjerrjes dhe i dorëzohet të punësuarit së paku pesë (5) ditë para fillimit të shfrytëzimit të pushimit vjetor, në pajtim me nenin 37, paragrafi 4 të Ligjit të Punës Nr. 03/L-212.</w:t>
      </w:r>
    </w:p>
    <w:p>
      <w:pPr>
        <w:spacing w:after="320"/>
      </w:pPr>
      <w:r>
        <w:rPr>
          <w:rFonts w:ascii="Liberation Serif" w:cs="Liberation Serif" w:eastAsia="Liberation Serif" w:hAnsi="Liberation Serif"/>
          <w:b/>
          <w:bCs/>
          <w:i/>
          <w:iCs/>
          <w:sz w:val="22"/>
          <w:szCs w:val="22"/>
        </w:rPr>
        <w:t xml:space="preserve">Këshillë juridike: </w:t>
      </w:r>
      <w:r>
        <w:rPr>
          <w:rFonts w:ascii="Liberation Serif" w:cs="Liberation Serif" w:eastAsia="Liberation Serif" w:hAnsi="Liberation Serif"/>
          <w:i/>
          <w:iCs/>
          <w:sz w:val="20"/>
          <w:szCs w:val="20"/>
        </w:rPr>
        <w:t xml:space="preserve">Kundër këtij vendimi, i punësuari ka të drejtë ankese te punëdhënësi brenda afatit të përcaktuar me Aktin e Brendshëm dhe Kontratën e Punës.</w:t>
      </w:r>
    </w:p>
    <w:p>
      <w:pPr>
        <w:spacing w:after="6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  <w:r>
        <w:rPr>
          <w:rFonts w:ascii="Liberation Serif" w:cs="Liberation Serif" w:eastAsia="Liberation Serif" w:hAnsi="Liberation Serif"/>
        </w:rPr>
        <w:t xml:space="preserve">			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3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I punësuari (pranova vendimin):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Data: ____ /____ /________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Vendim për shfrytëzimin e pushimit vjetor</dc:title>
  <dc:creator>PagaPRO</dc:creator>
  <cp:lastModifiedBy>Un-named</cp:lastModifiedBy>
  <cp:revision>1</cp:revision>
  <dcterms:created xsi:type="dcterms:W3CDTF">2026-07-09T16:14:55.114Z</dcterms:created>
  <dcterms:modified xsi:type="dcterms:W3CDTF">2026-07-09T16:14:55.115Z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