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22FA" w14:textId="77777777" w:rsidR="00327AD3" w:rsidRDefault="00327AD3"/>
    <w:p w14:paraId="1A809216" w14:textId="77777777" w:rsidR="00327AD3" w:rsidRDefault="00000000">
      <w:pPr>
        <w:jc w:val="center"/>
      </w:pPr>
      <w:r>
        <w:rPr>
          <w:b/>
          <w:color w:val="1F3864"/>
          <w:sz w:val="32"/>
        </w:rPr>
        <w:t>PROFESSIONAL SERVICES AGREEMENT</w:t>
      </w:r>
    </w:p>
    <w:p w14:paraId="5171117C" w14:textId="77777777" w:rsidR="00327AD3" w:rsidRDefault="00000000">
      <w:pPr>
        <w:jc w:val="center"/>
      </w:pPr>
      <w:r>
        <w:rPr>
          <w:i/>
          <w:color w:val="444444"/>
          <w:sz w:val="24"/>
        </w:rPr>
        <w:t>Management Consulting Engagement</w:t>
      </w:r>
    </w:p>
    <w:p w14:paraId="79B8A46D" w14:textId="77777777" w:rsidR="00327AD3" w:rsidRDefault="00000000">
      <w:pPr>
        <w:jc w:val="center"/>
      </w:pPr>
      <w:r>
        <w:t>Effective Date: March 25, 2026</w:t>
      </w:r>
    </w:p>
    <w:p w14:paraId="3B88D665" w14:textId="77777777" w:rsidR="00327AD3" w:rsidRDefault="00000000">
      <w:pPr>
        <w:jc w:val="center"/>
      </w:pPr>
      <w:r>
        <w:rPr>
          <w:color w:val="444444"/>
        </w:rPr>
        <w:t>Between: Quantum Retail Holdings  ↔  StratEdge Consulting Partners LLP</w:t>
      </w:r>
    </w:p>
    <w:p w14:paraId="0B95B0A5" w14:textId="77777777" w:rsidR="00327AD3" w:rsidRDefault="00327AD3"/>
    <w:p w14:paraId="08A65627" w14:textId="77777777" w:rsidR="00327AD3" w:rsidRDefault="00327AD3">
      <w:pPr>
        <w:pBdr>
          <w:bottom w:val="single" w:sz="6" w:space="1" w:color="999999"/>
        </w:pBdr>
      </w:pPr>
    </w:p>
    <w:p w14:paraId="7043D016" w14:textId="02E04421" w:rsidR="00327AD3" w:rsidRDefault="00547AE0">
      <w:r>
        <w:t>New</w:t>
      </w:r>
    </w:p>
    <w:p w14:paraId="7492C57D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1. Scope of Services</w:t>
      </w:r>
    </w:p>
    <w:p w14:paraId="3DAF4306" w14:textId="77777777" w:rsidR="00327AD3" w:rsidRDefault="00000000">
      <w:pPr>
        <w:spacing w:after="80"/>
        <w:rPr>
          <w:color w:val="C00000"/>
        </w:rPr>
      </w:pPr>
      <w:r>
        <w:rPr>
          <w:color w:val="C00000"/>
        </w:rPr>
        <w:t>⚠ VAGUE SCOPE: Scope may be modified at Consultant's reasonable discretion based on evolving project needs — without Customer consent.</w:t>
      </w:r>
    </w:p>
    <w:p w14:paraId="06DE97AF" w14:textId="73C1C48D" w:rsidR="008503FF" w:rsidRDefault="008503FF">
      <w:pPr>
        <w:spacing w:after="80"/>
      </w:pPr>
    </w:p>
    <w:p w14:paraId="07AB0557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2. Fees</w:t>
      </w:r>
    </w:p>
    <w:p w14:paraId="46F88B02" w14:textId="77777777" w:rsidR="00327AD3" w:rsidRDefault="00000000">
      <w:pPr>
        <w:spacing w:after="80"/>
      </w:pPr>
      <w:r>
        <w:rPr>
          <w:color w:val="C00000"/>
        </w:rPr>
        <w:t>2.1 Hourly Rates. Consultant may adjust rates annually by up to fifteen percent (15%) without Customer consent.</w:t>
      </w:r>
    </w:p>
    <w:p w14:paraId="47F9B29A" w14:textId="77777777" w:rsidR="00327AD3" w:rsidRDefault="00000000">
      <w:pPr>
        <w:spacing w:after="80"/>
      </w:pPr>
      <w:r>
        <w:rPr>
          <w:color w:val="C00000"/>
        </w:rPr>
        <w:t>2.2 Expenses. Customer shall reimburse all reasonable expenses. Consultant shall not be required to obtain pre-approval for individual expenses under $2,500.</w:t>
      </w:r>
    </w:p>
    <w:p w14:paraId="5145A6D8" w14:textId="77777777" w:rsidR="00327AD3" w:rsidRDefault="00000000">
      <w:pPr>
        <w:spacing w:after="80"/>
      </w:pPr>
      <w:r>
        <w:t>2.3 Late Payment. Invoiced bi-weekly. Payment due within fifteen (15) days. Late payments accrue interest at 2% per month.</w:t>
      </w:r>
    </w:p>
    <w:p w14:paraId="781E91B2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3. Deliverables and Acceptance</w:t>
      </w:r>
    </w:p>
    <w:p w14:paraId="47C842B7" w14:textId="77777777" w:rsidR="00327AD3" w:rsidRDefault="00000000">
      <w:pPr>
        <w:spacing w:after="80"/>
      </w:pPr>
      <w:r>
        <w:t>3.1 Delivery dates are estimates only and Consultant shall not be liable for delays.</w:t>
      </w:r>
    </w:p>
    <w:p w14:paraId="68B43348" w14:textId="77777777" w:rsidR="00327AD3" w:rsidRDefault="00000000">
      <w:pPr>
        <w:spacing w:after="80"/>
      </w:pPr>
      <w:r>
        <w:rPr>
          <w:b/>
          <w:color w:val="C00000"/>
        </w:rPr>
        <w:t>⚠ DEEMED ACCEPTANCE: FAILURE TO RESPOND WITHIN FIVE (5) DAYS SHALL CONSTITUTE DEEMED ACCEPTANCE OF ALL DELIVERABLES.</w:t>
      </w:r>
    </w:p>
    <w:p w14:paraId="642031F6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4. Intellectual Property — FLAGGED FOR LEGAL REVIEW</w:t>
      </w:r>
    </w:p>
    <w:p w14:paraId="42299E48" w14:textId="77777777" w:rsidR="00327AD3" w:rsidRDefault="00000000">
      <w:pPr>
        <w:spacing w:after="80"/>
      </w:pPr>
      <w:r>
        <w:rPr>
          <w:b/>
          <w:color w:val="C00000"/>
        </w:rPr>
        <w:t>⚠ IP RETAINED BY CONSULTANT: All deliverables, analyses, frameworks, methodologies, tools, and work product created by Consultant shall remain the EXCLUSIVE intellectual property of Consultant — even if incorporating Customer's Confidential Information. LICENSE TERMINATES IMMEDIATELY UPON TERMINATION OF THIS AGREEMENT.</w:t>
      </w:r>
    </w:p>
    <w:p w14:paraId="51AA09EB" w14:textId="77777777" w:rsidR="00327AD3" w:rsidRDefault="00000000">
      <w:pPr>
        <w:spacing w:after="80"/>
      </w:pPr>
      <w:r>
        <w:rPr>
          <w:color w:val="C00000"/>
        </w:rPr>
        <w:t>4.3 Consultant may use anonymized learnings from Customer's engagement to develop offerings for other clients.</w:t>
      </w:r>
    </w:p>
    <w:p w14:paraId="034B6D7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lastRenderedPageBreak/>
        <w:t>5. Confidentiality</w:t>
      </w:r>
    </w:p>
    <w:p w14:paraId="7FB23F32" w14:textId="77777777" w:rsidR="00327AD3" w:rsidRDefault="00000000">
      <w:pPr>
        <w:spacing w:after="80"/>
      </w:pPr>
      <w:r>
        <w:rPr>
          <w:b/>
          <w:color w:val="C00000"/>
        </w:rPr>
        <w:t>⚠ SHORT SURVIVAL: Consultant's confidentiality obligations apply only DURING the term. POST-TERM, CONSULTANT MAY USE OR DISCLOSE ANY INFORMATION THAT IS NOT A STATUTORY TRADE SECRET.</w:t>
      </w:r>
    </w:p>
    <w:p w14:paraId="742F5561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6. Representations</w:t>
      </w:r>
    </w:p>
    <w:p w14:paraId="56EB5084" w14:textId="77777777" w:rsidR="00327AD3" w:rsidRDefault="00000000">
      <w:pPr>
        <w:spacing w:after="80"/>
      </w:pPr>
      <w:r>
        <w:rPr>
          <w:b/>
        </w:rPr>
        <w:t>CONSULTANT MAKES NO REPRESENTATION AS TO THE ACCURACY OR COMMERCIAL UTILITY OF ANY DELIVERABLE. ALL RECOMMENDATIONS ARE ADVISORY ONLY. IMPLEMENTATION RISK LIES SOLELY WITH CUSTOMER.</w:t>
      </w:r>
    </w:p>
    <w:p w14:paraId="1C7CAF8C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7. Indemnification — Asymmetric</w:t>
      </w:r>
    </w:p>
    <w:p w14:paraId="76674E4B" w14:textId="77777777" w:rsidR="00327AD3" w:rsidRDefault="00000000">
      <w:pPr>
        <w:spacing w:after="80"/>
      </w:pPr>
      <w:r>
        <w:rPr>
          <w:b/>
          <w:color w:val="C00000"/>
        </w:rPr>
        <w:t>⚠ ONE-SIDED INDEMNIFICATION: Customer provides full indemnification covering use of recommendations, decisions made based on advice, and any third-party claims related to the engagement subject matter.</w:t>
      </w:r>
    </w:p>
    <w:p w14:paraId="74339B8A" w14:textId="77777777" w:rsidR="00327AD3" w:rsidRDefault="00000000">
      <w:pPr>
        <w:spacing w:after="80"/>
      </w:pPr>
      <w:r>
        <w:rPr>
          <w:color w:val="C00000"/>
        </w:rPr>
        <w:t>Consultant's indemnification obligations are limited to willful misconduct only and capped at fees paid in the preceding thirty (30) days.</w:t>
      </w:r>
    </w:p>
    <w:p w14:paraId="7AE2E68E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8. Limitation of Liability</w:t>
      </w:r>
    </w:p>
    <w:p w14:paraId="6DB3C54D" w14:textId="77777777" w:rsidR="00327AD3" w:rsidRDefault="00000000">
      <w:pPr>
        <w:spacing w:after="80"/>
      </w:pPr>
      <w:r>
        <w:rPr>
          <w:b/>
          <w:color w:val="C00000"/>
        </w:rPr>
        <w:t>⚠ EXTREMELY LOW CAP: CONSULTANT'S AGGREGATE LIABILITY SHALL NOT EXCEED THE LESSER OF: (A) FEES PAID IN THE PRECEDING 30 DAYS; OR (B) $10,000.</w:t>
      </w:r>
    </w:p>
    <w:p w14:paraId="24A51495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9. Non-Solicitation</w:t>
      </w:r>
    </w:p>
    <w:p w14:paraId="6C136A79" w14:textId="77777777" w:rsidR="00327AD3" w:rsidRDefault="00000000">
      <w:pPr>
        <w:spacing w:after="80"/>
      </w:pPr>
      <w:r>
        <w:rPr>
          <w:color w:val="C00000"/>
        </w:rPr>
        <w:t>During term and for 24 months thereafter, Customer shall not solicit Consultant personnel. Violation results in LIQUIDATED DAMAGES of $250,000 per individual solicited.</w:t>
      </w:r>
    </w:p>
    <w:p w14:paraId="3FE895B3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10. Termination</w:t>
      </w:r>
    </w:p>
    <w:p w14:paraId="58C3C386" w14:textId="77777777" w:rsidR="00327AD3" w:rsidRDefault="00000000">
      <w:pPr>
        <w:spacing w:after="80"/>
      </w:pPr>
      <w:r>
        <w:rPr>
          <w:b/>
          <w:color w:val="C00000"/>
        </w:rPr>
        <w:t>⚠ TERMINATION FEE: For Convenience termination requires 30 days' notice PLUS a termination fee equal to 50% of remaining fees under the applicable Project Charter.</w:t>
      </w:r>
    </w:p>
    <w:p w14:paraId="6930E12A" w14:textId="77777777" w:rsidR="00327AD3" w:rsidRDefault="00000000">
      <w:pPr>
        <w:spacing w:before="280" w:after="80"/>
      </w:pPr>
      <w:r>
        <w:rPr>
          <w:b/>
          <w:color w:val="1F3864"/>
          <w:sz w:val="24"/>
        </w:rPr>
        <w:t>11. Governing Law</w:t>
      </w:r>
    </w:p>
    <w:p w14:paraId="133B0145" w14:textId="77777777" w:rsidR="00327AD3" w:rsidRDefault="00000000">
      <w:pPr>
        <w:spacing w:after="80"/>
      </w:pPr>
      <w:r>
        <w:rPr>
          <w:color w:val="C00000"/>
        </w:rPr>
        <w:t>Governed by the laws of England and Wales. Disputes submitted to LCIA arbitration in London.</w:t>
      </w:r>
    </w:p>
    <w:p w14:paraId="59AC74F4" w14:textId="77777777" w:rsidR="00327AD3" w:rsidRDefault="00327AD3"/>
    <w:p w14:paraId="480F9A05" w14:textId="77777777" w:rsidR="00327AD3" w:rsidRDefault="00000000">
      <w:r>
        <w:rPr>
          <w:b/>
        </w:rPr>
        <w:t>IN WITNESS WHEREOF, the parties have executed this Agreement as of the Effective Date.</w:t>
      </w:r>
    </w:p>
    <w:p w14:paraId="19948271" w14:textId="77777777" w:rsidR="00327AD3" w:rsidRDefault="00327AD3"/>
    <w:tbl>
      <w:tblPr>
        <w:tblW w:w="0" w:type="auto"/>
        <w:tblLook w:val="04A0" w:firstRow="1" w:lastRow="0" w:firstColumn="1" w:lastColumn="0" w:noHBand="0" w:noVBand="1"/>
      </w:tblPr>
      <w:tblGrid>
        <w:gridCol w:w="3436"/>
        <w:gridCol w:w="1768"/>
        <w:gridCol w:w="3436"/>
      </w:tblGrid>
      <w:tr w:rsidR="00327AD3" w14:paraId="20837078" w14:textId="77777777">
        <w:tc>
          <w:tcPr>
            <w:tcW w:w="4032" w:type="dxa"/>
          </w:tcPr>
          <w:p w14:paraId="715CED9C" w14:textId="77777777" w:rsidR="00327AD3" w:rsidRDefault="00000000">
            <w:r>
              <w:rPr>
                <w:b/>
                <w:sz w:val="20"/>
              </w:rPr>
              <w:t>QUANTUM RETAIL HOLDINGS</w:t>
            </w:r>
          </w:p>
        </w:tc>
        <w:tc>
          <w:tcPr>
            <w:tcW w:w="2880" w:type="dxa"/>
          </w:tcPr>
          <w:p w14:paraId="15145B3B" w14:textId="77777777" w:rsidR="00327AD3" w:rsidRDefault="00327AD3"/>
        </w:tc>
        <w:tc>
          <w:tcPr>
            <w:tcW w:w="4032" w:type="dxa"/>
          </w:tcPr>
          <w:p w14:paraId="48FCACF1" w14:textId="77777777" w:rsidR="00327AD3" w:rsidRDefault="00000000">
            <w:r>
              <w:rPr>
                <w:b/>
                <w:sz w:val="20"/>
              </w:rPr>
              <w:t>STREDGE CONSULTING PARTNERS LLP</w:t>
            </w:r>
          </w:p>
        </w:tc>
      </w:tr>
      <w:tr w:rsidR="00327AD3" w14:paraId="0B11EFF3" w14:textId="77777777">
        <w:tc>
          <w:tcPr>
            <w:tcW w:w="4032" w:type="dxa"/>
          </w:tcPr>
          <w:p w14:paraId="6D7E7A0B" w14:textId="77777777" w:rsidR="00327AD3" w:rsidRDefault="00327AD3"/>
        </w:tc>
        <w:tc>
          <w:tcPr>
            <w:tcW w:w="2880" w:type="dxa"/>
          </w:tcPr>
          <w:p w14:paraId="281CD8A8" w14:textId="77777777" w:rsidR="00327AD3" w:rsidRDefault="00327AD3"/>
        </w:tc>
        <w:tc>
          <w:tcPr>
            <w:tcW w:w="4032" w:type="dxa"/>
          </w:tcPr>
          <w:p w14:paraId="75B064A4" w14:textId="77777777" w:rsidR="00327AD3" w:rsidRDefault="00327AD3"/>
        </w:tc>
      </w:tr>
      <w:tr w:rsidR="00327AD3" w14:paraId="4DAFB433" w14:textId="77777777">
        <w:tc>
          <w:tcPr>
            <w:tcW w:w="4032" w:type="dxa"/>
            <w:tcBorders>
              <w:top w:val="single" w:sz="4" w:space="0" w:color="000000"/>
            </w:tcBorders>
          </w:tcPr>
          <w:p w14:paraId="4A2F073B" w14:textId="77777777" w:rsidR="00327AD3" w:rsidRDefault="00327AD3"/>
        </w:tc>
        <w:tc>
          <w:tcPr>
            <w:tcW w:w="2880" w:type="dxa"/>
          </w:tcPr>
          <w:p w14:paraId="093546FE" w14:textId="77777777" w:rsidR="00327AD3" w:rsidRDefault="00327AD3"/>
        </w:tc>
        <w:tc>
          <w:tcPr>
            <w:tcW w:w="4032" w:type="dxa"/>
            <w:tcBorders>
              <w:top w:val="single" w:sz="4" w:space="0" w:color="000000"/>
            </w:tcBorders>
          </w:tcPr>
          <w:p w14:paraId="5BF1289B" w14:textId="77777777" w:rsidR="00327AD3" w:rsidRDefault="00327AD3"/>
        </w:tc>
      </w:tr>
      <w:tr w:rsidR="00327AD3" w14:paraId="2BF4213F" w14:textId="77777777">
        <w:tc>
          <w:tcPr>
            <w:tcW w:w="4032" w:type="dxa"/>
          </w:tcPr>
          <w:p w14:paraId="68A0E5F6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  <w:tc>
          <w:tcPr>
            <w:tcW w:w="2880" w:type="dxa"/>
          </w:tcPr>
          <w:p w14:paraId="7FA2FB9C" w14:textId="77777777" w:rsidR="00327AD3" w:rsidRDefault="00327AD3"/>
        </w:tc>
        <w:tc>
          <w:tcPr>
            <w:tcW w:w="4032" w:type="dxa"/>
          </w:tcPr>
          <w:p w14:paraId="2A9B896F" w14:textId="77777777" w:rsidR="00327AD3" w:rsidRDefault="00000000">
            <w:r>
              <w:rPr>
                <w:sz w:val="20"/>
              </w:rPr>
              <w:t>Name: ________________________</w:t>
            </w:r>
          </w:p>
        </w:tc>
      </w:tr>
      <w:tr w:rsidR="00327AD3" w14:paraId="6B8F04CB" w14:textId="77777777">
        <w:tc>
          <w:tcPr>
            <w:tcW w:w="4032" w:type="dxa"/>
          </w:tcPr>
          <w:p w14:paraId="4FAC3106" w14:textId="77777777" w:rsidR="00327AD3" w:rsidRDefault="00000000">
            <w:r>
              <w:rPr>
                <w:sz w:val="20"/>
              </w:rPr>
              <w:t>Title: Chief Operating Officer</w:t>
            </w:r>
          </w:p>
        </w:tc>
        <w:tc>
          <w:tcPr>
            <w:tcW w:w="2880" w:type="dxa"/>
          </w:tcPr>
          <w:p w14:paraId="1BE1836E" w14:textId="77777777" w:rsidR="00327AD3" w:rsidRDefault="00327AD3"/>
        </w:tc>
        <w:tc>
          <w:tcPr>
            <w:tcW w:w="4032" w:type="dxa"/>
          </w:tcPr>
          <w:p w14:paraId="357BDB0B" w14:textId="77777777" w:rsidR="00327AD3" w:rsidRDefault="00000000">
            <w:r>
              <w:rPr>
                <w:sz w:val="20"/>
              </w:rPr>
              <w:t>Title: Managing Partner</w:t>
            </w:r>
          </w:p>
        </w:tc>
      </w:tr>
    </w:tbl>
    <w:p w14:paraId="68B7CABE" w14:textId="77777777" w:rsidR="0057707C" w:rsidRDefault="0057707C"/>
    <w:sectPr w:rsidR="005770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167764">
    <w:abstractNumId w:val="8"/>
  </w:num>
  <w:num w:numId="2" w16cid:durableId="603348507">
    <w:abstractNumId w:val="6"/>
  </w:num>
  <w:num w:numId="3" w16cid:durableId="1924799168">
    <w:abstractNumId w:val="5"/>
  </w:num>
  <w:num w:numId="4" w16cid:durableId="1074280425">
    <w:abstractNumId w:val="4"/>
  </w:num>
  <w:num w:numId="5" w16cid:durableId="381945939">
    <w:abstractNumId w:val="7"/>
  </w:num>
  <w:num w:numId="6" w16cid:durableId="605314773">
    <w:abstractNumId w:val="3"/>
  </w:num>
  <w:num w:numId="7" w16cid:durableId="168180970">
    <w:abstractNumId w:val="2"/>
  </w:num>
  <w:num w:numId="8" w16cid:durableId="651716895">
    <w:abstractNumId w:val="1"/>
  </w:num>
  <w:num w:numId="9" w16cid:durableId="2083718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13AE"/>
    <w:rsid w:val="0029639D"/>
    <w:rsid w:val="002A0607"/>
    <w:rsid w:val="00326F90"/>
    <w:rsid w:val="00327AD3"/>
    <w:rsid w:val="00547AE0"/>
    <w:rsid w:val="0057707C"/>
    <w:rsid w:val="00590054"/>
    <w:rsid w:val="005A2E7F"/>
    <w:rsid w:val="00640DAA"/>
    <w:rsid w:val="00683977"/>
    <w:rsid w:val="006D7147"/>
    <w:rsid w:val="0082066B"/>
    <w:rsid w:val="008420B9"/>
    <w:rsid w:val="008503FF"/>
    <w:rsid w:val="0095276B"/>
    <w:rsid w:val="009C5E19"/>
    <w:rsid w:val="00AA1D8D"/>
    <w:rsid w:val="00B47730"/>
    <w:rsid w:val="00B70394"/>
    <w:rsid w:val="00C05D3E"/>
    <w:rsid w:val="00CB0664"/>
    <w:rsid w:val="00E060A5"/>
    <w:rsid w:val="00EB24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ED3AA"/>
  <w14:defaultImageDpi w14:val="300"/>
  <w15:docId w15:val="{8FFD185C-B437-5040-A823-0C005D6D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Kannan Ganesan</cp:lastModifiedBy>
  <cp:revision>2</cp:revision>
  <dcterms:created xsi:type="dcterms:W3CDTF">2026-05-29T18:42:00Z</dcterms:created>
  <dcterms:modified xsi:type="dcterms:W3CDTF">2026-05-29T18:42:00Z</dcterms:modified>
  <cp:category/>
</cp:coreProperties>
</file>