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C47E2" w14:textId="77777777" w:rsidR="009655F8" w:rsidRDefault="009655F8"/>
    <w:p w14:paraId="0C8E6379" w14:textId="77777777" w:rsidR="009655F8" w:rsidRDefault="00000000">
      <w:pPr>
        <w:jc w:val="center"/>
      </w:pPr>
      <w:r>
        <w:rPr>
          <w:b/>
          <w:color w:val="1F3864"/>
          <w:sz w:val="32"/>
        </w:rPr>
        <w:t>DATA PROCESSING AGREEMENT</w:t>
      </w:r>
    </w:p>
    <w:p w14:paraId="4D8ADF8A" w14:textId="77777777" w:rsidR="009655F8" w:rsidRDefault="00000000">
      <w:pPr>
        <w:jc w:val="center"/>
      </w:pPr>
      <w:r>
        <w:rPr>
          <w:i/>
          <w:color w:val="444444"/>
          <w:sz w:val="24"/>
        </w:rPr>
        <w:t>GDPR &amp; CCPA Compliance Framework</w:t>
      </w:r>
    </w:p>
    <w:p w14:paraId="63AE8F04" w14:textId="77777777" w:rsidR="009655F8" w:rsidRDefault="00000000">
      <w:pPr>
        <w:jc w:val="center"/>
      </w:pPr>
      <w:r>
        <w:t>Effective Date: April 20, 2026</w:t>
      </w:r>
    </w:p>
    <w:p w14:paraId="3AB17D25" w14:textId="77777777" w:rsidR="009655F8" w:rsidRDefault="00000000">
      <w:pPr>
        <w:jc w:val="center"/>
      </w:pPr>
      <w:r>
        <w:rPr>
          <w:color w:val="444444"/>
        </w:rPr>
        <w:t>Controller: EuroMed Health Systems GmbH  ↔  Processor: DataFlow Analytics Inc.</w:t>
      </w:r>
    </w:p>
    <w:p w14:paraId="461AD579" w14:textId="77777777" w:rsidR="009655F8" w:rsidRDefault="009655F8"/>
    <w:p w14:paraId="0E7C656B" w14:textId="77777777" w:rsidR="009655F8" w:rsidRDefault="009655F8">
      <w:pPr>
        <w:pBdr>
          <w:bottom w:val="single" w:sz="6" w:space="1" w:color="999999"/>
        </w:pBdr>
      </w:pPr>
    </w:p>
    <w:p w14:paraId="554B60E8" w14:textId="77777777" w:rsidR="009655F8" w:rsidRDefault="009655F8"/>
    <w:p w14:paraId="47D19679" w14:textId="77777777" w:rsidR="009655F8" w:rsidRDefault="00000000">
      <w:pPr>
        <w:spacing w:before="280" w:after="80"/>
      </w:pPr>
      <w:r>
        <w:rPr>
          <w:b/>
          <w:color w:val="1F3864"/>
          <w:sz w:val="24"/>
        </w:rPr>
        <w:t>1. Definitions</w:t>
      </w:r>
    </w:p>
    <w:p w14:paraId="4E8672E7" w14:textId="77777777" w:rsidR="009655F8" w:rsidRDefault="00000000">
      <w:pPr>
        <w:spacing w:after="80"/>
      </w:pPr>
      <w:r>
        <w:t>"Personal Data" means any information relating to an identified or identifiable natural person. "Processing" means any operation performed on Personal Data. "Controller" means EuroMed Health Systems GmbH. "Processor" means DataFlow Analytics Inc.</w:t>
      </w:r>
    </w:p>
    <w:p w14:paraId="16F2E4AF" w14:textId="77777777" w:rsidR="009655F8" w:rsidRDefault="00000000">
      <w:pPr>
        <w:spacing w:before="280" w:after="80"/>
      </w:pPr>
      <w:r>
        <w:rPr>
          <w:b/>
          <w:color w:val="1F3864"/>
          <w:sz w:val="24"/>
        </w:rPr>
        <w:t>2. Subject Matter and Categories</w:t>
      </w:r>
    </w:p>
    <w:p w14:paraId="7F3BBC1A" w14:textId="77777777" w:rsidR="009655F8" w:rsidRDefault="00000000">
      <w:pPr>
        <w:spacing w:after="80"/>
      </w:pPr>
      <w:r>
        <w:t>Categories of data subjects: Patients, healthcare workers, and administrative staff.</w:t>
      </w:r>
    </w:p>
    <w:p w14:paraId="31AC29EE" w14:textId="77777777" w:rsidR="009655F8" w:rsidRDefault="00000000">
      <w:pPr>
        <w:spacing w:after="80"/>
      </w:pPr>
      <w:r>
        <w:t>Categories of personal data: Names, contact details, health records, treatment data, insurance information, and government-issued identification numbers.</w:t>
      </w:r>
    </w:p>
    <w:p w14:paraId="34D16C4C" w14:textId="77777777" w:rsidR="009655F8" w:rsidRDefault="00000000">
      <w:pPr>
        <w:spacing w:before="280" w:after="80"/>
      </w:pPr>
      <w:r>
        <w:rPr>
          <w:b/>
          <w:color w:val="1F3864"/>
          <w:sz w:val="24"/>
        </w:rPr>
        <w:t>3. Processor Obligations</w:t>
      </w:r>
    </w:p>
    <w:p w14:paraId="61347B78" w14:textId="77777777" w:rsidR="009655F8" w:rsidRDefault="00000000">
      <w:pPr>
        <w:spacing w:after="80"/>
      </w:pPr>
      <w:r>
        <w:rPr>
          <w:b/>
          <w:color w:val="C00000"/>
        </w:rPr>
        <w:t>⚠ GAP — NO INSTRUCTION UPDATE MECHANISM: This Agreement contains no mechanism for Controller to update or modify Processing instructions post-execution, as required by GDPR Art. 28(3)(a).</w:t>
      </w:r>
    </w:p>
    <w:p w14:paraId="35719EF5" w14:textId="77777777" w:rsidR="009655F8" w:rsidRDefault="00000000">
      <w:pPr>
        <w:spacing w:after="80"/>
      </w:pPr>
      <w:r>
        <w:t>3.2 Confidentiality. Processor shall ensure personnel authorized to process Personal Data are bound by appropriate confidentiality obligations.</w:t>
      </w:r>
    </w:p>
    <w:p w14:paraId="62EBFA37" w14:textId="77777777" w:rsidR="009655F8" w:rsidRDefault="00000000">
      <w:pPr>
        <w:spacing w:after="80"/>
      </w:pPr>
      <w:r>
        <w:t>3.3 Security. Processor shall implement appropriate technical and organizational measures including encryption in transit and at rest.</w:t>
      </w:r>
    </w:p>
    <w:p w14:paraId="11EAE853" w14:textId="77777777" w:rsidR="009655F8" w:rsidRDefault="00000000">
      <w:pPr>
        <w:spacing w:after="80"/>
      </w:pPr>
      <w:r>
        <w:rPr>
          <w:b/>
          <w:color w:val="C00000"/>
        </w:rPr>
        <w:t>⚠ UNAUTHORIZED SUB-PROCESSORS: Processor may engage sub-processors WITHOUT prior written authorization from Controller. Customer's sole remedy upon objection is termination.</w:t>
      </w:r>
    </w:p>
    <w:p w14:paraId="7BDF718B" w14:textId="77777777" w:rsidR="009655F8" w:rsidRDefault="00000000">
      <w:pPr>
        <w:spacing w:before="280" w:after="80"/>
      </w:pPr>
      <w:r>
        <w:rPr>
          <w:b/>
          <w:color w:val="1F3864"/>
          <w:sz w:val="24"/>
        </w:rPr>
        <w:t>4. Data Subject Rights — MISSING REQUIRED PROVISIONS</w:t>
      </w:r>
    </w:p>
    <w:p w14:paraId="4613E6F1" w14:textId="77777777" w:rsidR="009655F8" w:rsidRDefault="00000000">
      <w:pPr>
        <w:spacing w:after="80"/>
      </w:pPr>
      <w:r>
        <w:rPr>
          <w:b/>
          <w:color w:val="C00000"/>
        </w:rPr>
        <w:t>⚠ CRITICAL GDPR GAP: This Agreement does not specify timelines or mechanisms for Processor to assist Controller in responding to data subject requests (access, erasure, portability, rectification) as required by GDPR Article 28(3)(e). No SLA is defined.</w:t>
      </w:r>
    </w:p>
    <w:p w14:paraId="048F98BA" w14:textId="77777777" w:rsidR="009655F8" w:rsidRDefault="00000000">
      <w:pPr>
        <w:spacing w:before="280" w:after="80"/>
      </w:pPr>
      <w:r>
        <w:rPr>
          <w:b/>
          <w:color w:val="1F3864"/>
          <w:sz w:val="24"/>
        </w:rPr>
        <w:lastRenderedPageBreak/>
        <w:t>5. Data Breach Notification</w:t>
      </w:r>
    </w:p>
    <w:p w14:paraId="13E2BDA3" w14:textId="77777777" w:rsidR="009655F8" w:rsidRDefault="00000000">
      <w:pPr>
        <w:spacing w:after="80"/>
      </w:pPr>
      <w:r>
        <w:t>5.1 Notification Period. Processor shall notify Controller within seventy-two (72) hours of becoming aware of a Personal Data breach.</w:t>
      </w:r>
    </w:p>
    <w:p w14:paraId="7C91D42D" w14:textId="77777777" w:rsidR="009655F8" w:rsidRDefault="00000000">
      <w:pPr>
        <w:spacing w:after="80"/>
      </w:pPr>
      <w:r>
        <w:rPr>
          <w:b/>
          <w:color w:val="C00000"/>
        </w:rPr>
        <w:t>⚠ MISSING NOTIFICATION CONTENT: This Agreement does not specify required notification content. GDPR Article 33 mandates specific information; this gap may impair Controller's ability to fulfill supervisory authority notification obligations.</w:t>
      </w:r>
    </w:p>
    <w:p w14:paraId="0185CADF" w14:textId="77777777" w:rsidR="009655F8" w:rsidRDefault="00000000">
      <w:pPr>
        <w:spacing w:before="280" w:after="80"/>
      </w:pPr>
      <w:r>
        <w:rPr>
          <w:b/>
          <w:color w:val="1F3864"/>
          <w:sz w:val="24"/>
        </w:rPr>
        <w:t>6. International Data Transfers</w:t>
      </w:r>
    </w:p>
    <w:p w14:paraId="04C47E8B" w14:textId="77777777" w:rsidR="009655F8" w:rsidRDefault="00000000">
      <w:pPr>
        <w:spacing w:after="80"/>
      </w:pPr>
      <w:r>
        <w:rPr>
          <w:b/>
          <w:color w:val="C00000"/>
        </w:rPr>
        <w:t>⚠ NO TRANSFER MECHANISM: This Agreement does not specify the legal basis for international data transfers. Processor operates data centers in the United States and India. No SCCs, BCRs, or adequacy decisions are referenced or attached. POTENTIAL GDPR CHAPTER V VIOLATION.</w:t>
      </w:r>
    </w:p>
    <w:p w14:paraId="01375073" w14:textId="77777777" w:rsidR="009655F8" w:rsidRDefault="00000000">
      <w:pPr>
        <w:spacing w:before="280" w:after="80"/>
      </w:pPr>
      <w:r>
        <w:rPr>
          <w:b/>
          <w:color w:val="1F3864"/>
          <w:sz w:val="24"/>
        </w:rPr>
        <w:t>7. Audit Rights</w:t>
      </w:r>
    </w:p>
    <w:p w14:paraId="4216025D" w14:textId="77777777" w:rsidR="009655F8" w:rsidRDefault="00000000">
      <w:pPr>
        <w:spacing w:after="80"/>
      </w:pPr>
      <w:r>
        <w:rPr>
          <w:color w:val="C00000"/>
        </w:rPr>
        <w:t>Audits limited to once per year, upon 90 days' advance notice, by mutually agreed third-party auditor at Controller's expense. This restriction may be insufficient under GDPR.</w:t>
      </w:r>
    </w:p>
    <w:p w14:paraId="61657CEB" w14:textId="77777777" w:rsidR="009655F8" w:rsidRDefault="00000000">
      <w:pPr>
        <w:spacing w:before="280" w:after="80"/>
      </w:pPr>
      <w:r>
        <w:rPr>
          <w:b/>
          <w:color w:val="1F3864"/>
          <w:sz w:val="24"/>
        </w:rPr>
        <w:t>8. Data Retention and Deletion</w:t>
      </w:r>
    </w:p>
    <w:p w14:paraId="0D7629E0" w14:textId="77777777" w:rsidR="009655F8" w:rsidRDefault="00000000">
      <w:pPr>
        <w:spacing w:after="80"/>
      </w:pPr>
      <w:r>
        <w:rPr>
          <w:b/>
          <w:color w:val="C00000"/>
        </w:rPr>
        <w:t>⚠ EXCESSIVE RETENTION: Processor shall delete or return all Personal Data within 180 days of termination. This is excessive for sensitive health data. GDPR guidance suggests 30 days.</w:t>
      </w:r>
    </w:p>
    <w:p w14:paraId="09313C70" w14:textId="77777777" w:rsidR="009655F8" w:rsidRDefault="00000000">
      <w:pPr>
        <w:spacing w:before="280" w:after="80"/>
      </w:pPr>
      <w:r>
        <w:rPr>
          <w:b/>
          <w:color w:val="1F3864"/>
          <w:sz w:val="24"/>
        </w:rPr>
        <w:t>9. Liability</w:t>
      </w:r>
    </w:p>
    <w:p w14:paraId="40E841CB" w14:textId="77777777" w:rsidR="009655F8" w:rsidRDefault="00000000">
      <w:pPr>
        <w:spacing w:after="80"/>
      </w:pPr>
      <w:r>
        <w:rPr>
          <w:b/>
          <w:color w:val="C00000"/>
        </w:rPr>
        <w:t>⚠ INADEQUATE CAP FOR HEALTH DATA: Liability capped at $50,000 per the MSA. GDPR fines can reach EUR 20 million or 4% of global annual turnover. THIS CAP IS GROSSLY INADEQUATE FOR HEALTH DATA PROCESSING.</w:t>
      </w:r>
    </w:p>
    <w:p w14:paraId="2930EFED" w14:textId="77777777" w:rsidR="009655F8" w:rsidRDefault="00000000">
      <w:pPr>
        <w:spacing w:before="280" w:after="80"/>
      </w:pPr>
      <w:r>
        <w:rPr>
          <w:b/>
          <w:color w:val="1F3864"/>
          <w:sz w:val="24"/>
        </w:rPr>
        <w:t>10. Governing Law</w:t>
      </w:r>
    </w:p>
    <w:p w14:paraId="55710F25" w14:textId="77777777" w:rsidR="009655F8" w:rsidRDefault="00000000">
      <w:pPr>
        <w:spacing w:after="80"/>
      </w:pPr>
      <w:r>
        <w:rPr>
          <w:b/>
          <w:color w:val="C00000"/>
        </w:rPr>
        <w:t>⚠ CONFLICT WITH GDPR: Governed by California law. For EU data subjects, GDPR requires alignment with EU law. California law governance may conflict with GDPR supervisory authority requirements.</w:t>
      </w:r>
    </w:p>
    <w:p w14:paraId="6D5ED32F" w14:textId="77777777" w:rsidR="009655F8" w:rsidRDefault="009655F8"/>
    <w:p w14:paraId="69D89C9F" w14:textId="77777777" w:rsidR="009655F8" w:rsidRDefault="00000000">
      <w:r>
        <w:rPr>
          <w:b/>
        </w:rPr>
        <w:t>IN WITNESS WHEREOF, the parties have executed this Agreement as of the Effective Date.</w:t>
      </w:r>
    </w:p>
    <w:p w14:paraId="35FD64D7" w14:textId="77777777" w:rsidR="009655F8" w:rsidRDefault="009655F8"/>
    <w:tbl>
      <w:tblPr>
        <w:tblW w:w="0" w:type="auto"/>
        <w:tblLook w:val="04A0" w:firstRow="1" w:lastRow="0" w:firstColumn="1" w:lastColumn="0" w:noHBand="0" w:noVBand="1"/>
      </w:tblPr>
      <w:tblGrid>
        <w:gridCol w:w="3436"/>
        <w:gridCol w:w="1768"/>
        <w:gridCol w:w="3436"/>
      </w:tblGrid>
      <w:tr w:rsidR="009655F8" w14:paraId="75B59CC5" w14:textId="77777777">
        <w:tc>
          <w:tcPr>
            <w:tcW w:w="4032" w:type="dxa"/>
          </w:tcPr>
          <w:p w14:paraId="55126738" w14:textId="77777777" w:rsidR="009655F8" w:rsidRDefault="00000000">
            <w:r>
              <w:rPr>
                <w:b/>
                <w:sz w:val="20"/>
              </w:rPr>
              <w:t>EUROMED HEALTH SYSTEMS GMBH</w:t>
            </w:r>
          </w:p>
        </w:tc>
        <w:tc>
          <w:tcPr>
            <w:tcW w:w="2880" w:type="dxa"/>
          </w:tcPr>
          <w:p w14:paraId="3E0EA463" w14:textId="77777777" w:rsidR="009655F8" w:rsidRDefault="009655F8"/>
        </w:tc>
        <w:tc>
          <w:tcPr>
            <w:tcW w:w="4032" w:type="dxa"/>
          </w:tcPr>
          <w:p w14:paraId="52C54A06" w14:textId="77777777" w:rsidR="009655F8" w:rsidRDefault="00000000">
            <w:r>
              <w:rPr>
                <w:b/>
                <w:sz w:val="20"/>
              </w:rPr>
              <w:t>DATAFLOW ANALYTICS INC.</w:t>
            </w:r>
          </w:p>
        </w:tc>
      </w:tr>
      <w:tr w:rsidR="009655F8" w14:paraId="38F2B3F3" w14:textId="77777777">
        <w:tc>
          <w:tcPr>
            <w:tcW w:w="4032" w:type="dxa"/>
          </w:tcPr>
          <w:p w14:paraId="534C348A" w14:textId="77777777" w:rsidR="009655F8" w:rsidRDefault="009655F8"/>
        </w:tc>
        <w:tc>
          <w:tcPr>
            <w:tcW w:w="2880" w:type="dxa"/>
          </w:tcPr>
          <w:p w14:paraId="2D887F74" w14:textId="77777777" w:rsidR="009655F8" w:rsidRDefault="009655F8"/>
        </w:tc>
        <w:tc>
          <w:tcPr>
            <w:tcW w:w="4032" w:type="dxa"/>
          </w:tcPr>
          <w:p w14:paraId="688E5F81" w14:textId="77777777" w:rsidR="009655F8" w:rsidRDefault="009655F8"/>
        </w:tc>
      </w:tr>
      <w:tr w:rsidR="009655F8" w14:paraId="7B500BB8" w14:textId="77777777">
        <w:tc>
          <w:tcPr>
            <w:tcW w:w="4032" w:type="dxa"/>
            <w:tcBorders>
              <w:top w:val="single" w:sz="4" w:space="0" w:color="000000"/>
            </w:tcBorders>
          </w:tcPr>
          <w:p w14:paraId="51EE542F" w14:textId="77777777" w:rsidR="009655F8" w:rsidRDefault="009655F8"/>
        </w:tc>
        <w:tc>
          <w:tcPr>
            <w:tcW w:w="2880" w:type="dxa"/>
          </w:tcPr>
          <w:p w14:paraId="3F205FEC" w14:textId="77777777" w:rsidR="009655F8" w:rsidRDefault="009655F8"/>
        </w:tc>
        <w:tc>
          <w:tcPr>
            <w:tcW w:w="4032" w:type="dxa"/>
            <w:tcBorders>
              <w:top w:val="single" w:sz="4" w:space="0" w:color="000000"/>
            </w:tcBorders>
          </w:tcPr>
          <w:p w14:paraId="580CBA33" w14:textId="77777777" w:rsidR="009655F8" w:rsidRDefault="009655F8"/>
        </w:tc>
      </w:tr>
      <w:tr w:rsidR="009655F8" w14:paraId="7313548F" w14:textId="77777777">
        <w:tc>
          <w:tcPr>
            <w:tcW w:w="4032" w:type="dxa"/>
          </w:tcPr>
          <w:p w14:paraId="48DE7FD7" w14:textId="77777777" w:rsidR="009655F8" w:rsidRDefault="00000000">
            <w:r>
              <w:rPr>
                <w:sz w:val="20"/>
              </w:rPr>
              <w:t>Name: ________________________</w:t>
            </w:r>
          </w:p>
        </w:tc>
        <w:tc>
          <w:tcPr>
            <w:tcW w:w="2880" w:type="dxa"/>
          </w:tcPr>
          <w:p w14:paraId="1ADB2776" w14:textId="77777777" w:rsidR="009655F8" w:rsidRDefault="009655F8"/>
        </w:tc>
        <w:tc>
          <w:tcPr>
            <w:tcW w:w="4032" w:type="dxa"/>
          </w:tcPr>
          <w:p w14:paraId="648590DD" w14:textId="77777777" w:rsidR="009655F8" w:rsidRDefault="00000000">
            <w:r>
              <w:rPr>
                <w:sz w:val="20"/>
              </w:rPr>
              <w:t>Name: ________________________</w:t>
            </w:r>
          </w:p>
        </w:tc>
      </w:tr>
      <w:tr w:rsidR="009655F8" w14:paraId="3562B814" w14:textId="77777777">
        <w:tc>
          <w:tcPr>
            <w:tcW w:w="4032" w:type="dxa"/>
          </w:tcPr>
          <w:p w14:paraId="479FEFD4" w14:textId="77777777" w:rsidR="009655F8" w:rsidRDefault="00000000">
            <w:r>
              <w:rPr>
                <w:sz w:val="20"/>
              </w:rPr>
              <w:t>Title: Data Protection Officer</w:t>
            </w:r>
          </w:p>
        </w:tc>
        <w:tc>
          <w:tcPr>
            <w:tcW w:w="2880" w:type="dxa"/>
          </w:tcPr>
          <w:p w14:paraId="5DC077D9" w14:textId="77777777" w:rsidR="009655F8" w:rsidRDefault="009655F8"/>
        </w:tc>
        <w:tc>
          <w:tcPr>
            <w:tcW w:w="4032" w:type="dxa"/>
          </w:tcPr>
          <w:p w14:paraId="3BC2A5E3" w14:textId="77777777" w:rsidR="009655F8" w:rsidRDefault="00000000">
            <w:r>
              <w:rPr>
                <w:sz w:val="20"/>
              </w:rPr>
              <w:t>Title: Chief Privacy Officer</w:t>
            </w:r>
          </w:p>
        </w:tc>
      </w:tr>
    </w:tbl>
    <w:p w14:paraId="273C9D1A" w14:textId="77777777" w:rsidR="00050716" w:rsidRDefault="00050716"/>
    <w:sectPr w:rsidR="000507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8844847">
    <w:abstractNumId w:val="8"/>
  </w:num>
  <w:num w:numId="2" w16cid:durableId="1946570515">
    <w:abstractNumId w:val="6"/>
  </w:num>
  <w:num w:numId="3" w16cid:durableId="1234196765">
    <w:abstractNumId w:val="5"/>
  </w:num>
  <w:num w:numId="4" w16cid:durableId="1365982228">
    <w:abstractNumId w:val="4"/>
  </w:num>
  <w:num w:numId="5" w16cid:durableId="1855683426">
    <w:abstractNumId w:val="7"/>
  </w:num>
  <w:num w:numId="6" w16cid:durableId="2086417333">
    <w:abstractNumId w:val="3"/>
  </w:num>
  <w:num w:numId="7" w16cid:durableId="303973878">
    <w:abstractNumId w:val="2"/>
  </w:num>
  <w:num w:numId="8" w16cid:durableId="1066563021">
    <w:abstractNumId w:val="1"/>
  </w:num>
  <w:num w:numId="9" w16cid:durableId="1985044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716"/>
    <w:rsid w:val="0006063C"/>
    <w:rsid w:val="0015074B"/>
    <w:rsid w:val="0029639D"/>
    <w:rsid w:val="00326F90"/>
    <w:rsid w:val="009655F8"/>
    <w:rsid w:val="00AA1D8D"/>
    <w:rsid w:val="00B162B3"/>
    <w:rsid w:val="00B47730"/>
    <w:rsid w:val="00CB0664"/>
    <w:rsid w:val="00F665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22338"/>
  <w14:defaultImageDpi w14:val="300"/>
  <w15:docId w15:val="{684656D3-49F0-D94C-8FE8-02E750D4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2026-06-04T14:24:00Z</dcterms:created>
  <dcterms:modified xsi:type="dcterms:W3CDTF">2026-06-04T14:24:00Z</dcterms:modified>
  <cp:category/>
</cp:coreProperties>
</file>