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Scope items: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 w14:paraId="00000011" w14:textId="77777777">
            <w:r>
              <w:t xml:space="preserve">{{loop scope_items}}</w:t>
            </w:r>
          </w:p>
        </w:tc>
        <w:tc>
          <w:tcPr>
            <w:tcW w:w="4500" w:type="dxa"/>
          </w:tcPr>
          <w:p w14:paraId="00000012" w14:textId="77777777">
            <w:r>
              <w:t xml:space="preserve">Amount</w:t>
            </w:r>
          </w:p>
        </w:tc>
      </w:tr>
    </w:tbl>
    <w:p w14:paraId="00000002" w14:textId="77777777">
      <w:r>
        <w:t xml:space="preserve">Lorem ipsum.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