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240"/>
              <w:left w:type="dxa" w:w="240"/>
              <w:bottom w:type="dxa" w:w="240"/>
              <w:right w:type="dxa" w:w="240"/>
            </w:tcMar>
          </w:tcPr>
          <w:p>
            <w:pPr>
              <w:jc w:val="left"/>
            </w:pPr>
            <w:r>
              <w:rPr>
                <w:rFonts w:ascii="Arial" w:cs="Arial" w:eastAsia="Arial" w:hAnsi="Arial"/>
                <w:b/>
                <w:bCs/>
                <w:color w:val="FFFFFF"/>
                <w:sz w:val="40"/>
                <w:szCs w:val="40"/>
              </w:rPr>
              <w:t xml:space="preserve">MINTT SERVICES LLC</w:t>
            </w:r>
          </w:p>
          <w:p>
            <w:pPr>
              <w:spacing w:before="40"/>
              <w:jc w:val="left"/>
            </w:pPr>
            <w:r>
              <w:rPr>
                <w:rFonts w:ascii="Arial" w:cs="Arial" w:eastAsia="Arial" w:hAnsi="Arial"/>
                <w:i/>
                <w:iCs/>
                <w:color w:val="C9A227"/>
                <w:sz w:val="22"/>
                <w:szCs w:val="22"/>
              </w:rPr>
              <w:t xml:space="preserve">Sourcing and Procurement Partner</w:t>
            </w:r>
          </w:p>
        </w:tc>
      </w:tr>
    </w:tbl>
    <w:p>
      <w:pPr>
        <w:spacing w:after="40" w:before="40"/>
      </w:pPr>
      <w:r>
        <w:t xml:space="preserve"/>
      </w:r>
    </w:p>
    <w:p>
      <w:pPr>
        <w:pBdr>
          <w:bottom w:val="single" w:color="C9A227" w:sz="8" w:space="4"/>
        </w:pBdr>
        <w:spacing w:after="120" w:before="240"/>
      </w:pPr>
      <w:r>
        <w:rPr>
          <w:rFonts w:ascii="Arial" w:cs="Arial" w:eastAsia="Arial" w:hAnsi="Arial"/>
          <w:b/>
          <w:bCs/>
          <w:color w:val="0B2545"/>
          <w:sz w:val="24"/>
          <w:szCs w:val="24"/>
        </w:rPr>
        <w:t xml:space="preserve">CORE COMPETENCIES</w:t>
      </w:r>
    </w:p>
    <w:p>
      <w:pPr>
        <w:spacing w:after="60" w:before="60"/>
        <w:jc w:val="left"/>
      </w:pPr>
      <w:r>
        <w:rPr>
          <w:rFonts w:ascii="Arial" w:cs="Arial" w:eastAsia="Arial" w:hAnsi="Arial"/>
          <w:b w:val="false"/>
          <w:bCs w:val="false"/>
          <w:color w:val="1A1A1A"/>
          <w:sz w:val="20"/>
          <w:szCs w:val="20"/>
        </w:rPr>
        <w:t xml:space="preserve">Mintt Services LLC is a Nevada-based sourcing and procurement partner. We source, quote, and deliver commercial products against government and institutional purchase orders. We buy from qualified manufacturers and distributors, manage the transaction, and deliver to the end buyer on time and at spec.</w:t>
      </w:r>
    </w:p>
    <w:p>
      <w:pPr>
        <w:spacing w:after="40" w:before="40"/>
      </w:pPr>
      <w:r>
        <w:t xml:space="preserve"/>
      </w:r>
    </w:p>
    <w:p>
      <w:pPr>
        <w:pStyle w:val="ListParagraph"/>
        <w:numPr>
          <w:ilvl w:val="0"/>
          <w:numId w:val="2"/>
        </w:numPr>
        <w:spacing w:after="40" w:before="40"/>
      </w:pPr>
      <w:r>
        <w:rPr>
          <w:rFonts w:ascii="Arial" w:cs="Arial" w:eastAsia="Arial" w:hAnsi="Arial"/>
          <w:color w:val="1A1A1A"/>
          <w:sz w:val="20"/>
          <w:szCs w:val="20"/>
        </w:rPr>
        <w:t xml:space="preserve">Commodity sourcing and supplier qualification</w:t>
      </w:r>
    </w:p>
    <w:p>
      <w:pPr>
        <w:pStyle w:val="ListParagraph"/>
        <w:numPr>
          <w:ilvl w:val="0"/>
          <w:numId w:val="2"/>
        </w:numPr>
        <w:spacing w:after="40" w:before="40"/>
      </w:pPr>
      <w:r>
        <w:rPr>
          <w:rFonts w:ascii="Arial" w:cs="Arial" w:eastAsia="Arial" w:hAnsi="Arial"/>
          <w:color w:val="1A1A1A"/>
          <w:sz w:val="20"/>
          <w:szCs w:val="20"/>
        </w:rPr>
        <w:t xml:space="preserve">Fixed-price quoting on federal, state, and institutional RFQs</w:t>
      </w:r>
    </w:p>
    <w:p>
      <w:pPr>
        <w:pStyle w:val="ListParagraph"/>
        <w:numPr>
          <w:ilvl w:val="0"/>
          <w:numId w:val="2"/>
        </w:numPr>
        <w:spacing w:after="40" w:before="40"/>
      </w:pPr>
      <w:r>
        <w:rPr>
          <w:rFonts w:ascii="Arial" w:cs="Arial" w:eastAsia="Arial" w:hAnsi="Arial"/>
          <w:color w:val="1A1A1A"/>
          <w:sz w:val="20"/>
          <w:szCs w:val="20"/>
        </w:rPr>
        <w:t xml:space="preserve">Purchase order execution, expediting, and delivery coordination</w:t>
      </w:r>
    </w:p>
    <w:p>
      <w:pPr>
        <w:pStyle w:val="ListParagraph"/>
        <w:numPr>
          <w:ilvl w:val="0"/>
          <w:numId w:val="2"/>
        </w:numPr>
        <w:spacing w:after="40" w:before="40"/>
      </w:pPr>
      <w:r>
        <w:rPr>
          <w:rFonts w:ascii="Arial" w:cs="Arial" w:eastAsia="Arial" w:hAnsi="Arial"/>
          <w:color w:val="1A1A1A"/>
          <w:sz w:val="20"/>
          <w:szCs w:val="20"/>
        </w:rPr>
        <w:t xml:space="preserve">Small-package and LTL freight arrangement</w:t>
      </w:r>
    </w:p>
    <w:p>
      <w:pPr>
        <w:pStyle w:val="ListParagraph"/>
        <w:numPr>
          <w:ilvl w:val="0"/>
          <w:numId w:val="2"/>
        </w:numPr>
        <w:spacing w:after="40" w:before="40"/>
      </w:pPr>
      <w:r>
        <w:rPr>
          <w:rFonts w:ascii="Arial" w:cs="Arial" w:eastAsia="Arial" w:hAnsi="Arial"/>
          <w:color w:val="1A1A1A"/>
          <w:sz w:val="20"/>
          <w:szCs w:val="20"/>
        </w:rPr>
        <w:t xml:space="preserve">Packaging, labeling, and compliance documentation</w:t>
      </w:r>
    </w:p>
    <w:p>
      <w:pPr>
        <w:pStyle w:val="ListParagraph"/>
        <w:numPr>
          <w:ilvl w:val="0"/>
          <w:numId w:val="2"/>
        </w:numPr>
        <w:spacing w:after="40" w:before="40"/>
      </w:pPr>
      <w:r>
        <w:rPr>
          <w:rFonts w:ascii="Arial" w:cs="Arial" w:eastAsia="Arial" w:hAnsi="Arial"/>
          <w:color w:val="1A1A1A"/>
          <w:sz w:val="20"/>
          <w:szCs w:val="20"/>
        </w:rPr>
        <w:t xml:space="preserve">Net-30 and government payment terms supported</w:t>
      </w:r>
    </w:p>
    <w:p>
      <w:pPr>
        <w:pBdr>
          <w:bottom w:val="single" w:color="C9A227" w:sz="8" w:space="4"/>
        </w:pBdr>
        <w:spacing w:after="120" w:before="240"/>
      </w:pPr>
      <w:r>
        <w:rPr>
          <w:rFonts w:ascii="Arial" w:cs="Arial" w:eastAsia="Arial" w:hAnsi="Arial"/>
          <w:b/>
          <w:bCs/>
          <w:color w:val="0B2545"/>
          <w:sz w:val="24"/>
          <w:szCs w:val="24"/>
        </w:rPr>
        <w:t xml:space="preserve">TARGET PRODUCT CATEGORIES</w:t>
      </w:r>
    </w:p>
    <w:p>
      <w:pPr>
        <w:pStyle w:val="ListParagraph"/>
        <w:numPr>
          <w:ilvl w:val="0"/>
          <w:numId w:val="2"/>
        </w:numPr>
        <w:spacing w:after="40" w:before="40"/>
      </w:pPr>
      <w:r>
        <w:rPr>
          <w:rFonts w:ascii="Arial" w:cs="Arial" w:eastAsia="Arial" w:hAnsi="Arial"/>
          <w:color w:val="1A1A1A"/>
          <w:sz w:val="20"/>
          <w:szCs w:val="20"/>
        </w:rPr>
        <w:t xml:space="preserve">Promotional and event goods: wristbands, lanyards, banners, signage, printed materials</w:t>
      </w:r>
    </w:p>
    <w:p>
      <w:pPr>
        <w:pStyle w:val="ListParagraph"/>
        <w:numPr>
          <w:ilvl w:val="0"/>
          <w:numId w:val="2"/>
        </w:numPr>
        <w:spacing w:after="40" w:before="40"/>
      </w:pPr>
      <w:r>
        <w:rPr>
          <w:rFonts w:ascii="Arial" w:cs="Arial" w:eastAsia="Arial" w:hAnsi="Arial"/>
          <w:color w:val="1A1A1A"/>
          <w:sz w:val="20"/>
          <w:szCs w:val="20"/>
        </w:rPr>
        <w:t xml:space="preserve">Office and facility supplies: paper products, breakroom, janitorial, basic MRO</w:t>
      </w:r>
    </w:p>
    <w:p>
      <w:pPr>
        <w:pStyle w:val="ListParagraph"/>
        <w:numPr>
          <w:ilvl w:val="0"/>
          <w:numId w:val="2"/>
        </w:numPr>
        <w:spacing w:after="40" w:before="40"/>
      </w:pPr>
      <w:r>
        <w:rPr>
          <w:rFonts w:ascii="Arial" w:cs="Arial" w:eastAsia="Arial" w:hAnsi="Arial"/>
          <w:color w:val="1A1A1A"/>
          <w:sz w:val="20"/>
          <w:szCs w:val="20"/>
        </w:rPr>
        <w:t xml:space="preserve">Safety and PPE: gloves, vests, eyewear, first aid, high-visibility apparel</w:t>
      </w:r>
    </w:p>
    <w:p>
      <w:pPr>
        <w:pStyle w:val="ListParagraph"/>
        <w:numPr>
          <w:ilvl w:val="0"/>
          <w:numId w:val="2"/>
        </w:numPr>
        <w:spacing w:after="40" w:before="40"/>
      </w:pPr>
      <w:r>
        <w:rPr>
          <w:rFonts w:ascii="Arial" w:cs="Arial" w:eastAsia="Arial" w:hAnsi="Arial"/>
          <w:color w:val="1A1A1A"/>
          <w:sz w:val="20"/>
          <w:szCs w:val="20"/>
        </w:rPr>
        <w:t xml:space="preserve">Light medical and dental consumables (non-regulated)</w:t>
      </w:r>
    </w:p>
    <w:p>
      <w:pPr>
        <w:pBdr>
          <w:bottom w:val="single" w:color="C9A227" w:sz="8" w:space="4"/>
        </w:pBdr>
        <w:spacing w:after="120" w:before="240"/>
      </w:pPr>
      <w:r>
        <w:rPr>
          <w:rFonts w:ascii="Arial" w:cs="Arial" w:eastAsia="Arial" w:hAnsi="Arial"/>
          <w:b/>
          <w:bCs/>
          <w:color w:val="0B2545"/>
          <w:sz w:val="24"/>
          <w:szCs w:val="24"/>
        </w:rPr>
        <w:t xml:space="preserve">DIFFERENTIATORS</w:t>
      </w:r>
    </w:p>
    <w:p>
      <w:pPr>
        <w:pStyle w:val="ListParagraph"/>
        <w:numPr>
          <w:ilvl w:val="0"/>
          <w:numId w:val="2"/>
        </w:numPr>
        <w:spacing w:after="40" w:before="40"/>
      </w:pPr>
      <w:r>
        <w:rPr>
          <w:rFonts w:ascii="Arial" w:cs="Arial" w:eastAsia="Arial" w:hAnsi="Arial"/>
          <w:color w:val="1A1A1A"/>
          <w:sz w:val="20"/>
          <w:szCs w:val="20"/>
        </w:rPr>
        <w:t xml:space="preserve">Owner-operated. Quotes returned within 24 to 48 hours.</w:t>
      </w:r>
    </w:p>
    <w:p>
      <w:pPr>
        <w:pStyle w:val="ListParagraph"/>
        <w:numPr>
          <w:ilvl w:val="0"/>
          <w:numId w:val="2"/>
        </w:numPr>
        <w:spacing w:after="40" w:before="40"/>
      </w:pPr>
      <w:r>
        <w:rPr>
          <w:rFonts w:ascii="Arial" w:cs="Arial" w:eastAsia="Arial" w:hAnsi="Arial"/>
          <w:color w:val="1A1A1A"/>
          <w:sz w:val="20"/>
          <w:szCs w:val="20"/>
        </w:rPr>
        <w:t xml:space="preserve">Background in high-volume distribution across pharma, consumer goods, military products, and food-grade items.</w:t>
      </w:r>
    </w:p>
    <w:p>
      <w:pPr>
        <w:pStyle w:val="ListParagraph"/>
        <w:numPr>
          <w:ilvl w:val="0"/>
          <w:numId w:val="2"/>
        </w:numPr>
        <w:spacing w:after="40" w:before="40"/>
      </w:pPr>
      <w:r>
        <w:rPr>
          <w:rFonts w:ascii="Arial" w:cs="Arial" w:eastAsia="Arial" w:hAnsi="Arial"/>
          <w:color w:val="1A1A1A"/>
          <w:sz w:val="20"/>
          <w:szCs w:val="20"/>
        </w:rPr>
        <w:t xml:space="preserve">Direct manufacturer and distributor relationships keep margins tight and lead times firm.</w:t>
      </w:r>
    </w:p>
    <w:p>
      <w:pPr>
        <w:pStyle w:val="ListParagraph"/>
        <w:numPr>
          <w:ilvl w:val="0"/>
          <w:numId w:val="2"/>
        </w:numPr>
        <w:spacing w:after="40" w:before="40"/>
      </w:pPr>
      <w:r>
        <w:rPr>
          <w:rFonts w:ascii="Arial" w:cs="Arial" w:eastAsia="Arial" w:hAnsi="Arial"/>
          <w:color w:val="1A1A1A"/>
          <w:sz w:val="20"/>
          <w:szCs w:val="20"/>
        </w:rPr>
        <w:t xml:space="preserve">Small business pricing discipline. No inflated overhead, no middleman markup stacking.</w:t>
      </w:r>
    </w:p>
    <w:p>
      <w:pPr>
        <w:pBdr>
          <w:bottom w:val="single" w:color="C9A227" w:sz="8" w:space="4"/>
        </w:pBdr>
        <w:spacing w:after="120" w:before="240"/>
      </w:pPr>
      <w:r>
        <w:rPr>
          <w:rFonts w:ascii="Arial" w:cs="Arial" w:eastAsia="Arial" w:hAnsi="Arial"/>
          <w:b/>
          <w:bCs/>
          <w:color w:val="0B2545"/>
          <w:sz w:val="24"/>
          <w:szCs w:val="24"/>
        </w:rPr>
        <w:t xml:space="preserve">COMPANY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0B2545"/>
                <w:sz w:val="18"/>
                <w:szCs w:val="18"/>
              </w:rPr>
              <w:t xml:space="preserve">UEI</w:t>
            </w:r>
          </w:p>
          <w:p>
            <w:r>
              <w:rPr>
                <w:rFonts w:ascii="Arial" w:cs="Arial" w:eastAsia="Arial" w:hAnsi="Arial"/>
                <w:color w:val="1A1A1A"/>
                <w:sz w:val="20"/>
                <w:szCs w:val="20"/>
              </w:rPr>
              <w:t xml:space="preserve">RUDQJF2HWX94</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b/>
                <w:bCs/>
                <w:color w:val="0B2545"/>
                <w:sz w:val="18"/>
                <w:szCs w:val="18"/>
              </w:rPr>
              <w:t xml:space="preserve">EIN</w:t>
            </w:r>
          </w:p>
          <w:p>
            <w:r>
              <w:rPr>
                <w:rFonts w:ascii="Arial" w:cs="Arial" w:eastAsia="Arial" w:hAnsi="Arial"/>
                <w:color w:val="1A1A1A"/>
                <w:sz w:val="20"/>
                <w:szCs w:val="20"/>
              </w:rPr>
              <w:t xml:space="preserve">41-3741818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0B2545"/>
                <w:sz w:val="18"/>
                <w:szCs w:val="18"/>
              </w:rPr>
              <w:t xml:space="preserve">CAGE Code</w:t>
            </w:r>
          </w:p>
          <w:p>
            <w:r>
              <w:rPr>
                <w:rFonts w:ascii="Arial" w:cs="Arial" w:eastAsia="Arial" w:hAnsi="Arial"/>
                <w:color w:val="1A1A1A"/>
                <w:sz w:val="20"/>
                <w:szCs w:val="20"/>
              </w:rPr>
              <w:t xml:space="preserve">1Z5R5</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b/>
                <w:bCs/>
                <w:color w:val="0B2545"/>
                <w:sz w:val="18"/>
                <w:szCs w:val="18"/>
              </w:rPr>
              <w:t xml:space="preserve">SAM.gov</w:t>
            </w:r>
          </w:p>
          <w:p>
            <w:r>
              <w:rPr>
                <w:rFonts w:ascii="Arial" w:cs="Arial" w:eastAsia="Arial" w:hAnsi="Arial"/>
                <w:color w:val="1A1A1A"/>
                <w:sz w:val="20"/>
                <w:szCs w:val="20"/>
              </w:rPr>
              <w:t xml:space="preserve">Active - renewed annually by April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0B2545"/>
                <w:sz w:val="18"/>
                <w:szCs w:val="18"/>
              </w:rPr>
              <w:t xml:space="preserve">Business Type</w:t>
            </w:r>
          </w:p>
          <w:p>
            <w:r>
              <w:rPr>
                <w:rFonts w:ascii="Arial" w:cs="Arial" w:eastAsia="Arial" w:hAnsi="Arial"/>
                <w:color w:val="1A1A1A"/>
                <w:sz w:val="20"/>
                <w:szCs w:val="20"/>
              </w:rPr>
              <w:t xml:space="preserve">Minority-Owned Small Business</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b/>
                <w:bCs/>
                <w:color w:val="0B2545"/>
                <w:sz w:val="18"/>
                <w:szCs w:val="18"/>
              </w:rPr>
              <w:t xml:space="preserve">State</w:t>
            </w:r>
          </w:p>
          <w:p>
            <w:r>
              <w:rPr>
                <w:rFonts w:ascii="Arial" w:cs="Arial" w:eastAsia="Arial" w:hAnsi="Arial"/>
                <w:color w:val="1A1A1A"/>
                <w:sz w:val="20"/>
                <w:szCs w:val="20"/>
              </w:rPr>
              <w:t xml:space="preserve">Nevada LLC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0B2545"/>
                <w:sz w:val="18"/>
                <w:szCs w:val="18"/>
              </w:rPr>
              <w:t xml:space="preserve">Legal Name</w:t>
            </w:r>
          </w:p>
          <w:p>
            <w:r>
              <w:rPr>
                <w:rFonts w:ascii="Arial" w:cs="Arial" w:eastAsia="Arial" w:hAnsi="Arial"/>
                <w:color w:val="1A1A1A"/>
                <w:sz w:val="20"/>
                <w:szCs w:val="20"/>
              </w:rPr>
              <w:t xml:space="preserve">Mintt Services LLC</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b/>
                <w:bCs/>
                <w:color w:val="0B2545"/>
                <w:sz w:val="18"/>
                <w:szCs w:val="18"/>
              </w:rPr>
              <w:t xml:space="preserve">Website</w:t>
            </w:r>
          </w:p>
          <w:p>
            <w:r>
              <w:rPr>
                <w:rFonts w:ascii="Arial" w:cs="Arial" w:eastAsia="Arial" w:hAnsi="Arial"/>
                <w:color w:val="1A1A1A"/>
                <w:sz w:val="20"/>
                <w:szCs w:val="20"/>
              </w:rPr>
              <w:t xml:space="preserve">minttservicesllc.com</w:t>
            </w:r>
          </w:p>
        </w:tc>
      </w:tr>
    </w:tbl>
    <w:p>
      <w:pPr>
        <w:pBdr>
          <w:bottom w:val="single" w:color="C9A227" w:sz="8" w:space="4"/>
        </w:pBdr>
        <w:spacing w:after="120" w:before="240"/>
      </w:pPr>
      <w:r>
        <w:rPr>
          <w:rFonts w:ascii="Arial" w:cs="Arial" w:eastAsia="Arial" w:hAnsi="Arial"/>
          <w:b/>
          <w:bCs/>
          <w:color w:val="0B2545"/>
          <w:sz w:val="24"/>
          <w:szCs w:val="24"/>
        </w:rPr>
        <w:t xml:space="preserve">NAICS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0B2545" w:sz="4"/>
              <w:left w:val="single" w:color="0B2545" w:sz="4"/>
              <w:bottom w:val="single" w:color="0B2545" w:sz="4"/>
              <w:right w:val="single" w:color="0B2545" w:sz="4"/>
            </w:tcBorders>
            <w:shd w:fill="0B2545" w:val="clear"/>
            <w:tcMar>
              <w:top w:type="dxa" w:w="100"/>
              <w:left w:type="dxa" w:w="120"/>
              <w:bottom w:type="dxa" w:w="100"/>
              <w:right w:type="dxa" w:w="120"/>
            </w:tcMar>
          </w:tcPr>
          <w:p>
            <w:r>
              <w:rPr>
                <w:rFonts w:ascii="Arial" w:cs="Arial" w:eastAsia="Arial" w:hAnsi="Arial"/>
                <w:b/>
                <w:bCs/>
                <w:color w:val="FFFFFF"/>
                <w:sz w:val="20"/>
                <w:szCs w:val="20"/>
              </w:rPr>
              <w:t xml:space="preserve">Code</w:t>
            </w:r>
          </w:p>
        </w:tc>
        <w:tc>
          <w:tcPr>
            <w:tcW w:type="dxa" w:w="5860"/>
            <w:tcBorders>
              <w:top w:val="single" w:color="0B2545" w:sz="4"/>
              <w:left w:val="single" w:color="0B2545" w:sz="4"/>
              <w:bottom w:val="single" w:color="0B2545" w:sz="4"/>
              <w:right w:val="single" w:color="0B2545" w:sz="4"/>
            </w:tcBorders>
            <w:shd w:fill="0B254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000"/>
            <w:tcBorders>
              <w:top w:val="single" w:color="0B2545" w:sz="4"/>
              <w:left w:val="single" w:color="0B2545" w:sz="4"/>
              <w:bottom w:val="single" w:color="0B2545" w:sz="4"/>
              <w:right w:val="single" w:color="0B2545" w:sz="4"/>
            </w:tcBorders>
            <w:shd w:fill="0B2545"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A1A1A"/>
                <w:sz w:val="18"/>
                <w:szCs w:val="18"/>
              </w:rPr>
              <w:t xml:space="preserve">424990</w:t>
            </w:r>
          </w:p>
        </w:tc>
        <w:tc>
          <w:tcPr>
            <w:tcW w:type="dxa" w:w="58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1A1A1A"/>
                <w:sz w:val="18"/>
                <w:szCs w:val="18"/>
              </w:rPr>
              <w:t xml:space="preserve">Other Miscellaneous Nondurable Goods Merchant Wholesalers</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423990</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Other Miscellaneous Durable Goods Merchant Wholesalers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w:t>
            </w:r>
          </w:p>
        </w:tc>
      </w:tr>
      <w:tr>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A1A1A"/>
                <w:sz w:val="18"/>
                <w:szCs w:val="18"/>
              </w:rPr>
              <w:t xml:space="preserve">423450</w:t>
            </w:r>
          </w:p>
        </w:tc>
        <w:tc>
          <w:tcPr>
            <w:tcW w:type="dxa" w:w="58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Medical, Dental, and Hospital Equipment and Supplies</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1A1A1A"/>
                <w:sz w:val="18"/>
                <w:szCs w:val="18"/>
              </w:rPr>
              <w:t xml:space="preserve">Secondary</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453210</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Office Supplies and Stationery Stores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Secondary</w:t>
            </w:r>
          </w:p>
        </w:tc>
      </w:tr>
      <w:tr>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A1A1A"/>
                <w:sz w:val="18"/>
                <w:szCs w:val="18"/>
              </w:rPr>
              <w:t xml:space="preserve">541614</w:t>
            </w:r>
          </w:p>
        </w:tc>
        <w:tc>
          <w:tcPr>
            <w:tcW w:type="dxa" w:w="58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 Physical Distribution, and Logistics Consulting</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Supporting</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488510</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Freight Transportation Arrangement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Supporting</w:t>
            </w:r>
          </w:p>
        </w:tc>
      </w:tr>
    </w:tbl>
    <w:p>
      <w:pPr>
        <w:pBdr>
          <w:bottom w:val="single" w:color="C9A227" w:sz="8" w:space="4"/>
        </w:pBdr>
        <w:spacing w:after="120" w:before="240"/>
      </w:pPr>
      <w:r>
        <w:rPr>
          <w:rFonts w:ascii="Arial" w:cs="Arial" w:eastAsia="Arial" w:hAnsi="Arial"/>
          <w:b/>
          <w:bCs/>
          <w:color w:val="0B2545"/>
          <w:sz w:val="24"/>
          <w:szCs w:val="24"/>
        </w:rPr>
        <w:t xml:space="preserve">POINT OF CONTACT</w:t>
      </w:r>
    </w:p>
    <w:p>
      <w:pPr>
        <w:spacing w:after="60" w:before="60"/>
        <w:jc w:val="left"/>
      </w:pPr>
      <w:r>
        <w:rPr>
          <w:rFonts w:ascii="Arial" w:cs="Arial" w:eastAsia="Arial" w:hAnsi="Arial"/>
          <w:b/>
          <w:bCs/>
          <w:color w:val="1A1A1A"/>
          <w:sz w:val="22"/>
          <w:szCs w:val="22"/>
        </w:rPr>
        <w:t xml:space="preserve">Cory Dimitri Tenner, Managing Member</w:t>
      </w:r>
    </w:p>
    <w:p>
      <w:pPr>
        <w:spacing w:after="60" w:before="60"/>
        <w:jc w:val="left"/>
      </w:pPr>
      <w:r>
        <w:rPr>
          <w:rFonts w:ascii="Arial" w:cs="Arial" w:eastAsia="Arial" w:hAnsi="Arial"/>
          <w:b w:val="false"/>
          <w:bCs w:val="false"/>
          <w:color w:val="1A1A1A"/>
          <w:sz w:val="20"/>
          <w:szCs w:val="20"/>
        </w:rPr>
        <w:t xml:space="preserve">Mintt Services LLC</w:t>
      </w:r>
    </w:p>
    <w:p>
      <w:pPr>
        <w:spacing w:after="60" w:before="60"/>
        <w:jc w:val="left"/>
      </w:pPr>
      <w:r>
        <w:rPr>
          <w:rFonts w:ascii="Arial" w:cs="Arial" w:eastAsia="Arial" w:hAnsi="Arial"/>
          <w:b w:val="false"/>
          <w:bCs w:val="false"/>
          <w:color w:val="1A1A1A"/>
          <w:sz w:val="20"/>
          <w:szCs w:val="20"/>
        </w:rPr>
        <w:t xml:space="preserve">10359 Stroma Ave, Las Vegas, NV 89166-6728</w:t>
      </w:r>
    </w:p>
    <w:p>
      <w:pPr>
        <w:spacing w:after="60" w:before="60"/>
        <w:jc w:val="left"/>
      </w:pPr>
      <w:r>
        <w:rPr>
          <w:rFonts w:ascii="Arial" w:cs="Arial" w:eastAsia="Arial" w:hAnsi="Arial"/>
          <w:b w:val="false"/>
          <w:bCs w:val="false"/>
          <w:color w:val="1A1A1A"/>
          <w:sz w:val="20"/>
          <w:szCs w:val="20"/>
        </w:rPr>
        <w:t xml:space="preserve">minttservicesllc.com</w:t>
      </w:r>
    </w:p>
    <w:p>
      <w:pPr>
        <w:pBdr>
          <w:top w:val="single" w:color="C9A227" w:sz="8" w:space="4"/>
        </w:pBdr>
        <w:spacing w:before="400"/>
        <w:jc w:val="center"/>
      </w:pPr>
      <w:r>
        <w:rPr>
          <w:rFonts w:ascii="Arial" w:cs="Arial" w:eastAsia="Arial" w:hAnsi="Arial"/>
          <w:i/>
          <w:iCs/>
          <w:color w:val="555555"/>
          <w:sz w:val="16"/>
          <w:szCs w:val="16"/>
        </w:rPr>
        <w:t xml:space="preserve">Mintt Services LLC  |  Sourcing and Procurement Partner  |  UEI RUDQJF2HWX94  |  CAGE 1Z5R5</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 Statement</dc:title>
  <dc:creator>Mintt Services LLC</dc:creator>
  <cp:lastModifiedBy>Un-named</cp:lastModifiedBy>
  <cp:revision>1</cp:revision>
  <dcterms:created xsi:type="dcterms:W3CDTF">2026-04-23T16:24:51.288Z</dcterms:created>
  <dcterms:modified xsi:type="dcterms:W3CDTF">2026-04-23T16:24:51.289Z</dcterms:modified>
</cp:coreProperties>
</file>

<file path=docProps/custom.xml><?xml version="1.0" encoding="utf-8"?>
<Properties xmlns="http://schemas.openxmlformats.org/officeDocument/2006/custom-properties" xmlns:vt="http://schemas.openxmlformats.org/officeDocument/2006/docPropsVTypes"/>
</file>