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3E"/>
          <w:sz w:val="44"/>
        </w:rPr>
        <w:t>Nota Técnica</w:t>
      </w:r>
    </w:p>
    <w:p>
      <w:r>
        <w:rPr>
          <w:b/>
          <w:color w:val="0090A8"/>
          <w:sz w:val="26"/>
        </w:rPr>
        <w:t>Proposta de padronização de preenchimento de NUORIGINAL e NUTRANSFSIAFI — tabela MIL2026.TRANSFERENCIA (SIGGO)</w:t>
      </w:r>
    </w:p>
    <w:p>
      <w:r>
        <w:rPr>
          <w:i/>
        </w:rPr>
        <w:t>Data: 16/09/2026</w:t>
      </w:r>
    </w:p>
    <w:p>
      <w:pPr>
        <w:pStyle w:val="Heading1"/>
      </w:pPr>
      <w:r>
        <w:t>1. Objetivo</w:t>
      </w:r>
    </w:p>
    <w:p>
      <w:r>
        <w:t>Esta nota propõe uma máscara/critério de preenchimento para os campos NUORIGINAL e NUTRANSFSIAFI da tabela MIL2026.TRANSFERENCIA, com o objetivo de reduzir a inconsistência de cadastro que hoje impede o cruzamento automático entre os registros do SIGGO e os instrumentos correspondentes nas bases oficiais do TransfereGov (SICONV, Gestão de Parcerias, Fundo a Fundo e Transferências Especiais).</w:t>
      </w:r>
    </w:p>
    <w:p>
      <w:r>
        <w:t>O campo NUTRANSFSIAFI, apesar do nome, não se refere apenas a convênios do SICONV — ele é usado, na prática, para tentar identificar qualquer repasse, emenda, transferência congênere ou ajuste celebrado com a União. Por isso, a proposta trata cada espécie de transferência separadamente.</w:t>
      </w:r>
    </w:p>
    <w:p>
      <w:pPr>
        <w:pStyle w:val="Heading1"/>
      </w:pPr>
      <w:r>
        <w:t>2. Metodologia</w:t>
      </w:r>
    </w:p>
    <w:p>
      <w:r>
        <w:t>Foram analisados todos os 1.168 registros do GDF já extraídos das 4 fontes do TransfereGov utilizadas no painel de acompanhamento (195 em Gestão de Parcerias, 15 em Transferências Especiais, 57 em Fundo a Fundo e 901 no SICONV Legado), verificando o formato real do identificador que cada fonte usa para o instrumento, e a taxa de aderência a um padrão único dentro de cada fonte.</w:t>
      </w:r>
    </w:p>
    <w:p>
      <w:pPr>
        <w:pStyle w:val="Heading1"/>
      </w:pPr>
      <w:r>
        <w:t>3. Padrões observados, por fonte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fill="0D1B3E"/>
          </w:tcPr>
          <w:p>
            <w:r/>
            <w:r>
              <w:rPr>
                <w:b/>
                <w:color w:val="FFFFFF"/>
                <w:sz w:val="19"/>
              </w:rPr>
              <w:t>Fonte / Espécie</w:t>
            </w:r>
          </w:p>
        </w:tc>
        <w:tc>
          <w:tcPr>
            <w:tcW w:type="dxa" w:w="3118"/>
            <w:shd w:val="clear" w:fill="0D1B3E"/>
          </w:tcPr>
          <w:p>
            <w:r/>
            <w:r>
              <w:rPr>
                <w:b/>
                <w:color w:val="FFFFFF"/>
                <w:sz w:val="19"/>
              </w:rPr>
              <w:t>Campo identificador e padrão observado</w:t>
            </w:r>
          </w:p>
        </w:tc>
        <w:tc>
          <w:tcPr>
            <w:tcW w:type="dxa" w:w="1417"/>
            <w:shd w:val="clear" w:fill="0D1B3E"/>
          </w:tcPr>
          <w:p>
            <w:r/>
            <w:r>
              <w:rPr>
                <w:b/>
                <w:color w:val="FFFFFF"/>
                <w:sz w:val="19"/>
              </w:rPr>
              <w:t>Aderência</w:t>
            </w:r>
          </w:p>
        </w:tc>
        <w:tc>
          <w:tcPr>
            <w:tcW w:type="dxa" w:w="3118"/>
            <w:shd w:val="clear" w:fill="0D1B3E"/>
          </w:tcPr>
          <w:p>
            <w:r/>
            <w:r>
              <w:rPr>
                <w:b/>
                <w:color w:val="FFFFFF"/>
                <w:sz w:val="19"/>
              </w:rPr>
              <w:t>Exceções encontradas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SICONV — Convênio / Contrato de Repasse (INESPECIE 01/13)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NR_CONVENIO: 6 dígitos numéricos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898 / 901 (99,7%)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3 registros com código de 6 caracteres alfanumérico (ex.: 7AADAK) — todos sem ANO preenchido, propostas recém-abertas ainda em análise/aprovação</w:t>
            </w:r>
          </w:p>
        </w:tc>
      </w:tr>
      <w:tr>
        <w:tc>
          <w:tcPr>
            <w:tcW w:type="dxa" w:w="1984"/>
            <w:shd w:val="clear" w:fill="F2F5F9"/>
          </w:tcPr>
          <w:p>
            <w:r/>
            <w:r>
              <w:rPr>
                <w:b w:val="0"/>
                <w:sz w:val="19"/>
              </w:rPr>
              <w:t>Fundo a Fundo (INESPECIE 12)</w:t>
            </w:r>
          </w:p>
        </w:tc>
        <w:tc>
          <w:tcPr>
            <w:tcW w:type="dxa" w:w="3118"/>
            <w:shd w:val="clear" w:fill="F2F5F9"/>
          </w:tcPr>
          <w:p>
            <w:r/>
            <w:r>
              <w:rPr>
                <w:b w:val="0"/>
                <w:sz w:val="19"/>
              </w:rPr>
              <w:t>codigo_plano_acao: 14 dígitos + hífen + 6 dígitos</w:t>
            </w:r>
          </w:p>
        </w:tc>
        <w:tc>
          <w:tcPr>
            <w:tcW w:type="dxa" w:w="1417"/>
            <w:shd w:val="clear" w:fill="F2F5F9"/>
          </w:tcPr>
          <w:p>
            <w:r/>
            <w:r>
              <w:rPr>
                <w:b w:val="0"/>
                <w:sz w:val="19"/>
              </w:rPr>
              <w:t>57 / 57 (100%)</w:t>
            </w:r>
          </w:p>
        </w:tc>
        <w:tc>
          <w:tcPr>
            <w:tcW w:type="dxa" w:w="3118"/>
            <w:shd w:val="clear" w:fill="F2F5F9"/>
          </w:tcPr>
          <w:p>
            <w:r/>
            <w:r>
              <w:rPr>
                <w:b w:val="0"/>
                <w:sz w:val="19"/>
              </w:rPr>
              <w:t>Nenhuma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Transferências Especiais (INESPECIE 10)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codigo_plano_acao: 8 dígitos + hífen + 6 dígitos (padrão-base)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13 / 15 (87%)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1 registro sem os 4 dígitos do ano (formato antigo); 1 registro com bloco extra de revisão ("-2-") entre os dois grupos</w:t>
            </w:r>
          </w:p>
        </w:tc>
      </w:tr>
      <w:tr>
        <w:tc>
          <w:tcPr>
            <w:tcW w:type="dxa" w:w="1984"/>
            <w:shd w:val="clear" w:fill="F2F5F9"/>
          </w:tcPr>
          <w:p>
            <w:r/>
            <w:r>
              <w:rPr>
                <w:b w:val="0"/>
                <w:sz w:val="19"/>
              </w:rPr>
              <w:t>Gestão de Parcerias (Plataforma+Brasil) — normalmente cadastrado como INESPECIE 01</w:t>
            </w:r>
          </w:p>
        </w:tc>
        <w:tc>
          <w:tcPr>
            <w:tcW w:type="dxa" w:w="3118"/>
            <w:shd w:val="clear" w:fill="F2F5F9"/>
          </w:tcPr>
          <w:p>
            <w:r/>
            <w:r>
              <w:rPr>
                <w:b w:val="0"/>
                <w:sz w:val="19"/>
              </w:rPr>
              <w:t>cd_parceria: 12 dígitos (AAAA + 8 dígitos sequenciais)</w:t>
            </w:r>
          </w:p>
        </w:tc>
        <w:tc>
          <w:tcPr>
            <w:tcW w:type="dxa" w:w="1417"/>
            <w:shd w:val="clear" w:fill="F2F5F9"/>
          </w:tcPr>
          <w:p>
            <w:r/>
            <w:r>
              <w:rPr>
                <w:b w:val="0"/>
                <w:sz w:val="19"/>
              </w:rPr>
              <w:t>195 / 195 (100%)</w:t>
            </w:r>
          </w:p>
        </w:tc>
        <w:tc>
          <w:tcPr>
            <w:tcW w:type="dxa" w:w="3118"/>
            <w:shd w:val="clear" w:fill="F2F5F9"/>
          </w:tcPr>
          <w:p>
            <w:r/>
            <w:r>
              <w:rPr>
                <w:b w:val="0"/>
                <w:sz w:val="19"/>
              </w:rPr>
              <w:t>Nenhuma — mas convive na mesma Espécie "01-Convênio" que o SICONV, com formato de identificador totalmente diferente (12 dígitos x 6 dígitos)</w:t>
            </w:r>
          </w:p>
        </w:tc>
      </w:tr>
    </w:tbl>
    <w:p>
      <w:r>
        <w:br w:type="page"/>
      </w:r>
    </w:p>
    <w:p>
      <w:pPr>
        <w:pStyle w:val="Heading1"/>
      </w:pPr>
      <w:r>
        <w:t>4. Máscara proposta, por Espécie de Transferência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0D1B3E"/>
          </w:tcPr>
          <w:p>
            <w:r/>
            <w:r>
              <w:rPr>
                <w:b/>
                <w:color w:val="FFFFFF"/>
                <w:sz w:val="19"/>
              </w:rPr>
              <w:t>Espécie (INESPECIE)</w:t>
            </w:r>
          </w:p>
        </w:tc>
        <w:tc>
          <w:tcPr>
            <w:tcW w:type="dxa" w:w="3402"/>
            <w:shd w:val="clear" w:fill="0D1B3E"/>
          </w:tcPr>
          <w:p>
            <w:r/>
            <w:r>
              <w:rPr>
                <w:b/>
                <w:color w:val="FFFFFF"/>
                <w:sz w:val="19"/>
              </w:rPr>
              <w:t>Máscara proposta para NUORIGINAL</w:t>
            </w:r>
          </w:p>
        </w:tc>
        <w:tc>
          <w:tcPr>
            <w:tcW w:type="dxa" w:w="3969"/>
            <w:shd w:val="clear" w:fill="0D1B3E"/>
          </w:tcPr>
          <w:p>
            <w:r/>
            <w:r>
              <w:rPr>
                <w:b/>
                <w:color w:val="FFFFFF"/>
                <w:sz w:val="19"/>
              </w:rPr>
              <w:t>Orientação para NUTRANSFSIAFI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01 — Convênio / 13 — Contrato de Repasse, quando a origem é o SICONV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6 caracteres — dígitos numéricos (padrão) ou alfanuméricos (exceção temporária aceita)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Preencher com o mesmo valor de 6 dígitos quando numérico. Se o código ainda for alfanumérico temporário (proposta em análise), deixar em branco até a formalização.</w:t>
            </w:r>
          </w:p>
        </w:tc>
      </w:tr>
      <w:tr>
        <w:tc>
          <w:tcPr>
            <w:tcW w:type="dxa" w:w="1984"/>
            <w:shd w:val="clear" w:fill="F2F5F9"/>
          </w:tcPr>
          <w:p>
            <w:r/>
            <w:r>
              <w:rPr>
                <w:b w:val="0"/>
                <w:sz w:val="19"/>
              </w:rPr>
              <w:t>01 — Convênio, quando a origem é a Gestão de Parcerias / Plataforma+Brasil</w:t>
            </w:r>
          </w:p>
        </w:tc>
        <w:tc>
          <w:tcPr>
            <w:tcW w:type="dxa" w:w="3402"/>
            <w:shd w:val="clear" w:fill="F2F5F9"/>
          </w:tcPr>
          <w:p>
            <w:r/>
            <w:r>
              <w:rPr>
                <w:b w:val="0"/>
                <w:sz w:val="19"/>
              </w:rPr>
              <w:t>12 dígitos — código completo da parceria (cd_parceria), começando por "20"</w:t>
            </w:r>
          </w:p>
        </w:tc>
        <w:tc>
          <w:tcPr>
            <w:tcW w:type="dxa" w:w="3969"/>
            <w:shd w:val="clear" w:fill="F2F5F9"/>
          </w:tcPr>
          <w:p>
            <w:r/>
            <w:r>
              <w:rPr>
                <w:b w:val="0"/>
                <w:sz w:val="19"/>
              </w:rPr>
              <w:t>Deixar em branco — o campo é NUMBER(6,0) e não comporta 12 dígitos.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10 — Transferência Especial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8 dígitos + hífen + 6 dígitos (código completo do Plano de Ação); aceitar variações com bloco extra de revisão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Deixar em branco — o campo não comporta o formato com hífen.</w:t>
            </w:r>
          </w:p>
        </w:tc>
      </w:tr>
      <w:tr>
        <w:tc>
          <w:tcPr>
            <w:tcW w:type="dxa" w:w="1984"/>
            <w:shd w:val="clear" w:fill="F2F5F9"/>
          </w:tcPr>
          <w:p>
            <w:r/>
            <w:r>
              <w:rPr>
                <w:b w:val="0"/>
                <w:sz w:val="19"/>
              </w:rPr>
              <w:t>12 — Fundo a Fundo</w:t>
            </w:r>
          </w:p>
        </w:tc>
        <w:tc>
          <w:tcPr>
            <w:tcW w:type="dxa" w:w="3402"/>
            <w:shd w:val="clear" w:fill="F2F5F9"/>
          </w:tcPr>
          <w:p>
            <w:r/>
            <w:r>
              <w:rPr>
                <w:b w:val="0"/>
                <w:sz w:val="19"/>
              </w:rPr>
              <w:t>14 dígitos + hífen + 6 dígitos (código completo do Plano de Ação)</w:t>
            </w:r>
          </w:p>
        </w:tc>
        <w:tc>
          <w:tcPr>
            <w:tcW w:type="dxa" w:w="3969"/>
            <w:shd w:val="clear" w:fill="F2F5F9"/>
          </w:tcPr>
          <w:p>
            <w:r/>
            <w:r>
              <w:rPr>
                <w:b w:val="0"/>
                <w:sz w:val="19"/>
              </w:rPr>
              <w:t>Deixar em branco — o campo não comporta o formato com hífen.</w:t>
            </w:r>
          </w:p>
        </w:tc>
      </w:tr>
    </w:tbl>
    <w:p>
      <w:pPr>
        <w:pStyle w:val="Heading1"/>
      </w:pPr>
      <w:r>
        <w:t>5. A máscara deveria bloquear o preenchimento?</w:t>
      </w:r>
    </w:p>
    <w:p>
      <w:r>
        <w:rPr>
          <w:b/>
        </w:rPr>
        <w:t xml:space="preserve">Recomendação: </w:t>
      </w:r>
      <w:r>
        <w:t>não, não deveria ser um bloqueio rígido (regex único e inflexível).</w:t>
      </w:r>
    </w:p>
    <w:p>
      <w:r>
        <w:t>Motivo: mesmo dentro dos dados oficiais do próprio TransfereGov, que servem de referência, foram encontradas exceções legítimas a um padrão único — 3 registros do SICONV com código alfanumérico (não puramente numérico) e 2 dos 15 registros de Transferências Especiais com formato diferente do padrão-base. Um bloqueio rígido baseado em apenas um formato aceito impediria o cadastro correto desses casos reais, que existem porque as próprias plataformas de origem (SICONV, Plataforma+Brasil) ainda emitem códigos de formatos distintos conforme a fase do processo (proposta em análise x instrumento já formalizado).</w:t>
      </w:r>
    </w:p>
    <w:p>
      <w:r>
        <w:t>Sugestão prática: validação "branda" — a máscara pode orientar/sugerir o formato esperado (com um exemplo visível conforme a Espécie escolhida), sinalizar com alerta visual quando o valor digitado não bate com nenhum dos formatos esperados para aquela Espécie, mas permitir que o usuário confirme e prossiga. Deve sempre ser permitido deixar o campo em branco — hoje o valor "0" é usado com frequência como preenchimento genérico quando não há identificador aplicável, e isso deveria deixar de ser aceito como valor válido (branco é diferente de "não sei").</w:t>
      </w:r>
    </w:p>
    <w:p>
      <w:pPr>
        <w:pStyle w:val="Heading1"/>
      </w:pPr>
      <w:r>
        <w:t>6. O que fazer com NUTRANSFSIAFI para as espécies que não são Convênio/SICONV?</w:t>
      </w:r>
    </w:p>
    <w:p>
      <w:r>
        <w:t>O campo NUTRANSFSIAFI é do tipo NUMBER(6,0) no banco de dados — ou seja, comporta apenas um número de até 6 dígitos. Essa é uma limitação estrutural, não apenas um hábito de preenchimento: os identificadores de Fundo a Fundo (14+6 dígitos com hífen), Transferências Especiais (8+6 dígitos com hífen) e Gestão de Parcerias (12 dígitos) simplesmente não cabem nesse campo, mesmo que o usuário queira preenchê-lo corretamente.</w:t>
      </w:r>
    </w:p>
    <w:p>
      <w:r>
        <w:t>Recomendação para o curto prazo (sem alterar a estrutura do banco):</w:t>
      </w:r>
    </w:p>
    <w:p>
      <w:pPr>
        <w:pStyle w:val="ListBullet"/>
      </w:pPr>
      <w:r>
        <w:t>Para Convênio/Contrato de Repasse com origem no SICONV: manter o preenchimento atual (NR_CONVENIO de 6 dígitos).</w:t>
      </w:r>
    </w:p>
    <w:p>
      <w:pPr>
        <w:pStyle w:val="ListBullet"/>
      </w:pPr>
      <w:r>
        <w:t>Para Fundo a Fundo, Transferência Especial e Gestão de Parcerias: deixar NUTRANSFSIAFI em branco (NULL), nunca preenchido com "0", e usar exclusivamente o campo NUORIGINAL (que já é texto livre, tipo CHAR, e comporta qualquer um desses formatos) para registrar o identificador completo.</w:t>
      </w:r>
    </w:p>
    <w:p>
      <w:pPr>
        <w:pStyle w:val="ListBullet"/>
      </w:pPr>
      <w:r>
        <w:t>Recomendação para o médio/longo prazo: avaliar a criação de um novo campo de texto livre — ou a adoção formal do NUORIGINAL como "identificador único na fonte" — com máscara dinâmica conforme a Espécie selecionada no cadastro, eliminando a limitação de 6 dígitos numéricos do NUTRANSFSIAFI para os casos que não são SICONV.</w:t>
      </w:r>
    </w:p>
    <w:p>
      <w:pPr>
        <w:pStyle w:val="Heading1"/>
      </w:pPr>
      <w:r>
        <w:t>7. Resumo executivo</w:t>
      </w:r>
    </w:p>
    <w:p>
      <w:pPr>
        <w:pStyle w:val="ListBullet"/>
      </w:pPr>
      <w:r>
        <w:t>O padrão de identificador muda conforme a fonte federal de origem, não apenas conforme a Espécie de Transferência cadastrada no SIGGO — em particular, "01-Convênio" hoje mistura dois sistemas com formatos incompatíveis (SICONV de 6 dígitos e Gestão de Parcerias de 12 dígitos).</w:t>
      </w:r>
    </w:p>
    <w:p>
      <w:pPr>
        <w:pStyle w:val="ListBullet"/>
      </w:pPr>
      <w:r>
        <w:t>NUTRANSFSIAFI só comporta, estruturalmente, o formato do SICONV. Para as demais fontes, a orientação correta é deixar em branco e usar NUORIGINAL.</w:t>
      </w:r>
    </w:p>
    <w:p>
      <w:pPr>
        <w:pStyle w:val="ListBullet"/>
      </w:pPr>
      <w:r>
        <w:t>A máscara deve orientar e sinalizar, não bloquear de forma rígida, dado que mesmo as fontes oficiais têm exceções legítimas ao padrão predominante.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