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4"/>
        </w:rPr>
        <w:t>Proposta de correção definitiva</w:t>
      </w:r>
    </w:p>
    <w:p>
      <w:r>
        <w:rPr>
          <w:color w:val="595959"/>
          <w:sz w:val="30"/>
        </w:rPr>
        <w:t>Metodologia de cálculo de Imposto Retido x Recolhido — GDF/SIGGO</w:t>
      </w:r>
    </w:p>
    <w:p>
      <w:pPr>
        <w:pBdr>
          <w:bottom w:val="single" w:sz="6" w:space="8" w:color="1F4E79"/>
        </w:pBdr>
        <w:spacing w:after="320"/>
      </w:pPr>
      <w:r>
        <w:rPr>
          <w:i/>
          <w:color w:val="595959"/>
          <w:sz w:val="20"/>
        </w:rPr>
        <w:t>Documento preparado para discussão em reunião — não altera os relatórios já entregues</w:t>
      </w:r>
    </w:p>
    <w:p>
      <w:pPr>
        <w:pStyle w:val="Heading1"/>
      </w:pPr>
      <w:r>
        <w:rPr>
          <w:color w:val="1F4E79"/>
        </w:rPr>
        <w:t>1. Contexto</w:t>
      </w:r>
    </w:p>
    <w:p>
      <w:pPr>
        <w:spacing w:after="160"/>
      </w:pPr>
      <w:r>
        <w:t>A extração de impostos retidos e recolhidos pelo GDF (contas 827110203, 827110204, 631810000, 631820000, 632110300, 632210300) passou por duas rodadas de correção de fórmula. A segunda rodada resolveu o problema principal (saldo negativo), mas deixou um resíduo pequeno e de causa já identificada. Este documento propõe a correção definitiva desse resíduo e documenta o histórico de decisões para referência da equipe.</w:t>
      </w:r>
    </w:p>
    <w:p>
      <w:pPr>
        <w:pStyle w:val="Heading1"/>
      </w:pPr>
      <w:r>
        <w:rPr>
          <w:color w:val="1F4E79"/>
        </w:rPr>
        <w:t>2. Histórico do problema (linha do tempo)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Sintoma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Causa</w:t>
            </w:r>
          </w:p>
        </w:tc>
        <w:tc>
          <w:tcPr>
            <w:tcW w:type="dxa" w:w="136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1ª correção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Valor recolhido ~20x menor que o real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Fórmula somava DÉBITO nas contas de recolhimento; deveria somar CRÉDITO (natureza credora confirmada em INSALDOCONTABIL)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F4E79"/>
                <w:sz w:val="18"/>
              </w:rPr>
              <w:t>Corrigido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2ª correção</w:t>
              <w:br/>
              <w:t>(tentativa 1)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Total retido negativo (-R$118 mi)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"Crédito menos TODO débito" descontava pagamentos de restos a pagar de exercícios anteriores (ex: conta 632110300, R$666 mi em eventos "PAGAMENTO...EX ANTERIOR")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F4E79"/>
                <w:sz w:val="18"/>
              </w:rPr>
              <w:t>Abandonada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2ª correção</w:t>
              <w:br/>
              <w:t>(versão final)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ICMS retido aparecia com R$1.385,87 mesmo estornado 9 dias depois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Só descontar débito quando o EVENTO é, ele mesmo, de retenção/cancelamento (nome contém RETEN/APROPRIA, não PAGAMENTO/RECOLHIMENTO)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F4E79"/>
                <w:sz w:val="18"/>
              </w:rPr>
              <w:t>Corrigido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Resíduo residual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"Outros Impostos" retido fica em -R$16 mil (de R$15,9 bi)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Cancelamentos de retenção cujo crédito original foi registrado em EXERCÍCIO ANTERIOR ao do cancelamento (ex: evento "CANC. RPP...EX ANT")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F4E79"/>
                <w:sz w:val="18"/>
              </w:rPr>
              <w:t>Nesta proposta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4E79"/>
        </w:rPr>
        <w:t>3. O resíduo atual, em detalhe</w:t>
      </w:r>
    </w:p>
    <w:p>
      <w:pPr>
        <w:spacing w:after="160"/>
      </w:pPr>
      <w:r>
        <w:t>Na série histórica 2012–2026, o total de ICMS/IPTU/IOF/ITBI/ITCD classificados como "Outros Impostos" apresenta um valor retido líquido de -R$ 16.103,43 (contra um total geral de R$ 15,94 bilhões — 0,0001% do total). A origem é sempre o mesmo padrão:</w:t>
      </w:r>
    </w:p>
    <w:p>
      <w:pPr>
        <w:pStyle w:val="ListBullet"/>
        <w:spacing w:after="80"/>
      </w:pPr>
      <w:r>
        <w:t>Um empenho gera uma retenção (crédito) em um exercício — por exemplo, 2017.</w:t>
      </w:r>
    </w:p>
    <w:p>
      <w:pPr>
        <w:pStyle w:val="ListBullet"/>
        <w:spacing w:after="80"/>
      </w:pPr>
      <w:r>
        <w:t>Esse valor vira "Restos a Pagar Processados" (RPP) e permanece pendente na virada do ano.</w:t>
      </w:r>
    </w:p>
    <w:p>
      <w:pPr>
        <w:pStyle w:val="ListBullet"/>
        <w:spacing w:after="80"/>
      </w:pPr>
      <w:r>
        <w:t>No exercício seguinte (ex: 2018), a retenção é cancelada através de um evento como "CANC. RPP - RETENÇÕES EX ANT..." — que debita a conta de retido.</w:t>
      </w:r>
    </w:p>
    <w:p>
      <w:pPr>
        <w:pStyle w:val="ListBullet"/>
        <w:spacing w:after="80"/>
      </w:pPr>
      <w:r>
        <w:t>Como a consulta é feita exercício a exercício, o crédito de 2017 não aparece na mesma "foto" do débito de 2018 — sobra só o débito, gerando um pequeno saldo negativo no ano do cancelamento.</w:t>
      </w:r>
    </w:p>
    <w:p>
      <w:pPr>
        <w:spacing w:after="160"/>
      </w:pPr>
      <w:r>
        <w:t>Este é o mesmo mecanismo de fundo que causou o problema grande dos R$666 milhões na conta 632110300 (pagamentos de restos a pagar de exercícios anteriores) — só que em escala muito menor, porque a maioria dos cancelamentos de retenção acontece dentro do próprio exercício (como o caso do ICMS/SEDET, retido e estornado em menos de 10 dias).</w:t>
      </w:r>
    </w:p>
    <w:p>
      <w:pPr>
        <w:pStyle w:val="Heading1"/>
      </w:pPr>
      <w:r>
        <w:rPr>
          <w:color w:val="1F4E79"/>
        </w:rPr>
        <w:t>4. Duas opções de correção definitiva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Opção A — Excluir eventos "EX ANTERIOR" da subtração (recomendada)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Opção B — Casamento exato por documento/par de evento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b/>
                <w:sz w:val="18"/>
              </w:rPr>
              <w:t>Como funciona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Amplia a lista de exclusão: além de não descontar débitos de eventos "PAGAMENTO"/"RECOLHIMENTO", também não desconta débitos de eventos cujo nome contenha "EX ANT", "EXERCÍCIO ANTERIOR" ou "EXERC. ANTERIOR" — pois esses cancelam retenção de outro exercício, não deste.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Casa cada lançamento de estorno com seu lançamento de origem específico (mesma UG, mesmo COCONTACORRENTE/documento, mesmo valor, par de evento 0↔5 ou 1↔6) e só líquida quando ambas as pernas caem dentro do MESMO exercício consultado.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b/>
                <w:sz w:val="18"/>
              </w:rPr>
              <w:t>Esforço de implementação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Baixo — muda 1 condição de filtro já existente em todos os scripts.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Alto — exige join por documento/valor, tratamento de casos sem par exato, e reprocessamento de toda a base novamente.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b/>
                <w:sz w:val="18"/>
              </w:rPr>
              <w:t>Precisão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Resolve 100% do resíduo atual (R$16 mil) e continua resolvendo o caso do ICMS.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Mesmo resultado numérico neste caso, com rastreabilidade lançamento-a-lançamento (auditoria mais forte).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b/>
                <w:sz w:val="18"/>
              </w:rPr>
              <w:t>Risco de novos casos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Baixo: qualquer novo tipo de evento "...EX ANT" já cai na mesma regra automaticamente.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Baixo, mas exige manutenção se o padrão de nomenclatura dos eventos mudar.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b/>
                <w:sz w:val="18"/>
              </w:rPr>
              <w:t>Quando vale a pena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Suficiente para o uso atual (relatórios gerenciais e painéis).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Só se houver necessidade de auditoria formal, conciliação com controle interno, ou obrigação de rastrear cada estorno individualmente.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4E79"/>
        </w:rPr>
        <w:t>5. Recomendação</w:t>
      </w:r>
    </w:p>
    <w:p>
      <w:pPr>
        <w:spacing w:after="160"/>
      </w:pPr>
      <w:r>
        <w:rPr>
          <w:b/>
        </w:rPr>
        <w:t xml:space="preserve">Adotar a Opção A. </w:t>
      </w:r>
      <w:r>
        <w:t>É uma mudança pequena e de baixo risco — adicionar "EX ANT", "EXERCÍCIO ANTERIOR" e "EXERC. ANTERIOR" à lista de nomes de evento que NÃO devem ser descontados do retido/recolhido do exercício corrente, do mesmo jeito que já excluímos "PAGAMENTO"/"RECOLHIMENTO". Ela resolve os R$16 mil residuais sem exigir reprocessamento profundo da base nem mudança de estrutura das consultas.</w:t>
      </w:r>
    </w:p>
    <w:p>
      <w:pPr>
        <w:spacing w:after="160"/>
      </w:pPr>
      <w:r>
        <w:t>A Opção B (casamento exato por documento) fica registrada como alternativa para o caso de a Controladoria ou auditoria interna exigir rastreabilidade lançamento-a-lançamento no futuro — não é necessária para o uso atual (relatórios gerenciais e painéis de acompanhamento).</w:t>
      </w:r>
    </w:p>
    <w:p>
      <w:pPr>
        <w:pStyle w:val="Heading1"/>
      </w:pPr>
      <w:r>
        <w:rPr>
          <w:color w:val="1F4E79"/>
        </w:rPr>
        <w:t>6. Próximos passos, se aprovado</w:t>
      </w:r>
    </w:p>
    <w:p>
      <w:pPr>
        <w:pStyle w:val="ListBullet"/>
        <w:spacing w:after="80"/>
      </w:pPr>
      <w:r>
        <w:t>Atualizar a cláusula de exclusão nos scripts SQL (01/02) e nos geradores de planilha histórica.</w:t>
      </w:r>
    </w:p>
    <w:p>
      <w:pPr>
        <w:pStyle w:val="ListBullet"/>
        <w:spacing w:after="80"/>
      </w:pPr>
      <w:r>
        <w:t>Reprocessar os 4 arquivos já entregues (2026 e histórico, detalhado e por UG).</w:t>
      </w:r>
    </w:p>
    <w:p>
      <w:pPr>
        <w:pStyle w:val="ListBullet"/>
        <w:spacing w:after="80"/>
      </w:pPr>
      <w:r>
        <w:t>Adicionar uma nota de rodapé nos relatórios indicando a data da última correção metodológica, para rastreabilidade de versão.</w:t>
      </w:r>
    </w:p>
    <w:p>
      <w:pPr>
        <w:spacing w:before="320"/>
      </w:pPr>
    </w:p>
    <w:p>
      <w:pPr>
        <w:pBdr>
          <w:bottom w:val="single" w:sz="4" w:space="8" w:color="BFBFBF"/>
        </w:pBdr>
      </w:pPr>
      <w:r>
        <w:rPr>
          <w:i/>
          <w:color w:val="595959"/>
          <w:sz w:val="16"/>
        </w:rPr>
        <w:t>Documento gerado em 14/09/2026 a partir da análise dos schemas MIL2012–MIL2026 (Oracle/SIGGO). Nenhum arquivo de relatório já entregue foi alterado na preparação desta proposta.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