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 w:before="3000" w:line="276" w:lineRule="auto"/>
        <w:jc w:val="center"/>
      </w:pPr>
      <w:r>
        <w:rPr>
          <w:rFonts w:ascii="Arial" w:cs="Arial" w:eastAsia="Arial" w:hAnsi="Arial"/>
          <w:color w:val="88C835"/>
          <w:sz w:val="24"/>
          <w:szCs w:val="24"/>
        </w:rPr>
        <w:t xml:space="preserve">FarmaPro Impulso · Recurso exclusivo</w:t>
      </w:r>
    </w:p>
    <w:p>
      <w:pPr>
        <w:spacing w:after="280" w:before="480" w:line="320" w:lineRule="auto"/>
        <w:jc w:val="center"/>
      </w:pPr>
      <w:r>
        <w:rPr>
          <w:rFonts w:ascii="Arial" w:cs="Arial" w:eastAsia="Arial" w:hAnsi="Arial"/>
          <w:b/>
          <w:bCs/>
          <w:color w:val="000000"/>
          <w:sz w:val="56"/>
          <w:szCs w:val="56"/>
        </w:rPr>
        <w:t xml:space="preserve">Catálogo: 12 Servicios Profesionales de Alta Rentabilidad para Implementar Este Trimestre</w:t>
      </w:r>
    </w:p>
    <w:p>
      <w:pPr>
        <w:spacing w:after="160" w:before="200" w:line="276" w:lineRule="auto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Newsletter #19 — La Farmacia como Centro de Bienestar</w:t>
      </w:r>
    </w:p>
    <w:p>
      <w:pPr>
        <w:spacing w:after="160" w:before="400" w:line="276" w:lineRule="auto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FarmaPro / Mkpro · 2026</w:t>
      </w:r>
    </w:p>
    <w:p>
      <w:r>
        <w:br w:type="page"/>
      </w:r>
    </w:p>
    <w:p>
      <w:pPr>
        <w:pStyle w:val="Heading1"/>
        <w:spacing w:after="240" w:before="360" w:line="276" w:lineRule="auto"/>
      </w:pPr>
      <w:r>
        <w:rPr>
          <w:rFonts w:ascii="Arial" w:cs="Arial" w:eastAsia="Arial" w:hAnsi="Arial"/>
          <w:b/>
          <w:bCs/>
          <w:color w:val="88C835"/>
          <w:sz w:val="44"/>
          <w:szCs w:val="44"/>
        </w:rPr>
        <w:t xml:space="preserve">Catálogo: 12 Servicios Profesionales de Alta Rentabilidad para Implementar Este Trimestre</w:t>
      </w:r>
    </w:p>
    <w:p>
      <w:pPr>
        <w:pStyle w:val="Heading2"/>
        <w:spacing w:after="160" w:before="280" w:line="276" w:lineRule="auto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Cómo usar este catálogo</w:t>
      </w:r>
    </w:p>
    <w:p>
      <w:pPr>
        <w:spacing w:after="120" w:line="276" w:lineRule="auto"/>
      </w:pPr>
      <w:r>
        <w:rPr>
          <w:rFonts w:ascii="Arial" w:cs="Arial" w:eastAsia="Arial" w:hAnsi="Arial"/>
          <w:sz w:val="22"/>
          <w:szCs w:val="22"/>
        </w:rPr>
        <w:t xml:space="preserve">Este catálogo está diseñado para ayudaros a tomar una decisión informada sobre qué servicios profesionales implementar en vuestra farmacia en los próximos tres meses.</w:t>
      </w:r>
    </w:p>
    <w:p>
      <w:pPr>
        <w:spacing w:after="120" w:line="276" w:lineRule="auto"/>
      </w:pPr>
      <w:r>
        <w:rPr>
          <w:rFonts w:ascii="Arial" w:cs="Arial" w:eastAsia="Arial" w:hAnsi="Arial"/>
          <w:sz w:val="22"/>
          <w:szCs w:val="22"/>
        </w:rPr>
        <w:t xml:space="preserve">Para cada servicio encontraréis: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Perfil de farmacia ideal</w:t>
      </w:r>
      <w:r>
        <w:rPr>
          <w:rFonts w:ascii="Arial" w:cs="Arial" w:eastAsia="Arial" w:hAnsi="Arial"/>
          <w:sz w:val="22"/>
          <w:szCs w:val="22"/>
        </w:rPr>
        <w:t xml:space="preserve">: en qué tipo de establecimiento funciona mejor.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Inversión inicial orientativa</w:t>
      </w:r>
      <w:r>
        <w:rPr>
          <w:rFonts w:ascii="Arial" w:cs="Arial" w:eastAsia="Arial" w:hAnsi="Arial"/>
          <w:sz w:val="22"/>
          <w:szCs w:val="22"/>
        </w:rPr>
        <w:t xml:space="preserve">: estimación sectorial de costes de arranque.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Tiempo de implementación</w:t>
      </w:r>
      <w:r>
        <w:rPr>
          <w:rFonts w:ascii="Arial" w:cs="Arial" w:eastAsia="Arial" w:hAnsi="Arial"/>
          <w:sz w:val="22"/>
          <w:szCs w:val="22"/>
        </w:rPr>
        <w:t xml:space="preserve">: semanas desde la decisión hasta el primer paciente atendido.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Margen esperado</w:t>
      </w:r>
      <w:r>
        <w:rPr>
          <w:rFonts w:ascii="Arial" w:cs="Arial" w:eastAsia="Arial" w:hAnsi="Arial"/>
          <w:sz w:val="22"/>
          <w:szCs w:val="22"/>
        </w:rPr>
        <w:t xml:space="preserve">: rentabilidad orientativa por sesión o proceso.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Requisitos formativos del equipo</w:t>
      </w:r>
      <w:r>
        <w:rPr>
          <w:rFonts w:ascii="Arial" w:cs="Arial" w:eastAsia="Arial" w:hAnsi="Arial"/>
          <w:sz w:val="22"/>
          <w:szCs w:val="22"/>
        </w:rPr>
        <w:t xml:space="preserve">: qué formación previa o específica se necesita.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Marco legal y deontológico</w:t>
      </w:r>
      <w:r>
        <w:rPr>
          <w:rFonts w:ascii="Arial" w:cs="Arial" w:eastAsia="Arial" w:hAnsi="Arial"/>
          <w:sz w:val="22"/>
          <w:szCs w:val="22"/>
        </w:rPr>
        <w:t xml:space="preserve">: consideraciones normativas clave para cada servicio.</w:t>
      </w:r>
    </w:p>
    <w:p>
      <w:pPr>
        <w:spacing w:after="120" w:line="276" w:lineRule="auto"/>
      </w:pPr>
      <w:r>
        <w:rPr>
          <w:rFonts w:ascii="Arial" w:cs="Arial" w:eastAsia="Arial" w:hAnsi="Arial"/>
          <w:sz w:val="22"/>
          <w:szCs w:val="22"/>
        </w:rPr>
        <w:t xml:space="preserve">Al final del catálogo encontraréis 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Matriz de Decisión</w:t>
      </w:r>
      <w:r>
        <w:rPr>
          <w:rFonts w:ascii="Arial" w:cs="Arial" w:eastAsia="Arial" w:hAnsi="Arial"/>
          <w:sz w:val="22"/>
          <w:szCs w:val="22"/>
        </w:rPr>
        <w:t xml:space="preserve"> para elegir los 3 servicios con mayor potencial en vuestra farmacia concreta, y el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Checklist de Implementación</w:t>
      </w:r>
      <w:r>
        <w:rPr>
          <w:rFonts w:ascii="Arial" w:cs="Arial" w:eastAsia="Arial" w:hAnsi="Arial"/>
          <w:sz w:val="22"/>
          <w:szCs w:val="22"/>
        </w:rPr>
        <w:t xml:space="preserve"> para los que seleccionéis.</w:t>
      </w:r>
    </w:p>
    <w:p>
      <w:pPr>
        <w:pBdr>
          <w:left w:val="single" w:color="88C835" w:sz="24" w:space="8"/>
        </w:pBdr>
        <w:spacing w:after="120" w:line="276" w:lineRule="auto"/>
        <w:ind w:left="36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</w: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</w:r>
    </w:p>
    <w:p>
      <w:pPr>
        <w:pStyle w:val="Heading2"/>
        <w:spacing w:after="160" w:before="280" w:line="276" w:lineRule="auto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Servicio 1 — Medición de Tensión Arterial con Seguimiento Estructurado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Descripción</w:t>
      </w:r>
    </w:p>
    <w:p>
      <w:pPr>
        <w:spacing w:after="120" w:line="276" w:lineRule="auto"/>
      </w:pPr>
      <w:r>
        <w:rPr>
          <w:rFonts w:ascii="Arial" w:cs="Arial" w:eastAsia="Arial" w:hAnsi="Arial"/>
          <w:sz w:val="22"/>
          <w:szCs w:val="22"/>
        </w:rPr>
        <w:t xml:space="preserve">Programa de control de la tensión arterial con registro sistemático, seguimiento periódico y comunicación al médico de referencia cuando se detectan valores fuera de rango. Va más allá de la medición puntual ocasional.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Perfil de farmacia ideal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Farmacia de cualquier tamaño con cartera de pacientes crónicos establecida.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Especialmente indicado en zonas con población mayor de 55 años o con alta prevalencia de hipertensión (zonas rurales, barrios residenciales).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No requiere espacio adicional: se puede hacer en la zona de atención al paciente existente.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Inversión inicial orientativa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Tensiómetro validado de brazo de grado médico: 80-180 €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Registros de seguimiento (digital o papel): 0-50 €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Formación interna básica: 0 € (recursos gratuitos del Consejo General de COF)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estimado: 80-230 €</w:t>
      </w:r>
      <w:r>
        <w:rPr>
          <w:rFonts w:ascii="Arial" w:cs="Arial" w:eastAsia="Arial" w:hAnsi="Arial"/>
          <w:sz w:val="22"/>
          <w:szCs w:val="22"/>
        </w:rPr>
        <w:t xml:space="preserve"> (estimación sectorial)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Tiempo de implementación</w:t>
      </w:r>
    </w:p>
    <w:p>
      <w:pPr>
        <w:spacing w:after="120" w:line="276" w:lineRule="auto"/>
      </w:pPr>
      <w:r>
        <w:rPr>
          <w:rFonts w:ascii="Arial" w:cs="Arial" w:eastAsia="Arial" w:hAnsi="Arial"/>
          <w:sz w:val="22"/>
          <w:szCs w:val="22"/>
        </w:rPr>
        <w:t xml:space="preserve">2-3 semanas desde la decisión hasta el primer paciente en programa.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Margen esperado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Si se ofrece con coste (1,50-3 €/medición): margen del 80-90%.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Si se ofrece gratuito: valor indirecto por fidelización y prescripción asociada (complementos cardiovasculares, material de autocontrol).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El valor real está en la recurrencia: un paciente en seguimiento trimestral genera 4 visitas anuales garantizadas.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Requisitos formativos del equipo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Protocolo interno de interpretación de valores y criterios de derivación al médico.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No se requiere formación adicional más allá de la titulación farmacéutica habitual.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Recomendable: taller de comunicación con paciente crónico.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Marco legal y deontológico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Servicio plenamente compatible con el código deontológico farmacéutico.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La medición de tensión arterial es una actividad propia del farmacéutico comunitario reconocida en la Ley de Garantías y Uso Racional del Medicamento y Productos Sanitarios.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Los registros de pacientes deben cumplir el RGPD: consentimiento informado por escrito, registro seguro, política de privacidad visible en la farmacia.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No se puede emitir diagnóstico ni prescribir tratamiento farmacológico. El papel de la farmacia es el control, el registro y la derivación cuando corresponde.</w:t>
      </w:r>
    </w:p>
    <w:p>
      <w:pPr>
        <w:pStyle w:val="Heading2"/>
        <w:spacing w:after="160" w:before="280" w:line="276" w:lineRule="auto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Servicio 2 — Análisis Nutricional con Plan Personalizado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Descripción</w:t>
      </w:r>
    </w:p>
    <w:p>
      <w:pPr>
        <w:spacing w:after="120" w:line="276" w:lineRule="auto"/>
      </w:pPr>
      <w:r>
        <w:rPr>
          <w:rFonts w:ascii="Arial" w:cs="Arial" w:eastAsia="Arial" w:hAnsi="Arial"/>
          <w:sz w:val="22"/>
          <w:szCs w:val="22"/>
        </w:rPr>
        <w:t xml:space="preserve">Evaluación del estado nutricional del paciente mediante entrevista estructurada, cuestionarios validados y/o medición de parámetros básicos (IMC, composición corporal si se dispone de báscula de bioimpedancia). Resultado: plan de recomendaciones personalizadas con objetivos alcanzables.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Perfil de farmacia ideal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Farmacias con clientela de entre 30 y 60 años, con perfil de salud activo.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Zonas urbanas y semiurbanas con interés creciente por la alimentación como herramienta de salud.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Farmacias que ya tienen sección de complementos nutricionales o dietética: complementariedad directa.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Inversión inicial orientativa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Báscula de bioimpedancia básica: 150-400 € (opcional pero muy recomendable)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Cuestionarios de valoración nutricional: 0 € (disponibles en portales farmacéuticos)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Formación específica en nutrición y dietética para farmacéutico: 200-500 € (curso acreditado)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Material para informes de paciente: 30-80 €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estimado: 380-980 €</w:t>
      </w:r>
      <w:r>
        <w:rPr>
          <w:rFonts w:ascii="Arial" w:cs="Arial" w:eastAsia="Arial" w:hAnsi="Arial"/>
          <w:sz w:val="22"/>
          <w:szCs w:val="22"/>
        </w:rPr>
        <w:t xml:space="preserve"> (estimación sectorial)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Tiempo de implementación</w:t>
      </w:r>
    </w:p>
    <w:p>
      <w:pPr>
        <w:spacing w:after="120" w:line="276" w:lineRule="auto"/>
      </w:pPr>
      <w:r>
        <w:rPr>
          <w:rFonts w:ascii="Arial" w:cs="Arial" w:eastAsia="Arial" w:hAnsi="Arial"/>
          <w:sz w:val="22"/>
          <w:szCs w:val="22"/>
        </w:rPr>
        <w:t xml:space="preserve">4-6 semanas (incluye formación + protocolo + comunicación interna).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Margen esperado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Tarifa de consulta inicial: 15-30 € → margen 80-90%.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Consultas de seguimiento (cada 4-6 semanas): 10-20 €.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Prescripción asociada de complementos: margen medio del 40-50%.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Un paciente activo en seguimiento nutricional puede generar 6-8 visitas/año entre consulta y producto.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Requisitos formativos del equipo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Formación específica en valoración nutricional básica para el farmacéutico o técnico responsable del servicio.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No es necesario ser dietista-nutricionista para ofrecer recomendaciones generales de salud nutricional desde la farmacia, pero sí se requiere formación acreditada para ofrecer un servicio de calidad.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Protocolo claro de derivación a dietista-nutricionista para casos complejos (trastornos de la conducta alimentaria, patologías asociadas).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Marco legal y deontológico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El farmacéutico puede ofrecer educación nutricional y consejo dietético general en el marco de la atención farmacéutica, conforme a la Ley 29/2006.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No se puede emitir diagnóstico nutricional clínico ni tratar patologías nutricionales (obesidad mórbida, anorexia, etc.) sin derivación a especialista.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Los complementos alimenticios recomendados deben diferenciarse claramente de los medicamentos en el discurso con el paciente.</w:t>
      </w:r>
    </w:p>
    <w:p>
      <w:pPr>
        <w:pStyle w:val="Heading2"/>
        <w:spacing w:after="160" w:before="280" w:line="276" w:lineRule="auto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Servicio 3 — Diagnóstico Dermatológico Básico y Plan de Cuidado de Piel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Descripción</w:t>
      </w:r>
    </w:p>
    <w:p>
      <w:pPr>
        <w:spacing w:after="120" w:line="276" w:lineRule="auto"/>
      </w:pPr>
      <w:r>
        <w:rPr>
          <w:rFonts w:ascii="Arial" w:cs="Arial" w:eastAsia="Arial" w:hAnsi="Arial"/>
          <w:sz w:val="22"/>
          <w:szCs w:val="22"/>
        </w:rPr>
        <w:t xml:space="preserve">Análisis del tipo de piel del paciente mediante observación directa y/o dispositivo de análisis, identificación de las necesidades específicas (hidratación, control del sebo, sensibilidad, manchas, foto-envejecimiento) y elaboración de una rutina de cuidado personalizada con productos del stock de la farmacia.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Perfil de farmacia ideal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Farmacias con corner dermocosmético desarrollado o en proceso de desarrollo.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Clientela con interés activo en cuidado de la piel (normalmente mujeres de entre 30 y 55 años, aunque el perfil masculino crece).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Complementa directamente la estrategia de categoría estrella de dermocosmética (N17).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Inversión inicial orientativa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Dispositivo de análisis de piel (lupa digital o analizador básico): 150-800 €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Espejo con iluminación perimetral para zona de diagnóstico: 80-150 €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Formación específica en dermofarmacia y cosmetología: 200-500 €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Material para fichas de paciente y seguimiento: 30-60 €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estimado: 460-1.510 €</w:t>
      </w:r>
      <w:r>
        <w:rPr>
          <w:rFonts w:ascii="Arial" w:cs="Arial" w:eastAsia="Arial" w:hAnsi="Arial"/>
          <w:sz w:val="22"/>
          <w:szCs w:val="22"/>
        </w:rPr>
        <w:t xml:space="preserve"> (estimación sectorial)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Tiempo de implementación</w:t>
      </w:r>
    </w:p>
    <w:p>
      <w:pPr>
        <w:spacing w:after="120" w:line="276" w:lineRule="auto"/>
      </w:pPr>
      <w:r>
        <w:rPr>
          <w:rFonts w:ascii="Arial" w:cs="Arial" w:eastAsia="Arial" w:hAnsi="Arial"/>
          <w:sz w:val="22"/>
          <w:szCs w:val="22"/>
        </w:rPr>
        <w:t xml:space="preserve">3-5 semanas.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Margen esperado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El servicio de dermoanálisis puede ofrecerse gratuito como entrada o a 10-20 € por sesión.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El valor real es la prescripción de la rutina: ticket medio dermocosmético del paciente que ha pasado por dermoanálisis un 40-60% superior al de quien compra sin diagnóstico (estimación sectorial).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Seguimiento a 4-6 semanas para valorar resultados: visita adicional garantizada.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Requisitos formativos del equipo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Formación en dermofarmacia: tipos de piel, principales patologías cutáneas de competencia farmacéutica (acné leve, rosácea, piel atópica, foto-envejecimiento), ingredientes activos cosméticos.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Conocimiento del surtido propio a nivel de ingredientes activos y formulaciones.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Marco legal y deontológico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El consejo dermocosmético y la orientación sobre tipos de piel es actividad propia del farmacéutico.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No se puede diagnosticar patología dermatológica (psoriasis, dermatitis atópica grave, melanomas u otras lesiones pigmentadas) ni prescribir tratamiento farmacológico. Protocolo de derivación al dermatólogo cuando se detecten lesiones que requieran evaluación médica.</w:t>
      </w:r>
    </w:p>
    <w:p>
      <w:pPr>
        <w:pStyle w:val="Heading2"/>
        <w:spacing w:after="160" w:before="280" w:line="276" w:lineRule="auto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Servicio 4 — Test de Intolerancias Alimentarias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Descripción</w:t>
      </w:r>
    </w:p>
    <w:p>
      <w:pPr>
        <w:spacing w:after="120" w:line="276" w:lineRule="auto"/>
      </w:pPr>
      <w:r>
        <w:rPr>
          <w:rFonts w:ascii="Arial" w:cs="Arial" w:eastAsia="Arial" w:hAnsi="Arial"/>
          <w:sz w:val="22"/>
          <w:szCs w:val="22"/>
        </w:rPr>
        <w:t xml:space="preserve">Realización de test de detección de posibles intolerancias alimentarias mediante muestra de sangre capilar o saliva, con interpretación de resultados y plan de orientación alimentaria adaptado.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Perfil de farmacia ideal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Farmacias en zonas urbanas o semiurbanas con clientela adulta activa (30-55 años).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Farmacias con ya cierto perfil de salud natural/integrativa entre su clientela.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Alta densidad de pacientes con síntomas digestivos crónicos o quejas de bienestar general inespecífico.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Inversión inicial orientativa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Kit de tests de intolerancias (proveedor especializado): 40-90 € por test de muestra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Formación específica en interpretación de resultados: 150-300 €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Material de consulta y ficha de paciente: 30-50 €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estimado por test: 50-100 €</w:t>
      </w:r>
      <w:r>
        <w:rPr>
          <w:rFonts w:ascii="Arial" w:cs="Arial" w:eastAsia="Arial" w:hAnsi="Arial"/>
          <w:sz w:val="22"/>
          <w:szCs w:val="22"/>
        </w:rPr>
        <w:t xml:space="preserve"> de coste; tarifa de venta: 80-150 € (estimación sectorial)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Tiempo de implementación</w:t>
      </w:r>
    </w:p>
    <w:p>
      <w:pPr>
        <w:spacing w:after="120" w:line="276" w:lineRule="auto"/>
      </w:pPr>
      <w:r>
        <w:rPr>
          <w:rFonts w:ascii="Arial" w:cs="Arial" w:eastAsia="Arial" w:hAnsi="Arial"/>
          <w:sz w:val="22"/>
          <w:szCs w:val="22"/>
        </w:rPr>
        <w:t xml:space="preserve">2-4 semanas (incluye selección de proveedor + formación + protocolo).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Margen esperado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Margen bruto por test: 40-60% sobre tarifa.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Prescripción asociada (probióticos, enzimas digestivas, complementos de rotación intestinal): alta correlación con los resultados del test.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El seguimiento genera 2-3 visitas adicionales por proceso.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Requisitos formativos del equipo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Formación en interpretación de tests de IgG y comunicación de resultados al paciente.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Protocolo claro para diferenciar intolerancia (IgG) de alergia alimentaria (IgE): el paciente frecuentemente confunde ambas. La farmacia no diagnostica alergias alimentarias.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Derivación al alergólogo ante sintomatología compatible con alergia (urticaria, angioedema, anafilaxia).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Marco legal y deontológico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Los tests de intolerancias alimentarias disponibles en farmacia son tests de orientación, no de diagnóstico. Esta distinción debe comunicarse claramente al paciente.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No se pueden afirmar diagnósticos de enfermedades (síndrome del intestino irritable, enfermedad celíaca, etc.) en base a estos tests.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Los tests de intolerancia a la lactosa y al gluten requieren confirmación médica para el diagnóstico definitivo.</w:t>
      </w:r>
    </w:p>
    <w:p>
      <w:pPr>
        <w:pStyle w:val="Heading2"/>
        <w:spacing w:after="160" w:before="280" w:line="276" w:lineRule="auto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Servicio 5 — Cribado Cardiovascular Básico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Descripción</w:t>
      </w:r>
    </w:p>
    <w:p>
      <w:pPr>
        <w:spacing w:after="120" w:line="276" w:lineRule="auto"/>
      </w:pPr>
      <w:r>
        <w:rPr>
          <w:rFonts w:ascii="Arial" w:cs="Arial" w:eastAsia="Arial" w:hAnsi="Arial"/>
          <w:sz w:val="22"/>
          <w:szCs w:val="22"/>
        </w:rPr>
        <w:t xml:space="preserve">Sesión de valoración básica de riesgo cardiovascular que incluye medición de tensión arterial, glucemia capilar, colesterol total y/o perímetro abdominal. Registro, interpretación orientativa y derivación al médico cuando los resultados lo justifican.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Perfil de farmacia ideal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Cualquier farmacia con espacio mínimo para la atención individualizada.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Especialmente indicado en zonas con alta prevalencia de diabetes, hipertensión o síndrome metabólico (zonas con envejecimiento poblacional, barrios de nivel socioeconómico medio-bajo).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Farmacias con protocolo de colaboración con centros de salud del entorno.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Inversión inicial orientativa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Tensiómetro validado: 80-180 € (si no se tiene ya)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Glucómetro capilar + tiras reactivas: 30-80 € + consumibles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Analizador de colesterol básico: 200-600 €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Cinta métrica y ficha de valoración: 5-20 €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estimado: 315-880 €</w:t>
      </w:r>
      <w:r>
        <w:rPr>
          <w:rFonts w:ascii="Arial" w:cs="Arial" w:eastAsia="Arial" w:hAnsi="Arial"/>
          <w:sz w:val="22"/>
          <w:szCs w:val="22"/>
        </w:rPr>
        <w:t xml:space="preserve"> (estimación sectorial)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Tiempo de implementación</w:t>
      </w:r>
    </w:p>
    <w:p>
      <w:pPr>
        <w:spacing w:after="120" w:line="276" w:lineRule="auto"/>
      </w:pPr>
      <w:r>
        <w:rPr>
          <w:rFonts w:ascii="Arial" w:cs="Arial" w:eastAsia="Arial" w:hAnsi="Arial"/>
          <w:sz w:val="22"/>
          <w:szCs w:val="22"/>
        </w:rPr>
        <w:t xml:space="preserve">2-4 semanas.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Margen esperado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Tarifa orientativa: 10-20 € por sesión completa de cribado.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Margen directo: 70-80%.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Valor indirecto: captación de pacientes en riesgo que inician seguimiento regular, prescripción de complementos cardiovasculares, prescripción de material de autocontrol.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Requisitos formativos del equipo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Formación en interpretación de valores de glucemia y colesterol capilar y criterios de derivación al médico.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Protocolo claro: la farmacia no diagnostica diabetes ni hiperlipemia. El cribado detecta valores fuera de rango que requieren evaluación médica.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Marco legal y deontológico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Actividad propia del farmacéutico comunitario en el marco de la atención farmacéutica.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Confidencialidad de los datos del paciente: RGPD aplicable.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Consentimiento informado antes de cada determinación.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Los consumibles de diagnóstico in vitro (glucómetros, analizadores de colesterol) deben cumplir la normativa de productos sanitarios (Reglamento UE 2017/746).</w:t>
      </w:r>
    </w:p>
    <w:p>
      <w:pPr>
        <w:pStyle w:val="Heading2"/>
        <w:spacing w:after="160" w:before="280" w:line="276" w:lineRule="auto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Servicio 6 — Sistemas Personalizados de Dosificación (SPD) para Pacientes Crónicos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Descripción</w:t>
      </w:r>
    </w:p>
    <w:p>
      <w:pPr>
        <w:spacing w:after="120" w:line="276" w:lineRule="auto"/>
      </w:pPr>
      <w:r>
        <w:rPr>
          <w:rFonts w:ascii="Arial" w:cs="Arial" w:eastAsia="Arial" w:hAnsi="Arial"/>
          <w:sz w:val="22"/>
          <w:szCs w:val="22"/>
        </w:rPr>
        <w:t xml:space="preserve">Preparación de la medicación oral del paciente polimedicado en blísters o pastilleros semanales o mensuales, con revisión de la prescripción, detección de posibles interacciones y seguimiento de la adherencia terapéutica.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Perfil de farmacia ideal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Cualquier farmacia con cartera de pacientes crónicos (más de 50 pacientes en medicación crónica regular es suficiente para arrancar).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Especialmente indicado en zonas con alta densidad de pacientes mayores, residencias geriátricas o centros de día en la zona de influencia.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Farmacias con espacio para área de preparación y almacenamiento (no requiere zona específica grande).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Inversión inicial orientativa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Selladora semiautomática para blísters: 800-2.500 €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Blísters y material de envasado (consumibles mensuales): 0,50-1,50 € por paciente/semana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Software de gestión SPD (algunos integrados en el sistema de gestión de la farmacia): 0-200 €/año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Formación en SPD (Consejo General de COF ofrece programas gratuitos o bonificados): 0-200 €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estimado de arranque: 800-2.900 €</w:t>
      </w:r>
      <w:r>
        <w:rPr>
          <w:rFonts w:ascii="Arial" w:cs="Arial" w:eastAsia="Arial" w:hAnsi="Arial"/>
          <w:sz w:val="22"/>
          <w:szCs w:val="22"/>
        </w:rPr>
        <w:t xml:space="preserve"> (estimación sectorial)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Tiempo de implementación</w:t>
      </w:r>
    </w:p>
    <w:p>
      <w:pPr>
        <w:spacing w:after="120" w:line="276" w:lineRule="auto"/>
      </w:pPr>
      <w:r>
        <w:rPr>
          <w:rFonts w:ascii="Arial" w:cs="Arial" w:eastAsia="Arial" w:hAnsi="Arial"/>
          <w:sz w:val="22"/>
          <w:szCs w:val="22"/>
        </w:rPr>
        <w:t xml:space="preserve">4-8 semanas (incluye adquisición de selladora + formación + protocolo + primeros pacientes).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Margen esperado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Tarifa orientativa: 5-15 € por paciente/semana según volumen de medicación y zona geográfica.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Con 10 pacientes en SPD: 200-600 €/mes de ingresos recurrentes.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Con 25 pacientes: 500-1.500 €/mes.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Tasa de retención: cercana al 100% mientras el paciente mantiene la medicación crónica.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Requisitos formativos del equipo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Formación específica en preparación de SPD: técnica de preparación, verificación de prescripciones, detección de interacciones.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Conocimiento de la normativa de preparación en farmacia comunitaria (Real Decreto 175/2001 y legislación autonómica aplicable).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Protocolo de revisión de medicación antes de preparar cada ciclo.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Marco legal y deontológico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Los SPD son una actividad reconocida en el marco de la atención farmacéutica comunitaria.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La preparación debe realizarse conforme a las normas de preparación de fórmulas magistrales si los blísters incluyen reconstitución o manipulación de medicamentos.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Para medicamentos de dispensación hospitalaria o de especial control, consultar normativa específica.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Consentimiento informado del paciente o su representante legal. Coordinación con el médico prescriptor cuando se detecten duplicidades o interacciones.</w:t>
      </w:r>
    </w:p>
    <w:p>
      <w:pPr>
        <w:pStyle w:val="Heading2"/>
        <w:spacing w:after="160" w:before="280" w:line="276" w:lineRule="auto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Servicio 7 — Programa de Cesación Tabáquica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Descripción</w:t>
      </w:r>
    </w:p>
    <w:p>
      <w:pPr>
        <w:spacing w:after="120" w:line="276" w:lineRule="auto"/>
      </w:pPr>
      <w:r>
        <w:rPr>
          <w:rFonts w:ascii="Arial" w:cs="Arial" w:eastAsia="Arial" w:hAnsi="Arial"/>
          <w:sz w:val="22"/>
          <w:szCs w:val="22"/>
        </w:rPr>
        <w:t xml:space="preserve">Programa estructurado de apoyo a la deshabituación tabáquica con seguimiento periódico, intervención motivacional, prescripción de terapia sustitutiva con nicotina (TSN) y registro de progreso. Duración habitual: 3-6 meses.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Perfil de farmacia ideal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Cualquier farmacia. La prevalencia de tabaquismo en España (en torno al 23% de la población adulta, estimación sectorial) garantiza demanda en todas las zonas.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Especialmente eficaz en farmacias que ya dispensan parches, chicles o comprimidos de nicotina con regularidad: son pacientes que ya están en el proceso.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Farmacias con espacio para una zona de consulta discreta.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Inversión inicial orientativa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Formación específica en cesación tabáquica para farmacéutico: 150-400 €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Fichas de seguimiento y material de sesión: 30-80 €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Cooxímetro (opcional, para medir monóxido de carbono en espiración y motivar al paciente): 100-300 €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estimado: 280-780 €</w:t>
      </w:r>
      <w:r>
        <w:rPr>
          <w:rFonts w:ascii="Arial" w:cs="Arial" w:eastAsia="Arial" w:hAnsi="Arial"/>
          <w:sz w:val="22"/>
          <w:szCs w:val="22"/>
        </w:rPr>
        <w:t xml:space="preserve"> (estimación sectorial)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Tiempo de implementación</w:t>
      </w:r>
    </w:p>
    <w:p>
      <w:pPr>
        <w:spacing w:after="120" w:line="276" w:lineRule="auto"/>
      </w:pPr>
      <w:r>
        <w:rPr>
          <w:rFonts w:ascii="Arial" w:cs="Arial" w:eastAsia="Arial" w:hAnsi="Arial"/>
          <w:sz w:val="22"/>
          <w:szCs w:val="22"/>
        </w:rPr>
        <w:t xml:space="preserve">3-5 semanas.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Margen esperado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Tarifa orientativa por programa completo (3 meses): 30-80 € (o gratuito con prescripción de TSN asociada).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Prescripción de TSN durante 8-12 semanas: ticket medio de 15-40 €/visita en consumibles.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Valor total por paciente en programa: estimación de 80-300 € en producto a lo largo del proceso.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Requisitos formativos del equipo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Formación acreditada en consejo breve e intervención motivacional para cesación tabáquica.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Conocimiento de las pautas de TSN (parches, chicles, comprimidos, inhaladores) y de las alternativas farmacológicas con receta médica (vareniclina, bupropión) para la coordinación con el médico.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Protocolo de derivación cuando el paciente presenta dependencia severa o comorbilidades.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Marco legal y deontológico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El consejo y seguimiento para la deshabituación tabáquica es una actividad propia del farmacéutico.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Los medicamentos de prescripción para la cesación tabáquica (vareniclina, bupropión) no pueden dispensarse sin receta médica.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El farmacéutico no puede diagnosticar enfermedades asociadas al tabaquismo ni prescribir tratamiento médico.</w:t>
      </w:r>
    </w:p>
    <w:p>
      <w:pPr>
        <w:pStyle w:val="Heading2"/>
        <w:spacing w:after="160" w:before="280" w:line="276" w:lineRule="auto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Servicio 8 — Asesoramiento Bucodental y Corner de Salud Oral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Descripción</w:t>
      </w:r>
    </w:p>
    <w:p>
      <w:pPr>
        <w:spacing w:after="120" w:line="276" w:lineRule="auto"/>
      </w:pPr>
      <w:r>
        <w:rPr>
          <w:rFonts w:ascii="Arial" w:cs="Arial" w:eastAsia="Arial" w:hAnsi="Arial"/>
          <w:sz w:val="22"/>
          <w:szCs w:val="22"/>
        </w:rPr>
        <w:t xml:space="preserve">Espacio específico de salud bucodental con asesoramiento personalizado sobre higiene oral, sensibilidad dental, cuidado de encías, ortodoncia y prótesis. Surtido especializado con productos de prescripción farmacéutica diferenciados de los de gran consumo.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Perfil de farmacia ideal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Farmacias en zonas sin clínica dental en la inmediata proximidad o con alta densidad de pacientes con prótesis dentales o en tratamiento de ortodoncia.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Farmacias con espacio para un pequeño corner diferenciado del surtido general de higiene personal.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Compatible con cualquier tamaño de farmacia.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Inversión inicial orientativa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Mobiliario y señalización del corner: 200-600 €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Surtido diferenciado (pastas con alta concentración de flúor, colutorios con clorhexidina, dentífricos para sensibilidad, irrigadores, seda dental especializada): 300-800 € en stock inicial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Formación en salud bucodental para el equipo: 100-250 €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estimado: 600-1.650 €</w:t>
      </w:r>
      <w:r>
        <w:rPr>
          <w:rFonts w:ascii="Arial" w:cs="Arial" w:eastAsia="Arial" w:hAnsi="Arial"/>
          <w:sz w:val="22"/>
          <w:szCs w:val="22"/>
        </w:rPr>
        <w:t xml:space="preserve"> (estimación sectorial)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Tiempo de implementación</w:t>
      </w:r>
    </w:p>
    <w:p>
      <w:pPr>
        <w:spacing w:after="120" w:line="276" w:lineRule="auto"/>
      </w:pPr>
      <w:r>
        <w:rPr>
          <w:rFonts w:ascii="Arial" w:cs="Arial" w:eastAsia="Arial" w:hAnsi="Arial"/>
          <w:sz w:val="22"/>
          <w:szCs w:val="22"/>
        </w:rPr>
        <w:t xml:space="preserve">3-5 semanas.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Margen esperado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Productos de prescripción bucodental: margen medio del 35-50%.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Irrigadores y dispositivos de higiene oral: margen del 25-40%.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El asesoramiento se ofrece sin coste directo; el valor está en la prescripción de producto diferenciado.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Requisitos formativos del equipo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Formación básica en salud bucodental: principales patologías (caries, gingivitis, periimplantitis, sensibilidad dental), ingredientes activos de los productos de prescripción oral y criterios de derivación al dentista.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Protocolo para no generar falsas expectativas: la farmacia asesora y complementa el tratamiento dental; no lo sustituye.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Marco legal y deontológico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El consejo sobre higiene bucodental y la venta de productos de parafarmacia oral no requieren habilitación específica más allá de la farmacéutica.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Los medicamentos con receta para afecciones bucales (antibióticos, antiinflamatorios) solo se dispensan con prescripción médica u odontológica.</w:t>
      </w:r>
    </w:p>
    <w:p>
      <w:pPr>
        <w:pStyle w:val="Heading2"/>
        <w:spacing w:after="160" w:before="280" w:line="276" w:lineRule="auto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Servicio 9 — Programa de Sueño y Descanso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Descripción</w:t>
      </w:r>
    </w:p>
    <w:p>
      <w:pPr>
        <w:spacing w:after="120" w:line="276" w:lineRule="auto"/>
      </w:pPr>
      <w:r>
        <w:rPr>
          <w:rFonts w:ascii="Arial" w:cs="Arial" w:eastAsia="Arial" w:hAnsi="Arial"/>
          <w:sz w:val="22"/>
          <w:szCs w:val="22"/>
        </w:rPr>
        <w:t xml:space="preserve">Evaluación de los hábitos de sueño del paciente mediante cuestionario validado (Índice de Calidad de Sueño de Pittsburgh o similar), identificación del tipo de trastorno y plan de recomendaciones que combina higiene del sueño, complementos a base de melatonina o plantas (valeriana, pasiflora, lúpulo) y derivación médica cuando la gravedad lo requiere.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Perfil de farmacia ideal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Cualquier farmacia. Los trastornos del sueño son transversales a todos los perfiles demográficos, aunque con mayor prevalencia en adultos de 45-65 años y en entornos urbanos con alta presión laboral.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Especialmente eficaz en farmacias con clientela habitual de complementos para el sueño: son pacientes que ya tienen el problema identificado.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Inversión inicial orientativa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Cuestionarios de evaluación del sueño (disponibles libremente): 0 €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Formación en trastornos del sueño y fitoterapia aplicada: 100-300 €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Material de consulta para el paciente (guía de higiene del sueño): 30-80 €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estimado: 130-380 €</w:t>
      </w:r>
      <w:r>
        <w:rPr>
          <w:rFonts w:ascii="Arial" w:cs="Arial" w:eastAsia="Arial" w:hAnsi="Arial"/>
          <w:sz w:val="22"/>
          <w:szCs w:val="22"/>
        </w:rPr>
        <w:t xml:space="preserve"> (estimación sectorial)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Tiempo de implementación</w:t>
      </w:r>
    </w:p>
    <w:p>
      <w:pPr>
        <w:spacing w:after="120" w:line="276" w:lineRule="auto"/>
      </w:pPr>
      <w:r>
        <w:rPr>
          <w:rFonts w:ascii="Arial" w:cs="Arial" w:eastAsia="Arial" w:hAnsi="Arial"/>
          <w:sz w:val="22"/>
          <w:szCs w:val="22"/>
        </w:rPr>
        <w:t xml:space="preserve">2-3 semanas.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Margen esperado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El servicio se ofrece habitualmente gratuito o con precio simbólico (5-10 €).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El valor está en la prescripción de complementos: melatonina, plantas adaptógenas, complementos de magnesio, aceites esenciales para aromaterapia. Margen medio del 40-55%.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Un paciente en seguimiento de sueño puede generar 4-6 visitas de revisión en un trimestre.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Requisitos formativos del equipo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Formación en tipos de insomnio y trastornos del sueño (insomnio de conciliación, de mantenimiento, despertar precoz, síndrome de piernas inquietas) y en fitoterapia aplicada al sueño.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Protocolo de derivación al médico para trastornos graves (apnea del sueño, narcolepsia, insomnio crónico severo).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Conciencia de las interacciones de la melatonina con determinados medicamentos (anticoagulantes, inmunosupresores).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Marco legal y deontológico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La melatonina es un complemento alimenticio a dosis de hasta 1 mg y medicamento sin receta a dosis superiores. El farmacéutico debe conocer esta distinción y comunicarla al paciente.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El consejo sobre higiene del sueño y los complementos fitoterapéuticos entra plenamente en el ámbito de la atención farmacéutica.</w:t>
      </w:r>
    </w:p>
    <w:p>
      <w:pPr>
        <w:pStyle w:val="Heading2"/>
        <w:spacing w:after="160" w:before="280" w:line="276" w:lineRule="auto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Servicio 10 — Salud Digestiva y Probióticos Personalizados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Descripción</w:t>
      </w:r>
    </w:p>
    <w:p>
      <w:pPr>
        <w:spacing w:after="120" w:line="276" w:lineRule="auto"/>
      </w:pPr>
      <w:r>
        <w:rPr>
          <w:rFonts w:ascii="Arial" w:cs="Arial" w:eastAsia="Arial" w:hAnsi="Arial"/>
          <w:sz w:val="22"/>
          <w:szCs w:val="22"/>
        </w:rPr>
        <w:t xml:space="preserve">Asesoramiento sobre salud digestiva basado en el perfil del paciente (síntomas, historial de medicación, alimentación, episodios previos) y recomendación personalizada de probióticos, prebióticos, enzimas digestivas u otros complementos. Seguimiento a las 4-6 semanas.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Perfil de farmacia ideal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Farmacias con clientela adulta activa con interés en salud digestiva o con prescripción habitual de antibióticos (que destruyen la microbiota y generan demanda de probióticos post-tratamiento).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Farmacias con surtido desarrollado en complementos digestivos y probióticos.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Inversión inicial orientativa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Formación en microbiota intestinal y probióticos (cursos online de colegios de farmacéuticos o proveedores): 100-300 €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Material de consulta y fichas de paciente: 30-60 €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estimado: 130-360 €</w:t>
      </w:r>
      <w:r>
        <w:rPr>
          <w:rFonts w:ascii="Arial" w:cs="Arial" w:eastAsia="Arial" w:hAnsi="Arial"/>
          <w:sz w:val="22"/>
          <w:szCs w:val="22"/>
        </w:rPr>
        <w:t xml:space="preserve"> (estimación sectorial)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Tiempo de implementación</w:t>
      </w:r>
    </w:p>
    <w:p>
      <w:pPr>
        <w:spacing w:after="120" w:line="276" w:lineRule="auto"/>
      </w:pPr>
      <w:r>
        <w:rPr>
          <w:rFonts w:ascii="Arial" w:cs="Arial" w:eastAsia="Arial" w:hAnsi="Arial"/>
          <w:sz w:val="22"/>
          <w:szCs w:val="22"/>
        </w:rPr>
        <w:t xml:space="preserve">2-4 semanas.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Margen esperado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El asesoramiento se ofrece sin coste adicional al de la consulta habitual.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Prescripción de probióticos y complementos digestivos: margen del 40-55%.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Un proceso digestivo activo (tratamiento antibiótico + recuperación microbiota) puede generar 2-3 visitas en 4-6 semanas con tickets de 20-60 € por visita.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Requisitos formativos del equipo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Formación en microbiota intestinal, cepas probióticas y sus indicaciones específicas, y complementos digestivos (enzimas, prebióticos, glutamina, zinc).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Protocolo de derivación al médico ante síntomas compatibles con patología orgánica (sangrado rectal, pérdida de peso no intencionada, dolor abdominal severo).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Marco legal y deontológico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Los probióticos son mayoritariamente complementos alimenticios: el farmacéutico puede recomendarlos libremente en el marco del consejo farmacéutico.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No se pueden hacer afirmaciones de propiedades medicinales sobre complementos alimenticios (Reglamento UE 1924/2006).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Derivación al médico o gastroenterólogo para patologías que requieren diagnóstico y tratamiento farmacológico.</w:t>
      </w:r>
    </w:p>
    <w:p>
      <w:pPr>
        <w:pStyle w:val="Heading2"/>
        <w:spacing w:after="160" w:before="280" w:line="276" w:lineRule="auto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Servicio 11 — Cuidado del Pie Diabético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Descripción</w:t>
      </w:r>
    </w:p>
    <w:p>
      <w:pPr>
        <w:spacing w:after="120" w:line="276" w:lineRule="auto"/>
      </w:pPr>
      <w:r>
        <w:rPr>
          <w:rFonts w:ascii="Arial" w:cs="Arial" w:eastAsia="Arial" w:hAnsi="Arial"/>
          <w:sz w:val="22"/>
          <w:szCs w:val="22"/>
        </w:rPr>
        <w:t xml:space="preserve">Revisión periódica del pie del paciente diabético: inspección visual de la piel y uñas, detección precoz de lesiones, educación en autocuidado y recomendación de productos específicos (cremas podológicas, calcetines de compresión graduada, ortesis simples). Protocolo de derivación al podólogo o al médico ante lesiones que requieran intervención profesional.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Perfil de farmacia ideal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Farmacias con alta prevalencia de pacientes diabéticos en la cartera (frecuente en zonas con envejecimiento poblacional, barrios de clase media-baja, zonas rurales).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Farmacias que ya dispensan insulinas, antidiabéticos orales o material de autocontrol: estos pacientes ya están identificados.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No se requiere espacio especial, aunque una silla de exploración de bajo coste mejora la experiencia.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Inversión inicial orientativa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Formación específica en pie diabético: 150-350 €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Material de exploración (lupa, linterna, monofilamento de Semmes-Weinstein para test de sensibilidad): 30-80 €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Material informativo para el paciente: 20-50 €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estimado: 200-480 €</w:t>
      </w:r>
      <w:r>
        <w:rPr>
          <w:rFonts w:ascii="Arial" w:cs="Arial" w:eastAsia="Arial" w:hAnsi="Arial"/>
          <w:sz w:val="22"/>
          <w:szCs w:val="22"/>
        </w:rPr>
        <w:t xml:space="preserve"> (estimación sectorial)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Tiempo de implementación</w:t>
      </w:r>
    </w:p>
    <w:p>
      <w:pPr>
        <w:spacing w:after="120" w:line="276" w:lineRule="auto"/>
      </w:pPr>
      <w:r>
        <w:rPr>
          <w:rFonts w:ascii="Arial" w:cs="Arial" w:eastAsia="Arial" w:hAnsi="Arial"/>
          <w:sz w:val="22"/>
          <w:szCs w:val="22"/>
        </w:rPr>
        <w:t xml:space="preserve">3-5 semanas.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Margen esperado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El servicio de revisión puede ofrecerse gratuito (como extensión de la atención al paciente crónico) o con tarifa de 10-15 € por sesión.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Prescripción asociada de cremas emolientes podológicas, antisépticos, apósitos, calcetines de compresión: margen del 35-50%.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El paciente diabético en seguimiento del pie tiene una frecuencia de visita muy superior a la media.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Requisitos formativos del equipo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Formación específica en cuidado del pie diabético: tipos de lesiones, escala de Wagner, criterios de derivación urgente, técnica de exploración básica y educación al paciente.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Protocolo de derivación al podólogo para intervenciones que excedan el ámbito farmacéutico (micosis severas, onicopatías, helomas complicados).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Marco legal y deontológico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El asesoramiento sobre autocuidado del pie y la revisión básica de lesiones cutáneas entra en el ámbito de la atención farmacéutica al paciente diabético.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No se pueden realizar tratamientos podológicos invasivos (desinfección de heridas abiertas profundas, quiropodia). Derivación inmediata ante úlceras, celulitis o signos de infección.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Coordinación con el equipo médico y de enfermería del centro de salud cuando se detecten alteraciones.</w:t>
      </w:r>
    </w:p>
    <w:p>
      <w:pPr>
        <w:pStyle w:val="Heading2"/>
        <w:spacing w:after="160" w:before="280" w:line="276" w:lineRule="auto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Servicio 12 — Farmacia Veterinaria Especializada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Descripción</w:t>
      </w:r>
    </w:p>
    <w:p>
      <w:pPr>
        <w:spacing w:after="120" w:line="276" w:lineRule="auto"/>
      </w:pPr>
      <w:r>
        <w:rPr>
          <w:rFonts w:ascii="Arial" w:cs="Arial" w:eastAsia="Arial" w:hAnsi="Arial"/>
          <w:sz w:val="22"/>
          <w:szCs w:val="22"/>
        </w:rPr>
        <w:t xml:space="preserve">Línea de atención veterinaria que incluye dispensación de medicamentos veterinarios con receta, asesoramiento en nutrición animal, complementos para mascotas (articulares, dermatológicos, digestivos, anti-estrés) y productos antiparasitarios de prescripción. Orientación especializada diferenciada de la sección genérica de parafarmacia animal.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Perfil de farmacia ideal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Farmacias en zonas con alta densidad de hogares con mascotas (zonas residenciales, familias con hijos, barrios de clase media-alta).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Farmacias cerca de clínicas veterinarias de la zona: posible colaboración para la dispensación de prescripciones.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Requiere espacio físico diferenciado con señalización clara.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Inversión inicial orientativa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Surtido inicial de medicamentos veterinarios con y sin receta, complementos y antiparasitarios: 400-1.200 €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Mobiliario y señalización de la sección: 200-500 €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Formación en farmacología veterinaria básica: 150-350 €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estimado: 750-2.050 €</w:t>
      </w:r>
      <w:r>
        <w:rPr>
          <w:rFonts w:ascii="Arial" w:cs="Arial" w:eastAsia="Arial" w:hAnsi="Arial"/>
          <w:sz w:val="22"/>
          <w:szCs w:val="22"/>
        </w:rPr>
        <w:t xml:space="preserve"> (estimación sectorial)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Tiempo de implementación</w:t>
      </w:r>
    </w:p>
    <w:p>
      <w:pPr>
        <w:spacing w:after="120" w:line="276" w:lineRule="auto"/>
      </w:pPr>
      <w:r>
        <w:rPr>
          <w:rFonts w:ascii="Arial" w:cs="Arial" w:eastAsia="Arial" w:hAnsi="Arial"/>
          <w:sz w:val="22"/>
          <w:szCs w:val="22"/>
        </w:rPr>
        <w:t xml:space="preserve">4-6 semanas (incluye alta en el registro de dispensación de medicamentos veterinarios si no se tiene ya + surtido + formación).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Margen esperado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Medicamentos veterinarios sin receta y complementos: margen del 35-55%.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Antiparasitarios de prescripción: margen del 30-45%.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Nutrición especializada (piensos medicados, dietas específicas): margen del 20-35%.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El propietario de mascota es un cliente fiel y con alta sensibilidad hacia el asesoramiento de calidad.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Requisitos formativos del equipo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Formación básica en farmacología veterinaria para especies de compañía (perros, gatos, conejos, aves).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Conocimiento del marco legal de dispensación de medicamentos veterinarios con receta.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Protocolo de derivación al veterinario para diagnóstico, tratamiento de patologías y cualquier situación que exceda el consejo y la dispensación.</w:t>
      </w:r>
    </w:p>
    <w:p>
      <w:pPr>
        <w:spacing w:after="12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Marco legal y deontológico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Los medicamentos veterinarios de prescripción solo pueden dispensarse con receta veterinaria (Reglamento UE 2019/6, transpuesto en España por el Real Decreto 666/2023).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Los medicamentos veterinarios no pueden usarse en personas y viceversa.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La farmacia no puede emitir diagnósticos veterinarios ni prescribir tratamientos para animales.</w:t>
      </w:r>
    </w:p>
    <w:p>
      <w:pPr>
        <w:pStyle w:val="Heading2"/>
        <w:spacing w:after="160" w:before="280" w:line="276" w:lineRule="auto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Matriz de Decisión: Cómo Elegir los 3 Servicios con los que Empezar</w:t>
      </w:r>
    </w:p>
    <w:p>
      <w:pPr>
        <w:spacing w:after="120" w:line="276" w:lineRule="auto"/>
      </w:pPr>
      <w:r>
        <w:rPr>
          <w:rFonts w:ascii="Arial" w:cs="Arial" w:eastAsia="Arial" w:hAnsi="Arial"/>
          <w:sz w:val="22"/>
          <w:szCs w:val="22"/>
        </w:rPr>
        <w:t xml:space="preserve">Antes de elegir, responded estas 5 preguntas sobre vuestra farmacia: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C8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C8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Vuestra respuesta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¿Cuál es el perfil predominante de vuestra clientela? (edad, sexo, perfil de salud)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 w:lineRule="auto"/>
            </w:pP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¿Cuáles son los 3 problemas de salud que más se preguntan en vuestro mostrador sin que podáis dar una respuesta completa?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 w:lineRule="auto"/>
            </w:pP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¿Qué servicios tienen ya farmacias competidoras cercanas y que vosotros no tenéis?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 w:lineRule="auto"/>
            </w:pP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¿Qué capacidad formativa tiene vuestro equipo este trimestre? (horas disponibles para formación)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 w:lineRule="auto"/>
            </w:pP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¿Cuál es vuestro presupuesto máximo de inversión inicial para nuevos servicios este trimestre?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 w:lineRule="auto"/>
            </w:pPr>
          </w:p>
        </w:tc>
      </w:tr>
    </w:tbl>
    <w:p>
      <w:pPr>
        <w:pStyle w:val="Heading3"/>
        <w:spacing w:after="120" w:before="200" w:line="276" w:lineRule="auto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Tabla de selección orientativa por perfil de farmacia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C8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 de farmacia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C8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Servicios recomendados para arrancar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Zona residencial con población mayor (&gt;55 años)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S1 (tensión), S5 (cribado cardiovascular), S6 (SPD)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Zona urbana con población activa (30-50 años)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S2 (nutricional), S3 (dermoanálisis), S9 (sueño)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Alta prevalencia de diabetes en la zona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S1 (tensión), S5 (cribado), S11 (pie diabético)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Fuerte categoría dermocosmética ya desarrollada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S3 (dermoanálisis), S4 (intolerancias), S8 (bucodental)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Alto porcentaje de pacientes fumadores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S7 (cesación tabáquica), S1 (tensión), S5 (cribado)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Zona con muchas mascotas / próxima a clínica vet.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S12 (veterinaria), S2 (nutricional), S10 (digestiva)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Farmacia rural con población envejecida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S6 (SPD), S11 (pie diabético), S1 (tensión)</w:t>
            </w:r>
          </w:p>
        </w:tc>
      </w:tr>
    </w:tbl>
    <w:p>
      <w:pPr>
        <w:pStyle w:val="Heading2"/>
        <w:spacing w:after="160" w:before="280" w:line="276" w:lineRule="auto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Checklist de Implementación para los 3 Servicios Elegidos</w:t>
      </w:r>
    </w:p>
    <w:p>
      <w:pPr>
        <w:spacing w:after="120" w:line="276" w:lineRule="auto"/>
      </w:pPr>
      <w:r>
        <w:rPr>
          <w:rFonts w:ascii="Arial" w:cs="Arial" w:eastAsia="Arial" w:hAnsi="Arial"/>
          <w:sz w:val="22"/>
          <w:szCs w:val="22"/>
        </w:rPr>
        <w:t xml:space="preserve">Una vez hayáis elegido vuestros tres servicios prioritarios, seguid este checklist para cada uno:</w:t>
      </w:r>
    </w:p>
    <w:p>
      <w:pPr>
        <w:pStyle w:val="Heading3"/>
        <w:spacing w:after="120" w:before="200" w:line="276" w:lineRule="auto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Semana 1 — Decisión y planificación</w:t>
      </w:r>
    </w:p>
    <w:p>
      <w:pPr>
        <w:pStyle w:val="ListParagraph"/>
        <w:numPr>
          <w:ilvl w:val="0"/>
          <w:numId w:val="3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Confirmar qué servicio(s) implementáis y en qué orden.</w:t>
      </w:r>
    </w:p>
    <w:p>
      <w:pPr>
        <w:pStyle w:val="ListParagraph"/>
        <w:numPr>
          <w:ilvl w:val="0"/>
          <w:numId w:val="3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Identificar quién del equipo será responsable de cada servicio.</w:t>
      </w:r>
    </w:p>
    <w:p>
      <w:pPr>
        <w:pStyle w:val="ListParagraph"/>
        <w:numPr>
          <w:ilvl w:val="0"/>
          <w:numId w:val="3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Buscar la formación específica necesaria (Colegio de Farmacéuticos de vuestra CA, proveedores, plataformas online).</w:t>
      </w:r>
    </w:p>
    <w:p>
      <w:pPr>
        <w:pStyle w:val="ListParagraph"/>
        <w:numPr>
          <w:ilvl w:val="0"/>
          <w:numId w:val="3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Solicitar presupuesto de los materiales o dispositivos necesarios.</w:t>
      </w:r>
    </w:p>
    <w:p>
      <w:pPr>
        <w:pStyle w:val="ListParagraph"/>
        <w:numPr>
          <w:ilvl w:val="0"/>
          <w:numId w:val="3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Revisar la normativa aplicable en vuestra comunidad autónoma.</w:t>
      </w:r>
    </w:p>
    <w:p>
      <w:pPr>
        <w:pStyle w:val="Heading3"/>
        <w:spacing w:after="120" w:before="200" w:line="276" w:lineRule="auto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Semana 2 — Preparación</w:t>
      </w:r>
    </w:p>
    <w:p>
      <w:pPr>
        <w:pStyle w:val="ListParagraph"/>
        <w:numPr>
          <w:ilvl w:val="0"/>
          <w:numId w:val="3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Inscribirse en la formación identificada.</w:t>
      </w:r>
    </w:p>
    <w:p>
      <w:pPr>
        <w:pStyle w:val="ListParagraph"/>
        <w:numPr>
          <w:ilvl w:val="0"/>
          <w:numId w:val="3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Pedir el material o dispositivos.</w:t>
      </w:r>
    </w:p>
    <w:p>
      <w:pPr>
        <w:pStyle w:val="ListParagraph"/>
        <w:numPr>
          <w:ilvl w:val="0"/>
          <w:numId w:val="3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Redactar el protocolo básico del servicio (quién lo presta, cómo, cuándo, criterios de derivación).</w:t>
      </w:r>
    </w:p>
    <w:p>
      <w:pPr>
        <w:pStyle w:val="ListParagraph"/>
        <w:numPr>
          <w:ilvl w:val="0"/>
          <w:numId w:val="3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Preparar el consentimiento informado del paciente (RGPD).</w:t>
      </w:r>
    </w:p>
    <w:p>
      <w:pPr>
        <w:pStyle w:val="ListParagraph"/>
        <w:numPr>
          <w:ilvl w:val="0"/>
          <w:numId w:val="3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Definir la tarifa del servicio (si aplica) o el modelo gratuito con prescripción asociada.</w:t>
      </w:r>
    </w:p>
    <w:p>
      <w:pPr>
        <w:pStyle w:val="Heading3"/>
        <w:spacing w:after="120" w:before="200" w:line="276" w:lineRule="auto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Semana 3-4 — Formación y pruebas internas</w:t>
      </w:r>
    </w:p>
    <w:p>
      <w:pPr>
        <w:pStyle w:val="ListParagraph"/>
        <w:numPr>
          <w:ilvl w:val="0"/>
          <w:numId w:val="3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Completar la formación específica.</w:t>
      </w:r>
    </w:p>
    <w:p>
      <w:pPr>
        <w:pStyle w:val="ListParagraph"/>
        <w:numPr>
          <w:ilvl w:val="0"/>
          <w:numId w:val="3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Hacer una prueba piloto interna (entre el equipo) para validar el protocolo.</w:t>
      </w:r>
    </w:p>
    <w:p>
      <w:pPr>
        <w:pStyle w:val="ListParagraph"/>
        <w:numPr>
          <w:ilvl w:val="0"/>
          <w:numId w:val="3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Preparar la comunicación a los pacientes habituales (cartel en mostrador, mensaje en WhatsApp, post en redes).</w:t>
      </w:r>
    </w:p>
    <w:p>
      <w:pPr>
        <w:pStyle w:val="ListParagraph"/>
        <w:numPr>
          <w:ilvl w:val="0"/>
          <w:numId w:val="3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Definir los KPIs de seguimiento (número de pacientes/mes, ingresos, prescripción asociada).</w:t>
      </w:r>
    </w:p>
    <w:p>
      <w:pPr>
        <w:pStyle w:val="Heading3"/>
        <w:spacing w:after="120" w:before="200" w:line="276" w:lineRule="auto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Semana 5-6 — Lanzamiento</w:t>
      </w:r>
    </w:p>
    <w:p>
      <w:pPr>
        <w:pStyle w:val="ListParagraph"/>
        <w:numPr>
          <w:ilvl w:val="0"/>
          <w:numId w:val="3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Comunicar el servicio a la clientela habitual y en redes.</w:t>
      </w:r>
    </w:p>
    <w:p>
      <w:pPr>
        <w:pStyle w:val="ListParagraph"/>
        <w:numPr>
          <w:ilvl w:val="0"/>
          <w:numId w:val="3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Atender los primeros pacientes con el protocolo establecido.</w:t>
      </w:r>
    </w:p>
    <w:p>
      <w:pPr>
        <w:pStyle w:val="ListParagraph"/>
        <w:numPr>
          <w:ilvl w:val="0"/>
          <w:numId w:val="3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Registrar cada sesión para el seguimiento posterior.</w:t>
      </w:r>
    </w:p>
    <w:p>
      <w:pPr>
        <w:pStyle w:val="ListParagraph"/>
        <w:numPr>
          <w:ilvl w:val="0"/>
          <w:numId w:val="3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Solicitar feedback interno del equipo tras las primeras semanas.</w:t>
      </w:r>
    </w:p>
    <w:p>
      <w:pPr>
        <w:pStyle w:val="Heading3"/>
        <w:spacing w:after="120" w:before="200" w:line="276" w:lineRule="auto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Mes 3 — Evaluación</w:t>
      </w:r>
    </w:p>
    <w:p>
      <w:pPr>
        <w:pStyle w:val="ListParagraph"/>
        <w:numPr>
          <w:ilvl w:val="0"/>
          <w:numId w:val="3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Revisar los KPIs definidos al inicio.</w:t>
      </w:r>
    </w:p>
    <w:p>
      <w:pPr>
        <w:pStyle w:val="ListParagraph"/>
        <w:numPr>
          <w:ilvl w:val="0"/>
          <w:numId w:val="3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Calcular el retorno real vs. la estimación inicial.</w:t>
      </w:r>
    </w:p>
    <w:p>
      <w:pPr>
        <w:pStyle w:val="ListParagraph"/>
        <w:numPr>
          <w:ilvl w:val="0"/>
          <w:numId w:val="3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Identificar qué ha funcionado bien y qué necesita ajuste.</w:t>
      </w:r>
    </w:p>
    <w:p>
      <w:pPr>
        <w:pStyle w:val="ListParagraph"/>
        <w:numPr>
          <w:ilvl w:val="0"/>
          <w:numId w:val="3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Decidir si se mantiene, se escala o se replantea el servicio.</w:t>
      </w:r>
    </w:p>
    <w:p>
      <w:pPr>
        <w:pStyle w:val="ListParagraph"/>
        <w:numPr>
          <w:ilvl w:val="0"/>
          <w:numId w:val="3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Evaluar si estáis listos para incorporar el siguiente servicio de vuestra lista.</w:t>
      </w:r>
    </w:p>
    <w:p>
      <w:pPr>
        <w:spacing w:after="120" w:line="276" w:lineRule="auto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Este catálogo es un recurso orientativo elaborado por FarmaPro (Mkpro) para suscriptores de FarmaPro Impulso. La información es de carácter general y no sustituye el asesoramiento profesional específico para cada farmacia. Antes de implementar cualquier servicio, consultad con vuestro colegio de farmacéuticos, asesor jurídico y verificad la normativa vigente en vuestra comunidad autónoma.</w:t>
      </w:r>
    </w:p>
    <w:p>
      <w:pPr>
        <w:spacing w:after="120" w:line="276" w:lineRule="auto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FarmaPro — Mkpro Kotler SL | somos@farmapro.es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Página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de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rFonts w:ascii="Arial" w:cs="Arial" w:eastAsia="Arial" w:hAnsi="Arial"/>
        <w:b/>
        <w:bCs/>
        <w:color w:val="88C835"/>
        <w:sz w:val="18"/>
        <w:szCs w:val="18"/>
      </w:rPr>
      <w:t xml:space="preserve">FarmaPro · Newsletter #19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 w:line="276" w:lineRule="auto"/>
      <w:outlineLvl w:val="0"/>
    </w:pPr>
    <w:rPr>
      <w:rFonts w:ascii="Arial" w:cs="Arial" w:eastAsia="Arial" w:hAnsi="Arial"/>
      <w:b/>
      <w:bCs/>
      <w:color w:val="88C835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60" w:before="280" w:line="276" w:lineRule="auto"/>
      <w:outlineLvl w:val="1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00" w:line="276" w:lineRule="auto"/>
      <w:outlineLvl w:val="2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160" w:line="276" w:lineRule="auto"/>
      <w:outlineLvl w:val="3"/>
    </w:pPr>
    <w:rPr>
      <w:rFonts w:ascii="Arial" w:cs="Arial" w:eastAsia="Arial" w:hAnsi="Arial"/>
      <w:b/>
      <w:bCs/>
      <w:i/>
      <w:i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2026-04-29T09:14:10.908Z</dcterms:created>
  <dcterms:modified xsi:type="dcterms:W3CDTF">2026-04-29T09:14:10.909Z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