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tl w:val="0"/>
        </w:rPr>
        <w:t>CRISPR - CAS 9: le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gislation d</w:t>
      </w:r>
      <w:r>
        <w:rPr>
          <w:rtl w:val="0"/>
        </w:rPr>
        <w:t>’</w:t>
      </w:r>
      <w:r>
        <w:rPr>
          <w:rtl w:val="0"/>
        </w:rPr>
        <w:t>une controverse</w:t>
      </w:r>
    </w:p>
    <w:p>
      <w:pPr>
        <w:pStyle w:val="Sujet"/>
        <w:bidi w:val="0"/>
      </w:pP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sum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synoptique</w:t>
      </w:r>
    </w:p>
    <w:p>
      <w:pPr>
        <w:pStyle w:val="Corps"/>
        <w:jc w:val="both"/>
      </w:pPr>
      <w:r>
        <w:rPr>
          <w:rtl w:val="0"/>
          <w:lang w:val="fr-FR"/>
        </w:rPr>
        <w:tab/>
        <w:t xml:space="preserve">Le CRISPR - CAS 9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class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ADM (Arme de Destruction Massive) par la CIA en 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vrier 2016, en raison de son potentiel destructeur sans borne et du fait que cette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ine soit facile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utilisation. 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inverse, le CNCB (Conseil National Consultatif de la Bios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), une instance du minist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fran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ais de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fense, a jug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 an plus tard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elle ne constituait pas un danger nouveau, car elle ne fait que simplifier des techniques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-existantes. Cependant,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OPECST (</w:t>
      </w:r>
      <w:r>
        <w:rPr>
          <w:rtl w:val="0"/>
          <w:lang w:val="fr-FR"/>
        </w:rPr>
        <w:t>Office Parlementaire des Choix d</w:t>
      </w:r>
      <w:r>
        <w:rPr>
          <w:rtl w:val="0"/>
        </w:rPr>
        <w:t>’</w:t>
      </w:r>
      <w:r>
        <w:rPr>
          <w:rtl w:val="0"/>
          <w:lang w:val="fr-FR"/>
        </w:rPr>
        <w:t>Evaluation Scientifiques et Techniques</w:t>
      </w:r>
      <w:r>
        <w:rPr>
          <w:rtl w:val="0"/>
          <w:lang w:val="fr-FR"/>
        </w:rPr>
        <w:t>), instance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Assembl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Nationale, a exprim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des doutes,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mis le souhait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droit de parole dans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bat relatif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emploi de cette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ine. Les avis sont ainsi mitig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quant au potentiel danger du CRISPR - CAS 9, dans le monde, mais aussi en France. </w:t>
      </w:r>
      <w:r>
        <w:br w:type="textWrapping"/>
        <w:br w:type="textWrapping"/>
        <w:tab/>
      </w:r>
      <w:r>
        <w:rPr>
          <w:rtl w:val="0"/>
          <w:lang w:val="fr-FR"/>
        </w:rPr>
        <w:t>Mais cette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ine fait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deuxi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controverse: l</w:t>
      </w:r>
      <w:r>
        <w:rPr>
          <w:rtl w:val="0"/>
        </w:rPr>
        <w:t>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nome humain est inscrit au patrimoine mondial de l</w:t>
      </w:r>
      <w:r>
        <w:rPr>
          <w:rtl w:val="0"/>
        </w:rPr>
        <w:t>’</w:t>
      </w:r>
      <w:r>
        <w:rPr>
          <w:rtl w:val="0"/>
          <w:lang w:val="fr-FR"/>
        </w:rPr>
        <w:t>humanit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</w:rPr>
        <w:t>’</w:t>
      </w:r>
      <w:r>
        <w:rPr>
          <w:rtl w:val="0"/>
          <w:lang w:val="fr-FR"/>
        </w:rPr>
        <w:t>UNESCO depuis 2002. Il constitue donc au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tire que Saint - Pierre de Rome ou le temple d</w:t>
      </w:r>
      <w:r>
        <w:rPr>
          <w:rtl w:val="0"/>
        </w:rPr>
        <w:t>’</w:t>
      </w:r>
      <w:r>
        <w:rPr>
          <w:rtl w:val="0"/>
          <w:lang w:val="es-ES_tradnl"/>
        </w:rPr>
        <w:t>Angkor un "tr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sor qui ne doit pas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truit ou irr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versiblement modifi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afin de pouvoir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aux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rations futures". </w:t>
      </w:r>
      <w:r>
        <w:rPr>
          <w:rtl w:val="0"/>
          <w:lang w:val="fr-FR"/>
        </w:rPr>
        <w:t>Or cette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ine pourrait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bien prolif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librement dans la piscine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 mondiale, sans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voquer la possibilit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pratiques 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nistes  telles que des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"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carte". Il convient donc de prendre des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cautions -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gales - quant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peut autoriser en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recherche. Peut - on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essayer sur des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tres humains ? Sur des embryons ? Des cellules germinales et somatiques ? Bien que des instances consultatives telles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INSERM propose de favoriser la recherche, tout en prenant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cautions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OPECST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conise certaines interdictions, notamment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rimentation sur des cellules germinales,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ouverture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 public,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ouvrir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rement, afin que le pouvoir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gislatif puisse suivre les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la recherche. Notons cependant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avis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OPECST et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Assembl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Nationale sur les questions bio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thiques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 parfois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alternance. Les avis sont donc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mitig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sur les limitations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imposer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recherche. </w:t>
      </w:r>
    </w:p>
    <w:p>
      <w:pPr>
        <w:pStyle w:val="Corps"/>
        <w:jc w:val="both"/>
      </w:pPr>
    </w:p>
    <w:p>
      <w:pPr>
        <w:pStyle w:val="Corps"/>
        <w:jc w:val="both"/>
        <w:rPr>
          <w:rFonts w:ascii="Times" w:cs="Times" w:hAnsi="Times" w:eastAsia="Times"/>
        </w:rPr>
      </w:pPr>
      <w:r>
        <w:rPr>
          <w:rtl w:val="0"/>
          <w:lang w:val="fr-FR"/>
        </w:rPr>
        <w:tab/>
        <w:t>Ainsi,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gislatif fait encore rage. </w:t>
      </w:r>
      <w:r>
        <w:rPr>
          <w:rtl w:val="0"/>
          <w:lang w:val="fr-FR"/>
        </w:rPr>
        <w:t xml:space="preserve">Notons enfin que de nouveaux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raux de la bio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thique doivent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convoqu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en 2018 pour statuer sur la marche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suivre en fonction des progr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de la recherche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tique, et que le comit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thique du Conseil de l</w:t>
      </w:r>
      <w:r>
        <w:rPr>
          <w:rtl w:val="0"/>
        </w:rPr>
        <w:t>’</w:t>
      </w:r>
      <w:r>
        <w:rPr>
          <w:rtl w:val="0"/>
          <w:lang w:val="fr-FR"/>
        </w:rPr>
        <w:t xml:space="preserve">Europe est toujours,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heure actuelle,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sur les questions soulev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par le CRISPR - CAS 9. </w:t>
      </w:r>
    </w:p>
    <w:p>
      <w:pPr>
        <w:pStyle w:val="Corps"/>
        <w:jc w:val="both"/>
        <w:rPr>
          <w:rFonts w:ascii="Times" w:cs="Times" w:hAnsi="Times" w:eastAsia="Times"/>
        </w:rPr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tab/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