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  <w:jc w:val="center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2186268</wp:posOffset>
                </wp:positionH>
                <wp:positionV relativeFrom="page">
                  <wp:posOffset>719999</wp:posOffset>
                </wp:positionV>
                <wp:extent cx="3175000" cy="66302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663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>
                                <w:rFonts w:ascii="Bodoni SvtyTwo OS ITC TT-Book" w:hAnsi="Bodoni SvtyTwo OS ITC TT-Book"/>
                                <w:sz w:val="88"/>
                                <w:szCs w:val="88"/>
                                <w:rtl w:val="0"/>
                                <w:lang w:val="fr-FR"/>
                              </w:rPr>
                              <w:t>ETIC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72.1pt;margin-top:56.7pt;width:250.0pt;height:52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</w:pPr>
                      <w:r>
                        <w:rPr>
                          <w:rFonts w:ascii="Bodoni SvtyTwo OS ITC TT-Book" w:hAnsi="Bodoni SvtyTwo OS ITC TT-Book"/>
                          <w:sz w:val="88"/>
                          <w:szCs w:val="88"/>
                          <w:rtl w:val="0"/>
                          <w:lang w:val="fr-FR"/>
                        </w:rPr>
                        <w:t>ETIC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713739</wp:posOffset>
                </wp:positionH>
                <wp:positionV relativeFrom="line">
                  <wp:posOffset>193701</wp:posOffset>
                </wp:positionV>
                <wp:extent cx="6120059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9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>
                                <w:rFonts w:ascii="Bodoni SvtyTwo OS ITC TT-Book" w:hAnsi="Bodoni SvtyTwo OS ITC TT-Book"/>
                                <w:sz w:val="60"/>
                                <w:szCs w:val="60"/>
                                <w:rtl w:val="0"/>
                                <w:lang w:val="fr-FR"/>
                              </w:rPr>
                              <w:t>Le CRISPR - CAS 9: La l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sz w:val="60"/>
                                <w:szCs w:val="6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60"/>
                                <w:szCs w:val="60"/>
                                <w:rtl w:val="0"/>
                                <w:lang w:val="fr-FR"/>
                              </w:rPr>
                              <w:t>gislation d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sz w:val="60"/>
                                <w:szCs w:val="60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60"/>
                                <w:szCs w:val="60"/>
                                <w:rtl w:val="0"/>
                                <w:lang w:val="fr-FR"/>
                              </w:rPr>
                              <w:t>une controverse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6.2pt;margin-top:15.3pt;width:481.9pt;height:128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</w:pPr>
                      <w:r>
                        <w:rPr>
                          <w:rFonts w:ascii="Bodoni SvtyTwo OS ITC TT-Book" w:hAnsi="Bodoni SvtyTwo OS ITC TT-Book"/>
                          <w:sz w:val="60"/>
                          <w:szCs w:val="60"/>
                          <w:rtl w:val="0"/>
                          <w:lang w:val="fr-FR"/>
                        </w:rPr>
                        <w:t>Le CRISPR - CAS 9: La l</w:t>
                      </w:r>
                      <w:r>
                        <w:rPr>
                          <w:rFonts w:ascii="Bodoni SvtyTwo OS ITC TT-Book" w:hAnsi="Bodoni SvtyTwo OS ITC TT-Book" w:hint="default"/>
                          <w:sz w:val="60"/>
                          <w:szCs w:val="6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Bodoni SvtyTwo OS ITC TT-Book" w:hAnsi="Bodoni SvtyTwo OS ITC TT-Book"/>
                          <w:sz w:val="60"/>
                          <w:szCs w:val="60"/>
                          <w:rtl w:val="0"/>
                          <w:lang w:val="fr-FR"/>
                        </w:rPr>
                        <w:t>gislation d</w:t>
                      </w:r>
                      <w:r>
                        <w:rPr>
                          <w:rFonts w:ascii="Bodoni SvtyTwo OS ITC TT-Book" w:hAnsi="Bodoni SvtyTwo OS ITC TT-Book" w:hint="default"/>
                          <w:sz w:val="60"/>
                          <w:szCs w:val="60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Bodoni SvtyTwo OS ITC TT-Book" w:hAnsi="Bodoni SvtyTwo OS ITC TT-Book"/>
                          <w:sz w:val="60"/>
                          <w:szCs w:val="60"/>
                          <w:rtl w:val="0"/>
                          <w:lang w:val="fr-FR"/>
                        </w:rPr>
                        <w:t>une controverse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2186268</wp:posOffset>
                </wp:positionH>
                <wp:positionV relativeFrom="line">
                  <wp:posOffset>374703</wp:posOffset>
                </wp:positionV>
                <wp:extent cx="3175000" cy="16256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jc w:val="center"/>
                            </w:pPr>
                            <w:r>
                              <w:rPr>
                                <w:rFonts w:ascii="Bodoni SvtyTwo OS ITC TT-Book" w:hAnsi="Bodoni SvtyTwo OS ITC TT-Book"/>
                                <w:sz w:val="58"/>
                                <w:szCs w:val="58"/>
                                <w:rtl w:val="0"/>
                                <w:lang w:val="fr-FR"/>
                              </w:rPr>
                              <w:t>Rapha</w:t>
                            </w:r>
                            <w:r>
                              <w:rPr>
                                <w:rFonts w:ascii="Bodoni SvtyTwo OS ITC TT-Book" w:hAnsi="Bodoni SvtyTwo OS ITC TT-Book" w:hint="default"/>
                                <w:sz w:val="58"/>
                                <w:szCs w:val="58"/>
                                <w:rtl w:val="0"/>
                                <w:lang w:val="fr-FR"/>
                              </w:rPr>
                              <w:t>ë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58"/>
                                <w:szCs w:val="58"/>
                                <w:rtl w:val="0"/>
                                <w:lang w:val="fr-FR"/>
                              </w:rPr>
                              <w:t>l Teboul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72.1pt;margin-top:29.5pt;width:250.0pt;height:128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jc w:val="center"/>
                      </w:pPr>
                      <w:r>
                        <w:rPr>
                          <w:rFonts w:ascii="Bodoni SvtyTwo OS ITC TT-Book" w:hAnsi="Bodoni SvtyTwo OS ITC TT-Book"/>
                          <w:sz w:val="58"/>
                          <w:szCs w:val="58"/>
                          <w:rtl w:val="0"/>
                          <w:lang w:val="fr-FR"/>
                        </w:rPr>
                        <w:t>Rapha</w:t>
                      </w:r>
                      <w:r>
                        <w:rPr>
                          <w:rFonts w:ascii="Bodoni SvtyTwo OS ITC TT-Book" w:hAnsi="Bodoni SvtyTwo OS ITC TT-Book" w:hint="default"/>
                          <w:sz w:val="58"/>
                          <w:szCs w:val="58"/>
                          <w:rtl w:val="0"/>
                          <w:lang w:val="fr-FR"/>
                        </w:rPr>
                        <w:t>ë</w:t>
                      </w:r>
                      <w:r>
                        <w:rPr>
                          <w:rFonts w:ascii="Bodoni SvtyTwo OS ITC TT-Book" w:hAnsi="Bodoni SvtyTwo OS ITC TT-Book"/>
                          <w:sz w:val="58"/>
                          <w:szCs w:val="58"/>
                          <w:rtl w:val="0"/>
                          <w:lang w:val="fr-FR"/>
                        </w:rPr>
                        <w:t>l Teboul</w:t>
                      </w:r>
                    </w:p>
                  </w:txbxContent>
                </v:textbox>
                <w10:wrap type="topAndBottom" side="bothSides" anchorx="page"/>
              </v:rect>
            </w:pict>
          </mc:Fallback>
        </mc:AlternateConten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article 16 - 4 du code civil : "</w:t>
      </w:r>
      <w:r>
        <w:rPr>
          <w:i w:val="1"/>
          <w:iCs w:val="1"/>
          <w:sz w:val="24"/>
          <w:szCs w:val="24"/>
          <w:rtl w:val="0"/>
          <w:lang w:val="fr-FR"/>
        </w:rPr>
        <w:t xml:space="preserve">nul ne peut porter atteinte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>l'int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grit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de l'esp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>ce humaine. Toute pratique eug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nique tendant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l'organisation de la s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lection des personnes est interdite. Est interdite toute intervention ayant pour but de faire na</w:t>
      </w:r>
      <w:r>
        <w:rPr>
          <w:i w:val="1"/>
          <w:iCs w:val="1"/>
          <w:sz w:val="24"/>
          <w:szCs w:val="24"/>
          <w:rtl w:val="0"/>
        </w:rPr>
        <w:t>î</w:t>
      </w:r>
      <w:r>
        <w:rPr>
          <w:i w:val="1"/>
          <w:iCs w:val="1"/>
          <w:sz w:val="24"/>
          <w:szCs w:val="24"/>
          <w:rtl w:val="0"/>
          <w:lang w:val="fr-FR"/>
        </w:rPr>
        <w:t>tre un enfant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tiquement identique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une autre personne vivante ou 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c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it-IT"/>
        </w:rPr>
        <w:t>e.</w:t>
      </w:r>
      <w:r>
        <w:rPr>
          <w:i w:val="1"/>
          <w:iCs w:val="1"/>
          <w:sz w:val="24"/>
          <w:szCs w:val="24"/>
          <w:rtl w:val="0"/>
          <w:lang w:val="fr-FR"/>
        </w:rPr>
        <w:t xml:space="preserve"> Sans pr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judice des recherches tendant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</w:rPr>
        <w:t>la pr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vention et au traitement des maladies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tiques, aucune transformation ne peut 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it-IT"/>
        </w:rPr>
        <w:t>tre apport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 aux caract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>res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tiques dans le but de modifier la descendance de la personne </w:t>
      </w:r>
      <w:r>
        <w:rPr>
          <w:sz w:val="24"/>
          <w:szCs w:val="24"/>
          <w:rtl w:val="0"/>
          <w:lang w:val="fr-FR"/>
        </w:rPr>
        <w:t>". Aujourd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hui des techniques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volutionnaires de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lection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tiques telles que le CRISPR - CAS 9 pourraient permettre des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"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la carte", et ainsi mener de fils en aiguilles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eug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nisme pur et simple. Cependant cette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technique a permis en avril 2017 de gu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rir une souris du sida. Cette technologie ouvre donc des perspectives inexplor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en terme de sant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publique. Mais comment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la recherche pour une technologie si controvers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? Que permettre ? Mais surtout, comment prendre une telle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cision ? 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Le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nome humain est inscrit au patrimoine mondial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humanit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UNESCO depuis 2002. Il constitue donc au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tire que Saint - Pierre de Rome ou le temple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Angkor un "tr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sor qui ne doit pas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truit ou irr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versiblement modifi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afin de pouvoir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donn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aux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rations futures". On comprend ainsi pourquoi le CRISPR - CAS 9 -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ritables "ciseaux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tiques" dont les potentiels bien-faits sont sans limites (le cancer pourrait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duit au stade de maladie chronique 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nigne), mais qui pourrait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galement librement prolif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dans la piscine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 mondiale et alt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celle - ci de mani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irr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versible </w:t>
      </w:r>
      <w:r>
        <w:rPr>
          <w:sz w:val="24"/>
          <w:szCs w:val="24"/>
          <w:rtl w:val="0"/>
          <w:lang w:val="fr-FR"/>
        </w:rPr>
        <w:t xml:space="preserve">— </w:t>
      </w:r>
      <w:r>
        <w:rPr>
          <w:sz w:val="24"/>
          <w:szCs w:val="24"/>
          <w:rtl w:val="0"/>
          <w:lang w:val="fr-FR"/>
        </w:rPr>
        <w:t>soul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ve un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ritable dilemme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gislatif afin de permettre une recherche sans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rive ni danger (armes bio-chimiques, tentation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eug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nisme</w:t>
      </w:r>
      <w:r>
        <w:rPr>
          <w:sz w:val="24"/>
          <w:szCs w:val="24"/>
          <w:rtl w:val="0"/>
          <w:lang w:val="fr-FR"/>
        </w:rPr>
        <w:t>…</w:t>
      </w:r>
      <w:r>
        <w:rPr>
          <w:sz w:val="24"/>
          <w:szCs w:val="24"/>
          <w:rtl w:val="0"/>
          <w:lang w:val="fr-FR"/>
        </w:rPr>
        <w:t>).</w:t>
      </w:r>
      <w:r>
        <w:rPr>
          <w:sz w:val="24"/>
          <w:szCs w:val="24"/>
        </w:rPr>
        <w:br w:type="textWrapping"/>
        <w:tab/>
      </w:r>
      <w:r>
        <w:rPr>
          <w:sz w:val="24"/>
          <w:szCs w:val="24"/>
          <w:rtl w:val="0"/>
          <w:lang w:val="fr-FR"/>
        </w:rPr>
        <w:t xml:space="preserve">Nous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tudierons dans un premier temps les tentatives de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gislation de la recherche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 via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exemple du CRISPR - CAS 9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chelle internationale avant de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attarder de mani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plus approfondie sur le cas de la France.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b w:val="1"/>
          <w:bCs w:val="1"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fr-FR"/>
        </w:rPr>
        <w:t>I) A l</w:t>
      </w:r>
      <w:r>
        <w:rPr>
          <w:b w:val="1"/>
          <w:bCs w:val="1"/>
          <w:sz w:val="24"/>
          <w:szCs w:val="24"/>
          <w:rtl w:val="0"/>
          <w:lang w:val="fr-FR"/>
        </w:rPr>
        <w:t>’é</w:t>
      </w:r>
      <w:r>
        <w:rPr>
          <w:b w:val="1"/>
          <w:bCs w:val="1"/>
          <w:sz w:val="24"/>
          <w:szCs w:val="24"/>
          <w:rtl w:val="0"/>
          <w:lang w:val="fr-FR"/>
        </w:rPr>
        <w:t>tranger</w:t>
      </w:r>
    </w:p>
    <w:p>
      <w:pPr>
        <w:pStyle w:val="Corps A"/>
        <w:spacing w:before="160" w:line="288" w:lineRule="auto"/>
        <w:jc w:val="both"/>
        <w:rPr>
          <w:sz w:val="24"/>
          <w:szCs w:val="24"/>
          <w:u w:val="single"/>
        </w:rPr>
      </w:pPr>
      <w:r>
        <w:rPr>
          <w:b w:val="1"/>
          <w:bCs w:val="1"/>
          <w:sz w:val="24"/>
          <w:szCs w:val="24"/>
        </w:rPr>
        <w:tab/>
        <w:tab/>
      </w:r>
      <w:r>
        <w:rPr>
          <w:sz w:val="24"/>
          <w:szCs w:val="24"/>
          <w:u w:val="single"/>
          <w:rtl w:val="0"/>
          <w:lang w:val="fr-FR"/>
        </w:rPr>
        <w:t>a) Le monde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  <w:tab/>
      </w:r>
      <w:r>
        <w:rPr>
          <w:sz w:val="24"/>
          <w:szCs w:val="24"/>
          <w:rtl w:val="0"/>
          <w:lang w:val="fr-FR"/>
        </w:rPr>
        <w:t>Ce dilemme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gislatif 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bien avant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couverte du CRISPR-CAS 9. On peut en effet faire remonter 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but de cette controverse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1974, lorsque Paul Berg - futur prix Nobel de chimie - appela a un moratoire international sur la recherche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tique, qui n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tait alors qu</w:t>
      </w:r>
      <w:r>
        <w:rPr>
          <w:sz w:val="24"/>
          <w:szCs w:val="24"/>
          <w:rtl w:val="0"/>
          <w:lang w:val="fr-FR"/>
        </w:rPr>
        <w:t xml:space="preserve">’à </w:t>
      </w:r>
      <w:r>
        <w:rPr>
          <w:sz w:val="24"/>
          <w:szCs w:val="24"/>
          <w:rtl w:val="0"/>
          <w:lang w:val="fr-FR"/>
        </w:rPr>
        <w:t>ses premiers balbutiements. Pour ce faire, pr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 de 150 chercheurs venus de toute la surface de la plan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 se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unirent lors de la conf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rence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Asilomar en Californie en 1975. Il faut par ailleurs noter le cot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apolitique de cette conf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rence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se c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toy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rent notamment des physiciens du projet Manhattan et des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ticiens russes - en plein contexte de guerre froide. Toutefois la conf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rence se solda par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chec, car nul ne parvint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trouver un consensus. 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on accepta un principe de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caution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ralis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le consensus international en resta l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jusqu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1997, o</w:t>
      </w:r>
      <w:r>
        <w:rPr>
          <w:sz w:val="24"/>
          <w:szCs w:val="24"/>
          <w:rtl w:val="0"/>
          <w:lang w:val="fr-FR"/>
        </w:rPr>
        <w:t xml:space="preserve">ù </w:t>
      </w:r>
      <w:r>
        <w:rPr>
          <w:sz w:val="24"/>
          <w:szCs w:val="24"/>
          <w:rtl w:val="0"/>
          <w:lang w:val="fr-FR"/>
        </w:rPr>
        <w:t>une nouvelle conf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rence internationale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Oviedo sous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gide du conseil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Europe en Espagne produisit la seule et unique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gislation internationale.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article 13 de la convention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Oviedo constitue ainsi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ce jour la seule limitation internationale. </w:t>
      </w:r>
    </w:p>
    <w:p>
      <w:pPr>
        <w:pStyle w:val="Corps A"/>
        <w:numPr>
          <w:ilvl w:val="0"/>
          <w:numId w:val="2"/>
        </w:numPr>
        <w:bidi w:val="0"/>
        <w:spacing w:before="160" w:line="288" w:lineRule="auto"/>
        <w:ind w:right="0"/>
        <w:jc w:val="both"/>
        <w:rPr>
          <w:i w:val="1"/>
          <w:iCs w:val="1"/>
          <w:sz w:val="24"/>
          <w:szCs w:val="24"/>
          <w:rtl w:val="0"/>
          <w:lang w:val="fr-FR"/>
        </w:rPr>
      </w:pPr>
      <w:r>
        <w:rPr>
          <w:b w:val="1"/>
          <w:bCs w:val="1"/>
          <w:i w:val="0"/>
          <w:iCs w:val="0"/>
          <w:sz w:val="24"/>
          <w:szCs w:val="24"/>
          <w:rtl w:val="0"/>
          <w:lang w:val="fr-FR"/>
        </w:rPr>
        <w:t>Article 13 de la convention d</w:t>
      </w:r>
      <w:r>
        <w:rPr>
          <w:b w:val="1"/>
          <w:bCs w:val="1"/>
          <w:i w:val="0"/>
          <w:iCs w:val="0"/>
          <w:sz w:val="24"/>
          <w:szCs w:val="24"/>
          <w:rtl w:val="0"/>
          <w:lang w:val="fr-FR"/>
        </w:rPr>
        <w:t>’</w:t>
      </w:r>
      <w:r>
        <w:rPr>
          <w:b w:val="1"/>
          <w:bCs w:val="1"/>
          <w:i w:val="0"/>
          <w:iCs w:val="0"/>
          <w:sz w:val="24"/>
          <w:szCs w:val="24"/>
          <w:rtl w:val="0"/>
          <w:lang w:val="fr-FR"/>
        </w:rPr>
        <w:t>Oviedo: "</w:t>
      </w:r>
      <w:r>
        <w:rPr>
          <w:i w:val="1"/>
          <w:iCs w:val="1"/>
          <w:sz w:val="24"/>
          <w:szCs w:val="24"/>
          <w:rtl w:val="0"/>
          <w:lang w:val="fr-FR"/>
        </w:rPr>
        <w:t>Une intervention ayant pour objet de modifier le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nome humain ne peut 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tre entreprise que pour des raisons pr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ventives, diagnostiques ou th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rapeutiques et seulement si elle n'a pas pour but d'introduire une modification dans le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nome de la descendance."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Aujourd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hui, une vingtaine de pays sont signataires de cette convention. Ce qui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bien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videmment pas suffisant, cette limitation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tant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ralement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par une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gislation nationale. </w:t>
      </w:r>
      <w:r>
        <w:rPr>
          <w:sz w:val="24"/>
          <w:szCs w:val="24"/>
        </w:rPr>
        <w:br w:type="textWrapping"/>
        <w:br w:type="textWrapping"/>
        <w:tab/>
      </w:r>
      <w:r>
        <w:rPr>
          <w:sz w:val="24"/>
          <w:szCs w:val="24"/>
          <w:rtl w:val="0"/>
          <w:lang w:val="fr-FR"/>
        </w:rPr>
        <w:t>Pourtant, en ce qui concerne la recherche sur le CRISPR - CAS 9, les avis sont mitig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s. Class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ADM (Arme de Destruction Massive) par la CIA en 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vrier 2016, ces "ciseaux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tiques" sont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anmoins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tudi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dans plusieurs laboratoires notamment chinois - bien que cela aille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encontre de la volont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internationale. De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me, le NIH (Comit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consultatif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institut am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ricain de la sant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) a pour la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fois autoris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des recherches sur les effets du CRISPR-CAS9 sur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homme adulte en juin 2016. Cela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le donc un profond 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 sur ce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pourrait apporter: des fonds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investissements tels que The Parker Fundation sont pr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financer de telles recherches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hauteur de 250 millions de dollars. Notons cependant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il manque encore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ses recherches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autorisation de la FDA (Food and Drugs Administration)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tats-unis. Cependant il ne fait nul doute que la celle-ci finira par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livr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e: il faut subs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quemment voir en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action de la CIA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pur principe de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caution, chose bien naturelle compte tenu du r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le de la CIA dans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fense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tats-Unis.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u w:val="single"/>
          <w:rtl w:val="0"/>
          <w:lang w:val="fr-FR"/>
        </w:rPr>
        <w:t>b) En Europe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Mais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est-il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Europe ? Le conseil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Europe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profond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ress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cette technologie et a appel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la prudence. Il a par ailleurs rassembl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son comit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bio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thique (DIH - BIO) afin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puisse se pencher sur la question en novembre 2016. Il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cette heure-ci, pas encore communiqu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sultat de ses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rations - le signe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vraie actualit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 la controverse. 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fr-FR"/>
        </w:rPr>
        <w:t>II) En France</w:t>
      </w:r>
    </w:p>
    <w:p>
      <w:pPr>
        <w:pStyle w:val="Corps A"/>
        <w:spacing w:before="160" w:line="288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ab/>
        <w:t>Il faut alors se pencher de mani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plus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cise sur le cas de la France.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galement parlant, la France a commenc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se pencher sur la question 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1994, en interdisant les modifications du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nome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 embryon. La recherche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tant alors balbutiante, elle ne ratifia la convention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Oviedo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2011, et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cida de saisir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OPECST (Office Parlementaire des Choix d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Evaluation Scientifiques et Techniques) dans un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lai de 6 ans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la promulgation de la loi de ratification afin de mesurer les avanc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scientifiques et de pouvoir ajuster la loi en cons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quence. 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Cependant</w:t>
      </w:r>
      <w:r>
        <w:rPr>
          <w:sz w:val="24"/>
          <w:szCs w:val="24"/>
          <w:rtl w:val="0"/>
          <w:lang w:val="fr-FR"/>
        </w:rPr>
        <w:t xml:space="preserve"> face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cette interdiction</w:t>
      </w:r>
      <w:r>
        <w:rPr>
          <w:sz w:val="24"/>
          <w:szCs w:val="24"/>
          <w:rtl w:val="0"/>
          <w:lang w:val="fr-FR"/>
        </w:rPr>
        <w:t xml:space="preserve"> la France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dot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loi </w:t>
      </w:r>
      <w:r>
        <w:rPr>
          <w:sz w:val="24"/>
          <w:szCs w:val="24"/>
          <w:rtl w:val="0"/>
          <w:lang w:val="fr-FR"/>
        </w:rPr>
        <w:t>sous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initiative du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sident Fran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ois Hollande</w:t>
      </w:r>
      <w:r>
        <w:rPr>
          <w:sz w:val="24"/>
          <w:szCs w:val="24"/>
          <w:rtl w:val="0"/>
          <w:lang w:val="fr-FR"/>
        </w:rPr>
        <w:t xml:space="preserve"> le 6 ao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t 2013 amendant les possibilit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de recherches embryonnaires. Il est 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ressant de remarquer que la ratification de la convention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Oviedo  peu lieu sous la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sidence Sarkozy, mais que deux ans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la France revient sur ses pas et autorise la recherche embryonnaire et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 - sous certaine condition - le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sident Hollande s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tant en partie fait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lire sur cette promesse. A cet effet, </w:t>
      </w:r>
      <w:r>
        <w:rPr>
          <w:sz w:val="24"/>
          <w:szCs w:val="24"/>
          <w:rtl w:val="0"/>
          <w:lang w:val="fr-FR"/>
        </w:rPr>
        <w:t xml:space="preserve">on peut constater que </w:t>
      </w:r>
      <w:r>
        <w:rPr>
          <w:sz w:val="24"/>
          <w:szCs w:val="24"/>
          <w:rtl w:val="0"/>
          <w:lang w:val="fr-FR"/>
        </w:rPr>
        <w:t>la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sidence de la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publique est un acteur majeur de cette controverse</w:t>
      </w:r>
      <w:r>
        <w:rPr>
          <w:sz w:val="24"/>
          <w:szCs w:val="24"/>
          <w:rtl w:val="0"/>
          <w:lang w:val="fr-FR"/>
        </w:rPr>
        <w:t xml:space="preserve"> en raison des effets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alternance</w:t>
      </w:r>
      <w:r>
        <w:rPr>
          <w:sz w:val="24"/>
          <w:szCs w:val="24"/>
          <w:rtl w:val="0"/>
          <w:lang w:val="fr-FR"/>
        </w:rPr>
        <w:t>. Puisqu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il est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agent au plus proche de la souverainet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populaire, le peuple fran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ais a ici jou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un r</w:t>
      </w:r>
      <w:r>
        <w:rPr>
          <w:sz w:val="24"/>
          <w:szCs w:val="24"/>
          <w:rtl w:val="0"/>
          <w:lang w:val="fr-FR"/>
        </w:rPr>
        <w:t>ô</w:t>
      </w:r>
      <w:r>
        <w:rPr>
          <w:sz w:val="24"/>
          <w:szCs w:val="24"/>
          <w:rtl w:val="0"/>
          <w:lang w:val="fr-FR"/>
        </w:rPr>
        <w:t>le majeur</w:t>
      </w:r>
      <w:r>
        <w:rPr>
          <w:sz w:val="24"/>
          <w:szCs w:val="24"/>
          <w:rtl w:val="0"/>
          <w:lang w:val="fr-FR"/>
        </w:rPr>
        <w:t>, ce qui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traduit par du conservatisme de droite sous Sarkozy et du progressisme de gauche sous Hollande. </w:t>
      </w:r>
      <w:r>
        <w:rPr>
          <w:sz w:val="24"/>
          <w:szCs w:val="24"/>
        </w:rPr>
        <w:br w:type="textWrapping"/>
        <w:br w:type="textWrapping"/>
        <w:tab/>
      </w:r>
      <w:r>
        <w:rPr>
          <w:sz w:val="24"/>
          <w:szCs w:val="24"/>
          <w:rtl w:val="0"/>
          <w:lang w:val="fr-FR"/>
        </w:rPr>
        <w:t>La loi du 6 ao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 xml:space="preserve">t 2013 visait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amender la ratification de la convention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Oviedo en 2011.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numPr>
          <w:ilvl w:val="0"/>
          <w:numId w:val="3"/>
        </w:numPr>
        <w:bidi w:val="0"/>
        <w:spacing w:before="160" w:line="288" w:lineRule="auto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Article L2151-5</w:t>
      </w:r>
      <w:r>
        <w:rPr>
          <w:b w:val="1"/>
          <w:bCs w:val="1"/>
          <w:sz w:val="24"/>
          <w:szCs w:val="24"/>
          <w:rtl w:val="0"/>
          <w:lang w:val="fr-FR"/>
        </w:rPr>
        <w:t xml:space="preserve"> du code de la sant</w:t>
      </w:r>
      <w:r>
        <w:rPr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b w:val="1"/>
          <w:bCs w:val="1"/>
          <w:sz w:val="24"/>
          <w:szCs w:val="24"/>
          <w:rtl w:val="0"/>
          <w:lang w:val="fr-FR"/>
        </w:rPr>
        <w:t>publique, modifi</w:t>
      </w:r>
      <w:r>
        <w:rPr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b w:val="1"/>
          <w:bCs w:val="1"/>
          <w:sz w:val="24"/>
          <w:szCs w:val="24"/>
          <w:rtl w:val="0"/>
          <w:lang w:val="fr-FR"/>
        </w:rPr>
        <w:t>par la loi n</w:t>
      </w:r>
      <w:r>
        <w:rPr>
          <w:b w:val="1"/>
          <w:bCs w:val="1"/>
          <w:sz w:val="24"/>
          <w:szCs w:val="24"/>
          <w:rtl w:val="0"/>
          <w:lang w:val="fr-FR"/>
        </w:rPr>
        <w:t>°</w:t>
      </w:r>
      <w:r>
        <w:rPr>
          <w:b w:val="1"/>
          <w:bCs w:val="1"/>
          <w:sz w:val="24"/>
          <w:szCs w:val="24"/>
          <w:rtl w:val="0"/>
          <w:lang w:val="fr-FR"/>
        </w:rPr>
        <w:t>2013 - 715 du 6 aout 2013, alin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fr-FR"/>
        </w:rPr>
        <w:t>a 3 et 4: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"</w:t>
      </w:r>
      <w:r>
        <w:rPr>
          <w:i w:val="1"/>
          <w:iCs w:val="1"/>
          <w:sz w:val="24"/>
          <w:szCs w:val="24"/>
          <w:rtl w:val="0"/>
          <w:lang w:val="fr-FR"/>
        </w:rPr>
        <w:t>3) En l'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tat des connaissances scientifiques, cette recherche ne peut 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tre men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e sans recourir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ces embryons ou ces cellules souches embryonnaires.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fr-FR"/>
        </w:rPr>
        <w:tab/>
        <w:t xml:space="preserve">4) Le projet et les conditions de mise en </w:t>
      </w:r>
      <w:r>
        <w:rPr>
          <w:i w:val="1"/>
          <w:iCs w:val="1"/>
          <w:sz w:val="24"/>
          <w:szCs w:val="24"/>
          <w:rtl w:val="0"/>
          <w:lang w:val="fr-FR"/>
        </w:rPr>
        <w:t>œ</w:t>
      </w:r>
      <w:r>
        <w:rPr>
          <w:i w:val="1"/>
          <w:iCs w:val="1"/>
          <w:sz w:val="24"/>
          <w:szCs w:val="24"/>
          <w:rtl w:val="0"/>
          <w:lang w:val="fr-FR"/>
        </w:rPr>
        <w:t xml:space="preserve">uvre du protocole respectent les principes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thiques relatifs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la recherche sur l'embryon et les cellules souches embryonnaires."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Ainsi, on y reconnait alors la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cessit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la recherche biom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dicale que de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resser au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nome humain mais on lui fixe ainsi un cadre dans lequel elle peut op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rer. On voit comment la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sidence Hollande rebroussait le chemin emprunt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la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sidence Sarkozy. 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En avril 2014 est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pos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le premier brevet relatif au CRISPR - CAS 9 et le monde commence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y 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resser, mais en ce qui concerne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tats, avant tout en tant que potentielle arme biochimique (le CRIPSR - CAS 9 pouvant en effet ins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rer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importe quel g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ne ou maladie au sein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une population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moindre co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t; chose qui lui a valu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cat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goris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en tant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arme de destruction massive par la CIA).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pourquoi il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institu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au sein du SGDSN (Secr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tariat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ral de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fense et de la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curit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Nationale) par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cret du premier ministre de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poque Manuel Valls en 2015 au lendemain des attentas du 13 novembre un nouveau comit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consultatif, plac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sous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gide du HCB (Haut Conseil des Biotechnologies) et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Acad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mie des Sciences, intitul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 CNCB (Conseil National Consultatif des Biotechnologies) dont la mission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est 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valuer les risques bio-terroristes.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>Et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 moment que tout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emballe. J</w:t>
      </w:r>
      <w:r>
        <w:rPr>
          <w:sz w:val="24"/>
          <w:szCs w:val="24"/>
          <w:rtl w:val="0"/>
        </w:rPr>
        <w:t>ennifer Doudna, co-d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couvreuse,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cide de s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>arr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ter dans ses recherches et appelle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un moratoire international, alors qu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Emmanuelle Charpentier, l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autre co-d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couvreuse, consid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que les craintes de sa coll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es-ES_tradnl"/>
        </w:rPr>
        <w:t>gue 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fr-FR"/>
        </w:rPr>
        <w:t>ont pas lieu d</w:t>
      </w:r>
      <w:r>
        <w:rPr>
          <w:sz w:val="24"/>
          <w:szCs w:val="24"/>
          <w:rtl w:val="0"/>
          <w:lang w:val="fr-FR"/>
        </w:rPr>
        <w:t>’ê</w:t>
      </w:r>
      <w:r>
        <w:rPr>
          <w:sz w:val="24"/>
          <w:szCs w:val="24"/>
          <w:rtl w:val="0"/>
          <w:lang w:val="fr-FR"/>
        </w:rPr>
        <w:t>tre et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cide de continuer ses recherches. Elles organisent toutes les deux une conf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rence internationale qui ne produit aucun consensus. </w:t>
      </w:r>
      <w:r>
        <w:rPr>
          <w:sz w:val="24"/>
          <w:szCs w:val="24"/>
        </w:rPr>
        <w:br w:type="textWrapping"/>
        <w:br w:type="textWrapping"/>
        <w:tab/>
      </w: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dans ce contexte pour le moins fragile pour la recherche que la France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cide de moderniser son syt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me de sant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avec la loi</w:t>
      </w:r>
      <w:r>
        <w:rPr>
          <w:sz w:val="24"/>
          <w:szCs w:val="24"/>
          <w:rtl w:val="0"/>
        </w:rPr>
        <w:t xml:space="preserve"> n</w:t>
      </w:r>
      <w:r>
        <w:rPr>
          <w:sz w:val="24"/>
          <w:szCs w:val="24"/>
          <w:rtl w:val="0"/>
          <w:lang w:val="it-IT"/>
        </w:rPr>
        <w:t xml:space="preserve">° </w:t>
      </w:r>
      <w:r>
        <w:rPr>
          <w:sz w:val="24"/>
          <w:szCs w:val="24"/>
          <w:rtl w:val="0"/>
        </w:rPr>
        <w:t>2016</w:t>
      </w:r>
      <w:r>
        <w:rPr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fr-FR"/>
        </w:rPr>
        <w:t xml:space="preserve"> 41 du 26 janvier 2016  permettant notamment la recherche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 sur les gam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tes, ce qui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auparavant prohib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,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une consultation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avis du peuple. 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anmoins la recherche sur les cellules germinales demeure toujours interdite avec cette nouvelle loi.</w:t>
      </w:r>
      <w:r>
        <w:rPr>
          <w:sz w:val="24"/>
          <w:szCs w:val="24"/>
          <w:rtl w:val="0"/>
          <w:lang w:val="fr-FR"/>
        </w:rPr>
        <w:t xml:space="preserve"> En effet,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raux de la bio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thique ont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convoqu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et un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bat public organis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. Encore une fois, le peuple directement a exerc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son pouvoir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gislateur.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numPr>
          <w:ilvl w:val="0"/>
          <w:numId w:val="2"/>
        </w:numPr>
        <w:bidi w:val="0"/>
        <w:spacing w:before="160" w:line="288" w:lineRule="auto"/>
        <w:ind w:right="0"/>
        <w:jc w:val="both"/>
        <w:rPr>
          <w:sz w:val="24"/>
          <w:szCs w:val="24"/>
          <w:rtl w:val="0"/>
          <w:lang w:val="fr-FR"/>
        </w:rPr>
      </w:pPr>
      <w:r>
        <w:rPr>
          <w:b w:val="1"/>
          <w:bCs w:val="1"/>
          <w:sz w:val="24"/>
          <w:szCs w:val="24"/>
          <w:rtl w:val="0"/>
          <w:lang w:val="fr-FR"/>
        </w:rPr>
        <w:t>Loi n</w:t>
      </w:r>
      <w:r>
        <w:rPr>
          <w:b w:val="1"/>
          <w:bCs w:val="1"/>
          <w:sz w:val="24"/>
          <w:szCs w:val="24"/>
          <w:rtl w:val="0"/>
          <w:lang w:val="fr-FR"/>
        </w:rPr>
        <w:t xml:space="preserve">° </w:t>
      </w:r>
      <w:r>
        <w:rPr>
          <w:b w:val="1"/>
          <w:bCs w:val="1"/>
          <w:sz w:val="24"/>
          <w:szCs w:val="24"/>
          <w:rtl w:val="0"/>
          <w:lang w:val="fr-FR"/>
        </w:rPr>
        <w:t>2016 - 41 du 26 janvier 2016, paragraphe III de l</w:t>
      </w:r>
      <w:r>
        <w:rPr>
          <w:b w:val="1"/>
          <w:bCs w:val="1"/>
          <w:sz w:val="24"/>
          <w:szCs w:val="24"/>
          <w:rtl w:val="0"/>
        </w:rPr>
        <w:t>’</w:t>
      </w:r>
      <w:r>
        <w:rPr>
          <w:b w:val="1"/>
          <w:bCs w:val="1"/>
          <w:sz w:val="24"/>
          <w:szCs w:val="24"/>
          <w:rtl w:val="0"/>
          <w:lang w:val="fr-FR"/>
        </w:rPr>
        <w:t>article 155</w:t>
      </w:r>
      <w:r>
        <w:rPr>
          <w:sz w:val="24"/>
          <w:szCs w:val="24"/>
          <w:rtl w:val="0"/>
          <w:lang w:val="fr-FR"/>
        </w:rPr>
        <w:t xml:space="preserve">: 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fr-FR"/>
        </w:rPr>
        <w:tab/>
        <w:t>" Des recherches biom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dicales men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es dans le cadre de l'assistance m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dicale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it-IT"/>
        </w:rPr>
        <w:t>la procr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ation peuvent 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tre 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alis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es sur des gam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>tes destin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 xml:space="preserve">s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constituer un embryon ou sur l'embryon in vitro avant ou apr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 xml:space="preserve">s son transfert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des fins de gestation, si chaque membre du couple y consent. Ces recherches sont conduites dans les conditions fix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es au titre II du livre Ier de la premi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it-IT"/>
        </w:rPr>
        <w:t xml:space="preserve">re partie. </w:t>
      </w:r>
      <w:r>
        <w:rPr>
          <w:i w:val="1"/>
          <w:iCs w:val="1"/>
          <w:sz w:val="24"/>
          <w:szCs w:val="24"/>
          <w:rtl w:val="0"/>
          <w:lang w:val="fr-FR"/>
        </w:rPr>
        <w:t>"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rtl w:val="0"/>
          <w:lang w:val="fr-FR"/>
        </w:rPr>
        <w:t>Quelque temps</w:t>
      </w:r>
      <w:r>
        <w:rPr>
          <w:sz w:val="24"/>
          <w:szCs w:val="24"/>
          <w:rtl w:val="0"/>
          <w:lang w:val="fr-FR"/>
        </w:rPr>
        <w:t xml:space="preserve">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en 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vrier 2016, la CIA classe le CRISPR - CAS 9 en tant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arme de destruction massive, et le comit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thique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INSERM rend un rapport - accompagn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rie de recommandation - sur le CRISPR - CAS 9: 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fr-FR"/>
        </w:rPr>
        <w:tab/>
        <w:t>"1 - Encourager une recherche dont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objectif est d</w:t>
      </w:r>
      <w:r>
        <w:rPr>
          <w:i w:val="1"/>
          <w:iCs w:val="1"/>
          <w:sz w:val="24"/>
          <w:szCs w:val="24"/>
          <w:rtl w:val="0"/>
          <w:lang w:val="fr-FR"/>
        </w:rPr>
        <w:t>’é</w:t>
      </w:r>
      <w:r>
        <w:rPr>
          <w:i w:val="1"/>
          <w:iCs w:val="1"/>
          <w:sz w:val="24"/>
          <w:szCs w:val="24"/>
          <w:rtl w:val="0"/>
          <w:lang w:val="fr-FR"/>
        </w:rPr>
        <w:t>valuer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efficacit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et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</w:rPr>
        <w:t>innocuit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de la technologie CRISPR et des autres technologies d</w:t>
      </w:r>
      <w:r>
        <w:rPr>
          <w:i w:val="1"/>
          <w:iCs w:val="1"/>
          <w:sz w:val="24"/>
          <w:szCs w:val="24"/>
          <w:rtl w:val="0"/>
          <w:lang w:val="fr-FR"/>
        </w:rPr>
        <w:t>’é</w:t>
      </w:r>
      <w:r>
        <w:rPr>
          <w:i w:val="1"/>
          <w:iCs w:val="1"/>
          <w:sz w:val="24"/>
          <w:szCs w:val="24"/>
          <w:rtl w:val="0"/>
          <w:lang w:val="fr-FR"/>
        </w:rPr>
        <w:t>dition du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it-IT"/>
        </w:rPr>
        <w:t>nome r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cemment publi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es, dans des mod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>les exp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rimentaux pouvant permettre au cas par cas de 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terminer la balance b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n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fice/risque d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une application th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rapeutique y compris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ventuellement sur des cellules germinales et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embryon. Cette information est essentielle pour pouvoir 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finir, dans le futur, ce qui pourrait </w:t>
      </w:r>
      <w:r>
        <w:rPr>
          <w:i w:val="1"/>
          <w:iCs w:val="1"/>
          <w:sz w:val="24"/>
          <w:szCs w:val="24"/>
          <w:rtl w:val="0"/>
          <w:lang w:val="fr-FR"/>
        </w:rPr>
        <w:t>ê</w:t>
      </w:r>
      <w:r>
        <w:rPr>
          <w:i w:val="1"/>
          <w:iCs w:val="1"/>
          <w:sz w:val="24"/>
          <w:szCs w:val="24"/>
          <w:rtl w:val="0"/>
          <w:lang w:val="fr-FR"/>
        </w:rPr>
        <w:t>tre autoris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chez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homme en termes d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en-US"/>
        </w:rPr>
        <w:t>approches th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rapeutiques. [</w:t>
      </w:r>
      <w:r>
        <w:rPr>
          <w:i w:val="1"/>
          <w:iCs w:val="1"/>
          <w:sz w:val="24"/>
          <w:szCs w:val="24"/>
          <w:rtl w:val="0"/>
          <w:lang w:val="fr-FR"/>
        </w:rPr>
        <w:t>…</w:t>
      </w:r>
      <w:r>
        <w:rPr>
          <w:i w:val="1"/>
          <w:iCs w:val="1"/>
          <w:sz w:val="24"/>
          <w:szCs w:val="24"/>
          <w:rtl w:val="0"/>
          <w:lang w:val="fr-FR"/>
        </w:rPr>
        <w:t>]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fr-FR"/>
        </w:rPr>
        <w:t>3 - Respecter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interdiction de toute modification du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it-IT"/>
        </w:rPr>
        <w:t>nome nucl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aire germinal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</w:rPr>
        <w:t>vis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 reproductive dans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</w:rPr>
        <w:t>esp</w:t>
      </w:r>
      <w:r>
        <w:rPr>
          <w:i w:val="1"/>
          <w:iCs w:val="1"/>
          <w:sz w:val="24"/>
          <w:szCs w:val="24"/>
          <w:rtl w:val="0"/>
          <w:lang w:val="fr-FR"/>
        </w:rPr>
        <w:t>è</w:t>
      </w:r>
      <w:r>
        <w:rPr>
          <w:i w:val="1"/>
          <w:iCs w:val="1"/>
          <w:sz w:val="24"/>
          <w:szCs w:val="24"/>
          <w:rtl w:val="0"/>
          <w:lang w:val="fr-FR"/>
        </w:rPr>
        <w:t>ce humaine, et n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appuyer aucune demande de modification des conditions l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gales avant que les incertitudes concernant les risques ne soient clairement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en-US"/>
        </w:rPr>
        <w:t>valu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es, et avant qu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 xml:space="preserve">une concertation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largie incluant les multiples partenaires de la soci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t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it-IT"/>
        </w:rPr>
        <w:t>civile n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ait statu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sur ce sc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it-IT"/>
        </w:rPr>
        <w:t>nario.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fr-FR"/>
        </w:rPr>
        <w:t xml:space="preserve">4 - Participer </w:t>
      </w:r>
      <w:r>
        <w:rPr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i w:val="1"/>
          <w:iCs w:val="1"/>
          <w:sz w:val="24"/>
          <w:szCs w:val="24"/>
          <w:rtl w:val="0"/>
          <w:lang w:val="fr-FR"/>
        </w:rPr>
        <w:t>toute initiative nationale ou internationale qui traiterait les questions de libert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de la recherche et d</w:t>
      </w:r>
      <w:r>
        <w:rPr>
          <w:i w:val="1"/>
          <w:iCs w:val="1"/>
          <w:sz w:val="24"/>
          <w:szCs w:val="24"/>
          <w:rtl w:val="0"/>
          <w:lang w:val="fr-FR"/>
        </w:rPr>
        <w:t>’é</w:t>
      </w:r>
      <w:r>
        <w:rPr>
          <w:i w:val="1"/>
          <w:iCs w:val="1"/>
          <w:sz w:val="24"/>
          <w:szCs w:val="24"/>
          <w:rtl w:val="0"/>
          <w:lang w:val="fr-FR"/>
        </w:rPr>
        <w:t>thique m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dicale y compris avec les pays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 xml:space="preserve">mergents qui seront 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galement impact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s par le 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veloppement des technologies d</w:t>
      </w:r>
      <w:r>
        <w:rPr>
          <w:i w:val="1"/>
          <w:iCs w:val="1"/>
          <w:sz w:val="24"/>
          <w:szCs w:val="24"/>
          <w:rtl w:val="0"/>
          <w:lang w:val="fr-FR"/>
        </w:rPr>
        <w:t>’é</w:t>
      </w:r>
      <w:r>
        <w:rPr>
          <w:i w:val="1"/>
          <w:iCs w:val="1"/>
          <w:sz w:val="24"/>
          <w:szCs w:val="24"/>
          <w:rtl w:val="0"/>
          <w:lang w:val="fr-FR"/>
        </w:rPr>
        <w:t>dition du g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pt-PT"/>
        </w:rPr>
        <w:t>nome.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i w:val="1"/>
          <w:iCs w:val="1"/>
          <w:sz w:val="24"/>
          <w:szCs w:val="24"/>
          <w:rtl w:val="0"/>
          <w:lang w:val="fr-FR"/>
        </w:rPr>
        <w:t>5 - Enfin attirer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attention sur la question plus philosophique qui met en tension la plasticit</w:t>
      </w:r>
      <w:r>
        <w:rPr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i w:val="1"/>
          <w:iCs w:val="1"/>
          <w:sz w:val="24"/>
          <w:szCs w:val="24"/>
          <w:rtl w:val="0"/>
          <w:lang w:val="fr-FR"/>
        </w:rPr>
        <w:t>du vivant avec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</w:rPr>
        <w:t>id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</w:rPr>
        <w:t>e d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une nature humaine fond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e sur le seul invariant biologique. Il convient de susciter une conscience qui fasse la part de l</w:t>
      </w:r>
      <w:r>
        <w:rPr>
          <w:i w:val="1"/>
          <w:iCs w:val="1"/>
          <w:sz w:val="24"/>
          <w:szCs w:val="24"/>
          <w:rtl w:val="0"/>
        </w:rPr>
        <w:t>’</w:t>
      </w:r>
      <w:r>
        <w:rPr>
          <w:i w:val="1"/>
          <w:iCs w:val="1"/>
          <w:sz w:val="24"/>
          <w:szCs w:val="24"/>
          <w:rtl w:val="0"/>
          <w:lang w:val="fr-FR"/>
        </w:rPr>
        <w:t>utopie et des dystopies que peuvent engendrer certaines promesses th</w:t>
      </w:r>
      <w:r>
        <w:rPr>
          <w:i w:val="1"/>
          <w:iCs w:val="1"/>
          <w:sz w:val="24"/>
          <w:szCs w:val="24"/>
          <w:rtl w:val="0"/>
          <w:lang w:val="fr-FR"/>
        </w:rPr>
        <w:t>é</w:t>
      </w:r>
      <w:r>
        <w:rPr>
          <w:i w:val="1"/>
          <w:iCs w:val="1"/>
          <w:sz w:val="24"/>
          <w:szCs w:val="24"/>
          <w:rtl w:val="0"/>
          <w:lang w:val="fr-FR"/>
        </w:rPr>
        <w:t>rapeutiques."</w:t>
      </w: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fr-FR"/>
        </w:rPr>
        <w:t xml:space="preserve">Mais il faut garder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esprit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INSERM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aucun pouvoir politique ou 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gal, elle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instance consultative. Son point de vue est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anmoins souvent invoqu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lors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bats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</w:t>
      </w:r>
      <w:r>
        <w:rPr>
          <w:sz w:val="24"/>
          <w:szCs w:val="24"/>
          <w:rtl w:val="0"/>
          <w:lang w:val="fr-FR"/>
        </w:rPr>
        <w:t>ssembl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ationale.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INSERM appelle tout de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 xml:space="preserve">me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la plus grande prudence dans sa premi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recommandation, car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institut a conscience que toute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cision prise aura valeur de jurisprudence. Mais la situation s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re. En mai 2016, ALLIANCE VITA, un groupe proche de la Manif pour tous et de Sens Commun entame avec INF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OGM une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tition pour arr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ter les recherches sur le CRISPR - CAS 9, mais en octobre, le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ant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agro-alimentaire Monsanto rach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 les droits en raison de son potentiel et un collectif de prix Nobel fran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ais se prononce contre la 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ALLIANCE VITA.</w:t>
      </w:r>
      <w:r>
        <w:rPr>
          <w:sz w:val="24"/>
          <w:szCs w:val="24"/>
        </w:rPr>
        <w:br w:type="textWrapping"/>
        <w:br w:type="textWrapping"/>
        <w:tab/>
      </w:r>
      <w:r>
        <w:rPr>
          <w:sz w:val="24"/>
          <w:szCs w:val="24"/>
          <w:rtl w:val="0"/>
          <w:lang w:val="fr-FR"/>
        </w:rPr>
        <w:t xml:space="preserve">Face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cette prise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importance de la controverse le</w:t>
      </w:r>
      <w:r>
        <w:rPr>
          <w:sz w:val="24"/>
          <w:szCs w:val="24"/>
          <w:rtl w:val="0"/>
          <w:lang w:val="fr-FR"/>
        </w:rPr>
        <w:t xml:space="preserve"> CNCB (Conseil National Consultatif des Biotechnologies) rend en son rapport aupr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du SGDSN sur le CRISPR - CAS 9 en 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vrier 2017 et calme le jeu. Cette technique ne serait finalement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une am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lioration de technique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j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existante, et ne constituerai ainsi pas une menace suppl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mentaire. Cependant,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peine un mois plus tard,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OPECST, dont la saisine avait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vue depuis la promulgation de la loi du 6 ao</w:t>
      </w:r>
      <w:r>
        <w:rPr>
          <w:sz w:val="24"/>
          <w:szCs w:val="24"/>
          <w:rtl w:val="0"/>
          <w:lang w:val="fr-FR"/>
        </w:rPr>
        <w:t>û</w:t>
      </w:r>
      <w:r>
        <w:rPr>
          <w:sz w:val="24"/>
          <w:szCs w:val="24"/>
          <w:rtl w:val="0"/>
          <w:lang w:val="fr-FR"/>
        </w:rPr>
        <w:t>t 2013 rend un rapport pour le moins contradictoire aupr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Assembl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Nationale. Bien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elle y recommande notamment une poursuite de la recherche, elle enjoint cependant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respecter la convention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Oviedo en ce qui concerne les cellules germinales (cellules souches dont proviennent les gam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tes), appelle au soutien du collectif de prix Nobel et recommande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in fine, le politique puisse avoir le pouvoir de trancher sur les dangers des biotechnologies,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OPECST a tout de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formul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des regrets de ne pas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en lien avec le CNCB, et a estim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que les dangers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un bio - terrorisme li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au CRISPR - CAS 9 ne devaient pas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glig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s. Notons ici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en cas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saccord entre le minist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de la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fense et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Assembl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Nationale, cette derni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re est un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to - player. Indiquons enfin que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OPECST a appel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un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bat public sur les questions de recherche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tique.</w:t>
      </w:r>
      <w:r>
        <w:rPr>
          <w:sz w:val="24"/>
          <w:szCs w:val="24"/>
          <w:rtl w:val="0"/>
          <w:lang w:val="fr-FR"/>
        </w:rPr>
        <w:t xml:space="preserve"> Il est a imaginer que la position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Assembl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Nationale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voluera dans les prochains mois.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rtl w:val="0"/>
          <w:lang w:val="fr-FR"/>
        </w:rPr>
        <w:t>Ainsi</w:t>
      </w:r>
      <w:r>
        <w:rPr>
          <w:sz w:val="24"/>
          <w:szCs w:val="24"/>
          <w:rtl w:val="0"/>
          <w:lang w:val="fr-FR"/>
        </w:rPr>
        <w:t>, nous avons vu que les avis restent encore mitig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sur le CRISPR - CAS 9. Il faut bien saisir qu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ici la controverse est double, car si cette bio-technologie pourrait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bien gu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rir le sida et rel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guer le cancer au niveau de maladie chronique sans danger aucun, on ne connait pas encore ses effets secondaires. Et si il y a un risque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rive eug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niste, il existe un risque encore plus grand de prolif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au sein des populations. Le fait que le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nome humain fasse partie du patrimoine mondial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humanit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prend ici tout son sens. </w:t>
      </w:r>
      <w:r>
        <w:rPr>
          <w:sz w:val="24"/>
          <w:szCs w:val="24"/>
        </w:rPr>
        <w:br w:type="textWrapping"/>
        <w:tab/>
      </w:r>
      <w:r>
        <w:rPr>
          <w:sz w:val="24"/>
          <w:szCs w:val="24"/>
          <w:rtl w:val="0"/>
          <w:lang w:val="fr-FR"/>
        </w:rPr>
        <w:t xml:space="preserve">Mais il faut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galement prendre en compte le risque bio - terroriste car cette technique rend plus facile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des capacit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autrefois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serv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au docteurs en biologie ou en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nie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tique. </w:t>
      </w:r>
    </w:p>
    <w:p>
      <w:pPr>
        <w:pStyle w:val="Corps A"/>
        <w:spacing w:before="160" w:line="288" w:lineRule="auto"/>
        <w:jc w:val="both"/>
        <w:rPr>
          <w:sz w:val="24"/>
          <w:szCs w:val="24"/>
        </w:rPr>
      </w:pPr>
    </w:p>
    <w:p>
      <w:pPr>
        <w:pStyle w:val="Corps A"/>
        <w:spacing w:before="160" w:line="288" w:lineRule="auto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fr-FR"/>
        </w:rPr>
        <w:tab/>
        <w:t xml:space="preserve">Face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ces multiples risques, nous avons vu deux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ponses: si la CIA au Etats - Unis a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clar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le CRISPR - CAS 9 arme de destruction massive,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Assembl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Nationale en France a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consulter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avis du peuple, au cours de multiple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bat publics. Notons enfin </w:t>
        <w:tab/>
        <w:t xml:space="preserve">que de nouveaux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raux de la bio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thique doivent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convoqu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en 2018 pour statuer sur la marche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suivre en fonction des progr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de la recherche 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tique, et que le comit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thique du Conseil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Europe est toujours,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heure actuelle, en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lib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sur les questions soulev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par le CRISPR - CAS 9.</w:t>
      </w: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Corps A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odoni SvtyTwo OS ITC TT-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.0"/>
      <w:tabs>
        <w:tab w:val="center" w:pos="4819"/>
        <w:tab w:val="right" w:pos="9612"/>
        <w:tab w:val="clear" w:pos="9020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rosse puce"/>
  </w:abstractNum>
  <w:abstractNum w:abstractNumId="1">
    <w:multiLevelType w:val="hybridMultilevel"/>
    <w:styleLink w:val="Grosse puce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-tête.0">
    <w:name w:val="En-tête"/>
    <w:next w:val="En-tête.0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Grosse puce">
    <w:name w:val="Grosse puc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