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游ゴシック" w:hAnsi="游ゴシック" w:eastAsia="游ゴシック"/>
          <w:b/>
          <w:sz w:val="30"/>
        </w:rPr>
        <w:t>人権を基盤とした研修プログラム　～教務園務担当者編～</w:t>
      </w:r>
    </w:p>
    <w:p>
      <w:pPr>
        <w:spacing w:before="0" w:after="200" w:line="288" w:lineRule="auto"/>
        <w:jc w:val="center"/>
      </w:pPr>
      <w:r>
        <w:rPr>
          <w:rFonts w:ascii="游ゴシック" w:hAnsi="游ゴシック" w:eastAsia="游ゴシック"/>
          <w:b/>
          <w:sz w:val="26"/>
        </w:rPr>
        <w:t>「教職員による性暴力等の防止」　発表原稿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対　象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各校・園　教務園務担当者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発表者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練馬区教育委員会　指導主事（教育課程担当）　〔　氏名　〕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持ち時間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15分以内（本原稿の想定時間：約14分／質疑・間（ま）を含め余裕を確保）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資　料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PowerPoint 全18スライド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ねらい</w:t>
            </w:r>
          </w:p>
        </w:tc>
        <w:tc>
          <w:tcPr>
            <w:tcW w:type="dxa" w:w="765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性暴力等の防止を「教育課程に位置付け、組織で確実に実施する」観点を、教務園務担当者と共有する</w:t>
            </w:r>
          </w:p>
        </w:tc>
      </w:tr>
    </w:tbl>
    <w:p>
      <w:pPr>
        <w:spacing w:before="0" w:after="40" w:line="360" w:lineRule="auto"/>
      </w:pPr>
    </w:p>
    <w:p>
      <w:pPr>
        <w:spacing w:before="120" w:after="40" w:line="360" w:lineRule="auto"/>
      </w:pPr>
      <w:r>
        <w:rPr>
          <w:rFonts w:ascii="游ゴシック" w:hAnsi="游ゴシック" w:eastAsia="游ゴシック"/>
          <w:b/>
          <w:color w:val="1F3864"/>
          <w:sz w:val="21"/>
        </w:rPr>
        <w:t>【進行上の留意点】</w:t>
      </w:r>
    </w:p>
    <w:p>
      <w:pPr>
        <w:spacing w:before="0" w:after="40" w:line="324" w:lineRule="auto"/>
        <w:ind w:left="170"/>
      </w:pPr>
      <w:r>
        <w:rPr>
          <w:rFonts w:ascii="游ゴシック" w:hAnsi="游ゴシック" w:eastAsia="游ゴシック"/>
          <w:b w:val="0"/>
          <w:color w:val="444444"/>
          <w:sz w:val="19"/>
        </w:rPr>
        <w:t>・センシティブな主題です。淡々と、しかし真剣に。早口を避け、落ち着いた声量で。</w:t>
      </w:r>
    </w:p>
    <w:p>
      <w:pPr>
        <w:spacing w:before="0" w:after="40" w:line="324" w:lineRule="auto"/>
        <w:ind w:left="170"/>
      </w:pPr>
      <w:r>
        <w:rPr>
          <w:rFonts w:ascii="游ゴシック" w:hAnsi="游ゴシック" w:eastAsia="游ゴシック"/>
          <w:b w:val="0"/>
          <w:color w:val="444444"/>
          <w:sz w:val="19"/>
        </w:rPr>
        <w:t>・〔　〕は適宜置き換え、（　）内はスライド操作・間（ま）の取り方など進行メモです（読み上げません）。</w:t>
      </w:r>
    </w:p>
    <w:p>
      <w:pPr>
        <w:spacing w:before="0" w:after="40" w:line="324" w:lineRule="auto"/>
        <w:ind w:left="170"/>
      </w:pPr>
      <w:r>
        <w:rPr>
          <w:rFonts w:ascii="游ゴシック" w:hAnsi="游ゴシック" w:eastAsia="游ゴシック"/>
          <w:b w:val="0"/>
          <w:color w:val="444444"/>
          <w:sz w:val="19"/>
        </w:rPr>
        <w:t>・★や下線の箇所は、少し間をおいて強調します。時間が押した場合はスライド4・5・14・15を圧縮します。</w:t>
      </w:r>
    </w:p>
    <w:p>
      <w:pPr>
        <w:spacing w:before="40" w:after="40"/>
        <w:pBdr>
          <w:bottom w:val="single" w:sz="6" w:space="1" w:color="999999"/>
        </w:pBdr>
      </w:pP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【スライド1】タイトル（導入・あいさつ）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〔0:00–1:00〕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555555"/>
          <w:sz w:val="19"/>
        </w:rPr>
        <w:t>（開始の合図で登壇。スライド1を表示）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皆さん、こんにちは。練馬区教育委員会で教育課程を担当しております、指導主事の〔　氏名　〕と申します。本日はお忙しい中、「人権を基盤とした研修プログラム　教務園務担当者編」にご参加いただき、ありがとうございます。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の研修プログラムは、先般、校園長を対象に実施いたしました。本日はその内容を踏まえ、各校・園の教育課程の要であります教務園務担当者の皆さんと、「教職員による性暴力等の防止」について、共に考えてまいります。お時間は15分ほど頂戴します。どうぞよろしくお願いいたしま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【スライド2】教務園務担当者の役割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〔1:00–2:15〕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はじめに、教務園務担当者の役割を改めて確認させてください。皆さんには、ここに挙げた五つの役割があります。教育課程への位置付け。計画に基づいた教育活動の確実な実施。教職員による共通理解・共通実践。教職員に対する指導・助言。そして、児童生徒や保護者への働きかけで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お気づきでしょうか。本日のテーマである性暴力等の防止は、まさにこの五つの役割すべてに関わってまいります。これは「生活指導だけの問題」ではありません。教育課程に位置付け、組織として確実に実施していく――その中心を動かすのが、皆さん教務園務担当者なのです。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555555"/>
          <w:sz w:val="19"/>
        </w:rPr>
        <w:t>（チャット機能を使う場合：『自校・自園ではどのような取組をしているか、後ほどチャットに書き込んでいただきます。考えながらお聞きください』と一言添える）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【スライド3】出典（齋藤梓 准教授の講義）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〔2:15–2:45〕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こからの内容は、上智大学総合人間科学部の齋藤梓（さいとう・あずさ）准教授による講義「教職員による幼児児童生徒への性暴力等の防止について」を基にしています。齋藤先生は臨床心理士・公認心理師であり、性暴力被害の支援と研究の第一人者でいらっしゃいます。校園長研修会でお話しいただいた内容の要点を、私からご紹介しま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【スライド4】どれが暴力？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〔2:45–3:40〕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まず、子供たちにも使える問いです。「どれが暴力でしょうか」。グーで殴る――これは＜からだの暴力＞。どなる、無視する――これは＜こころの暴力＞。いいよと言っていないのにおしりを触る、いやだと言ったのに着替えをのぞく――これは＜性暴力＞で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正解は――ぜんぶ、暴力です。からだの暴力は身体を傷つけます。そして、こころの暴力も、性暴力も、相手のこころを深く傷つけます。性暴力もまた暴力の一つなのだということを、まず私たち大人が確認しておきたいと思いま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【スライド5】「性暴力」は女の子だけにおこる？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〔3:40–4:35〕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「性暴力は女の子だけに起こるもの」――そう思い込んでいないでしょうか。性暴力は、男の子にも、すべての性別の人に起こります。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そして注意したいのが、「女のくせに」「男なのに」という考え方です。女の子は大人しいほうがいい、男の子は強くあるべきだ――こうした無意識の思い込み、アンコンシャス・バイアスが、暴力のきっかけになることがあります。言うことを聞かない子を「こらしめなければ」、弱そうな子を「男らしくない」と決めつける。その無意識の決めつけが、誰かを傷つける入り口になり得るので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【スライド6】性暴力とは？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〔4:35–5:25〕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改めて、性暴力とは何か。性暴力とは、本人が望まない性的な行為のことです。相手が恋人でも、家族でも、顔見知りでも、本人が望まない性的な行為は、すべて性暴力です。体に触れる暴力だけではありません。性的な言葉を言う、見せつける――体に触れない性暴力もあります。性別にかかわらず、誰もが被害に遭いま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そして、最も大切なことです。悪いのは、加害者です。被害に遭った人は、悪くありません。どんな理由があっても、性暴力は決して許されません。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555555"/>
          <w:sz w:val="19"/>
        </w:rPr>
        <w:t>（『悪いのは加害者です』の前後で一拍おいて強調）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【スライド7】被害が子供に与える影響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〔5:25–6:15〕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性暴力は、被害に遭った子供に、どのような影響を与えるのでしょうか。それは、個人の尊厳を著しく傷つけ、心身に深刻な影響を与え、健全な発達を阻害する、重大な人権の侵害です。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フラッシュバックなどのトラウマ反応、PTSD、摂食障害やうつ、自傷――こうしたリスクが高まります。一見問題に見える行動や、人間関係の境界線の揺らぎとして現れることもあります。自分や他人、世界を信じられなくなる。被害の影響は、長く、深く続くのだということを、私たちは知っておかなければなりません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【スライド8】加害はどのようなプロセスで起こるか（性的手なずけ）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〔6:15–7:10〕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加害は、ある日突然起こるのではありません。多くの場合、「手なずけ」――グルーミングと呼ばれるプロセスを経て進みます。加害できそうな子供を探し、近づいて、他の人から引き離す。子供や、その周りの大人とも、欺くように信頼関係をつくる。そして、性的な言動に対する子供の感覚を、少しずつ鈍らせていきま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具体的には、居残りや二人きりの状況をつくる。他の先生や保護者の悪口を言って、子供を囲い込む。頭をなでる、肩に触れる、膝の上に座らせる――こうした「小さな逸脱」の積み重ねが、危険のサインなので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【スライド9】子供は被害を打ち明けにくい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〔7:10–7:55〕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子供たちは、被害をなかなか打ち明けられません。加害者からの口止め、信じてもらえない恐怖、そもそも何が被害なのか分からない、自責や恥の感情――こうした理由が重なります。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被害を語れた子供の多くが、「尋ねられたから話せた」「知ったから話せた」と言います。だからこそ、子供たちが学ぶ機会と、周りの大人が気づく視点が必要です。小さな変化やSOSを見逃さない。その努力が、子供を守りま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【スライド10】未然防止のハード面・ソフト面（教職員編）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〔7:55–8:45〕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では、学校・園として何ができるか。未然防止を、ハード面とソフト面から整理します。ハード面は、ルールづくりと校内環境の点検――死角をなくすことです。ソフト面は、研修による意識改革。性暴力を自分事として捉え、アンコンシャス・バイアスに気づくこと。そして、相談し合える、違和感を共有できる、透明で安全な組織をつくることで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このソフト面の研修やOJTを、教育課程に位置付けて回していく。ここが、まさに教務園務担当者の出番となります。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【スライド11】初期対応のハード面・ソフト面（教職員編）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〔8:45–9:20〕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万が一に備えた初期対応も、同じく両面で考えます。ハード面は、相談窓口の整備。ソフト面は、子供の変化をキャッチする視点――トラウマインフォームドケア、相談しやすい関係づくり、被害を聴くための研修、マニュアルやフローの改訂と周知、警察や児童相談所との連携強化です。性暴力を正しく理解することは、二次加害の予防にもつながりま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【スライド12】子供が被害を打ち明けたとき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〔9:20–10:10〕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実際に子供が打ち明けてくれたとき、どう聴くか。ポイントは「聴きすぎない」ことです。「誰が」「どこで」「何をしたか」を問い詰めない。子供が使った言葉をそのまま使い、決めつけず、誘導しない。最後まで聴いてから「よく話してくれたね、ありがとう」と伝える。感情を出しすぎず、温かく、落ち着いて。「なぜ」「どうして」と責めない。そして、安全を確保することです。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555555"/>
          <w:sz w:val="19"/>
        </w:rPr>
        <w:t>（補足：途中で『ありがとう』と言うと、認められたい思いから事実と異なることを話す場合がある。ねぎらいは最後に、が原則）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【スライド13】基本的な考え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〔10:10–10:50〕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こまでを踏まえた、基本的な考えです。人権の大切さを知り、互いに尊重する。境界線の概念や対等性を知り、安全で安心な人間関係を築く。どのような行為が性暴力にあたるのかを知る。知らないことで互いを傷つけない、心理的な死角をなくす、もしものときに自分を責めずに済むように――そのために伝えます。そして何よりも、まずは大人が、ちゃんと知ること。これがすべての出発点で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【スライド14】性の境界線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〔10:50–11:25〕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いま「境界線」という言葉が出てきました。性の境界線とは、「いつ、どこで、誰と、どんな性的な行為をするか」「自分の身体を、いつ、誰に見られるか」――それは自分が決めてよいことだ、という考え方です。この自分の意志や決定がないがしろにされると、安全や安心が脅かされ、「性的なモノとして扱われた」「人として尊重されていない」という感覚が残ります。境界線を大切にすることは、人権を守ることそのものなので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【スライド15】被害に遭ったときの対応（No・Go・Tell）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〔11:25–12:00〕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子供たちには、性暴力を受けた、あるいは受けそうになったときの対応も伝えます。「No――いやだと言う」「Go――逃げる」「Tell――大人に伝える」。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ただし、ここが大切です。嫌だと言えなくても、逃げられなくても、それは当然のことです。悪いのは、あなたの境界線を大切にしなかった相手のほうです。子供を決して責めない。このメッセージを、必ずセットで伝えま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【スライド16】まとめ：大人が理解し、子供に伝える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〔12:00–12:20〕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こまでの内容は、結局この一点に集約されます。「大人が性暴力を理解して、子供たちの安全を守れるように。そして、子供たちにちゃんと伝えられるように」。私たち大人が学ぶことが、子供を守る最初の一歩で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【スライド17】性暴力等の防止に向けた練馬区立学校の取組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〔12:20–13:05〕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れを受けて、練馬区立学校では、次の取組を進めています。教科準備室など、死角になる場所の点検。空き教室等の施錠。教室等の見える化。私物カメラ等の校内持ち込みの禁止。スマートフォンの教育活動での使用禁止。そして、授業をタブレット等で録画する際は、管理職の許可を得た上で、黒板に「録画中」「撮影中」と表示することで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これらを「決まりだから」で終わらせないこと。なぜ必要なのかを教職員が理解し、実行することが大切です。その理解を組織に広げる役割を、皆さんに担っていただきたいのです。</w:t>
      </w:r>
    </w:p>
    <w:p>
      <w:pPr>
        <w:spacing w:before="240" w:after="60" w:line="312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【スライド18】教務園務担当者に期待すること（結び）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　〔13:05–14:30〕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最後に、教務園務担当者の皆さんに期待することをお伝えします。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大前提として――★自身の人権感覚を、常にアップデートしてください。その上で、五つお願いします。</w:t>
      </w:r>
    </w:p>
    <w:p>
      <w:pPr>
        <w:spacing w:before="0" w:after="40" w:line="360" w:lineRule="auto"/>
        <w:ind w:left="227"/>
      </w:pPr>
      <w:r>
        <w:rPr>
          <w:rFonts w:ascii="游ゴシック" w:hAnsi="游ゴシック" w:eastAsia="游ゴシック"/>
          <w:b w:val="0"/>
          <w:sz w:val="21"/>
        </w:rPr>
        <w:t>一つ、教育課程の確認、そして令和9年度の教育課程への位置付け。</w:t>
      </w:r>
    </w:p>
    <w:p>
      <w:pPr>
        <w:spacing w:before="0" w:after="40" w:line="360" w:lineRule="auto"/>
        <w:ind w:left="227"/>
      </w:pPr>
      <w:r>
        <w:rPr>
          <w:rFonts w:ascii="游ゴシック" w:hAnsi="游ゴシック" w:eastAsia="游ゴシック"/>
          <w:b w:val="0"/>
          <w:sz w:val="21"/>
        </w:rPr>
        <w:t>二つ、年間指導計画等に基づいた教育活動の、確実な実施。</w:t>
      </w:r>
    </w:p>
    <w:p>
      <w:pPr>
        <w:spacing w:before="0" w:after="40" w:line="360" w:lineRule="auto"/>
        <w:ind w:left="227"/>
      </w:pPr>
      <w:r>
        <w:rPr>
          <w:rFonts w:ascii="游ゴシック" w:hAnsi="游ゴシック" w:eastAsia="游ゴシック"/>
          <w:b w:val="0"/>
          <w:sz w:val="21"/>
        </w:rPr>
        <w:t>三つ、生活指導担当者と連携した、校内OJTの実施。</w:t>
      </w:r>
    </w:p>
    <w:p>
      <w:pPr>
        <w:spacing w:before="0" w:after="40" w:line="360" w:lineRule="auto"/>
        <w:ind w:left="227"/>
      </w:pPr>
      <w:r>
        <w:rPr>
          <w:rFonts w:ascii="游ゴシック" w:hAnsi="游ゴシック" w:eastAsia="游ゴシック"/>
          <w:b w:val="0"/>
          <w:sz w:val="21"/>
        </w:rPr>
        <w:t>四つ、教職員の言動への注目と、必要に応じた指導。</w:t>
      </w:r>
    </w:p>
    <w:p>
      <w:pPr>
        <w:spacing w:before="0" w:after="80" w:line="360" w:lineRule="auto"/>
        <w:ind w:left="227"/>
      </w:pPr>
      <w:r>
        <w:rPr>
          <w:rFonts w:ascii="游ゴシック" w:hAnsi="游ゴシック" w:eastAsia="游ゴシック"/>
          <w:b w:val="0"/>
          <w:sz w:val="21"/>
        </w:rPr>
        <w:t>五つ、学校便りやホームページを活用した、児童生徒・保護者の意識向上への働きかけ。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そして――★疑わしい事案は、速やかに管理職へ報告してください。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加害には、「その教員特有の癖」が見られることがあると言われます。しかし、癖だから防げない、ということは決してありません。大切なのは、「起こさせない仕組み」と「起こさせない意識」です。それを教育課程の中に組み込み、組織として動かしていく。それができるのは、教務の要である皆さんです。</w:t>
      </w:r>
    </w:p>
    <w:p>
      <w:pPr>
        <w:spacing w:before="0" w:after="80" w:line="384" w:lineRule="auto"/>
      </w:pPr>
      <w:r>
        <w:rPr>
          <w:rFonts w:ascii="游ゴシック" w:hAnsi="游ゴシック" w:eastAsia="游ゴシック"/>
          <w:b w:val="0"/>
          <w:sz w:val="21"/>
        </w:rPr>
        <w:t>子供たちの安全と尊厳を守るために、どうぞお力をお貸しください。本日は、ありがとうございました。</w:t>
      </w:r>
    </w:p>
    <w:p>
      <w:pPr>
        <w:spacing w:before="0" w:after="80" w:line="336" w:lineRule="auto"/>
      </w:pPr>
      <w:r>
        <w:rPr>
          <w:rFonts w:ascii="游ゴシック" w:hAnsi="游ゴシック" w:eastAsia="游ゴシック"/>
          <w:b w:val="0"/>
          <w:color w:val="555555"/>
          <w:sz w:val="19"/>
        </w:rPr>
        <w:t>（一礼して終了）</w:t>
      </w:r>
    </w:p>
    <w:p>
      <w:pPr>
        <w:spacing w:before="40" w:after="40"/>
        <w:pBdr>
          <w:bottom w:val="single" w:sz="6" w:space="1" w:color="999999"/>
        </w:pBdr>
      </w:pPr>
    </w:p>
    <w:p>
      <w:pPr>
        <w:spacing w:before="0" w:after="80" w:line="312" w:lineRule="auto"/>
      </w:pPr>
      <w:r>
        <w:rPr>
          <w:rFonts w:ascii="游ゴシック" w:hAnsi="游ゴシック" w:eastAsia="游ゴシック"/>
          <w:b w:val="0"/>
          <w:color w:val="808080"/>
          <w:sz w:val="17"/>
        </w:rPr>
        <w:t>※本原稿はPowerPoint資料（全18スライド）に基づき作成。スライド3～16の内容は齋藤梓准教授（上智大学）の校園長対象研修会講義に拠る。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