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40"/>
      </w:pPr>
      <w:r>
        <w:rPr>
          <w:rFonts w:ascii="メイリオ" w:hAnsi="メイリオ" w:eastAsia="メイリオ"/>
          <w:b/>
          <w:color w:val="2683C6"/>
          <w:sz w:val="20"/>
        </w:rPr>
        <w:t>══════════════════════════════════════════════════</w:t>
      </w:r>
    </w:p>
    <w:p>
      <w:pPr>
        <w:spacing w:after="120" w:before="0"/>
        <w:jc w:val="center"/>
      </w:pPr>
      <w:r>
        <w:rPr>
          <w:rFonts w:ascii="メイリオ" w:hAnsi="メイリオ" w:eastAsia="メイリオ"/>
          <w:b/>
          <w:color w:val="344068"/>
          <w:sz w:val="36"/>
        </w:rPr>
        <w:t>評価資料 セルフチェックシート</w:t>
      </w:r>
    </w:p>
    <w:p>
      <w:pPr>
        <w:spacing w:after="120" w:before="0"/>
        <w:jc w:val="center"/>
      </w:pPr>
      <w:r>
        <w:rPr>
          <w:rFonts w:ascii="メイリオ" w:hAnsi="メイリオ" w:eastAsia="メイリオ"/>
          <w:b/>
          <w:color w:val="2683C6"/>
          <w:sz w:val="24"/>
        </w:rPr>
        <w:t>令和8年6月3日(水)  石神井南中学校 校内研究</w:t>
      </w:r>
    </w:p>
    <w:p>
      <w:pPr>
        <w:spacing w:after="80" w:before="0" w:line="312" w:lineRule="auto"/>
        <w:jc w:val="center"/>
      </w:pPr>
      <w:r>
        <w:rPr>
          <w:rFonts w:ascii="メイリオ" w:hAnsi="メイリオ" w:eastAsia="メイリオ"/>
          <w:b w:val="0"/>
          <w:color w:val="404040"/>
          <w:sz w:val="22"/>
        </w:rPr>
        <w:t>─ 持ち寄った評価資料を3つの視点で見直す ─</w:t>
      </w:r>
    </w:p>
    <w:p>
      <w:pPr>
        <w:spacing w:after="120" w:before="40"/>
      </w:pPr>
      <w:r>
        <w:rPr>
          <w:rFonts w:ascii="メイリオ" w:hAnsi="メイリオ" w:eastAsia="メイリオ"/>
          <w:b/>
          <w:color w:val="2683C6"/>
          <w:sz w:val="20"/>
        </w:rPr>
        <w:t>══════════════════════════════════════════════════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メイリオ" w:hAnsi="メイリオ" w:eastAsia="メイリオ"/>
                <w:b/>
                <w:color w:val="344068"/>
                <w:sz w:val="21"/>
              </w:rPr>
              <w:t>教科名</w:t>
            </w:r>
          </w:p>
        </w:tc>
        <w:tc>
          <w:tcPr>
            <w:tcW w:type="dxa" w:w="3118"/>
          </w:tcPr>
          <w:p>
            <w:r>
              <w:rPr>
                <w:rFonts w:ascii="メイリオ" w:hAnsi="メイリオ" w:eastAsia="メイリオ"/>
                <w:b w:val="0"/>
                <w:color w:val="344068"/>
                <w:sz w:val="21"/>
              </w:rPr>
            </w:r>
          </w:p>
        </w:tc>
        <w:tc>
          <w:tcPr>
            <w:tcW w:type="dxa" w:w="2493"/>
          </w:tcPr>
          <w:p>
            <w:r>
              <w:rPr>
                <w:rFonts w:ascii="メイリオ" w:hAnsi="メイリオ" w:eastAsia="メイリオ"/>
                <w:b/>
                <w:color w:val="344068"/>
                <w:sz w:val="21"/>
              </w:rPr>
              <w:t>記入者</w:t>
            </w:r>
          </w:p>
        </w:tc>
        <w:tc>
          <w:tcPr>
            <w:tcW w:type="dxa" w:w="3118"/>
          </w:tcPr>
          <w:p>
            <w:r>
              <w:rPr>
                <w:rFonts w:ascii="メイリオ" w:hAnsi="メイリオ" w:eastAsia="メイリオ"/>
                <w:b w:val="0"/>
                <w:color w:val="344068"/>
                <w:sz w:val="21"/>
              </w:rPr>
            </w:r>
          </w:p>
        </w:tc>
      </w:tr>
    </w:tbl>
    <w:p>
      <w:pPr>
        <w:spacing w:after="80" w:before="0" w:line="312" w:lineRule="auto"/>
      </w:pPr>
      <w:r>
        <w:rPr>
          <w:rFonts w:ascii="メイリオ" w:hAnsi="メイリオ" w:eastAsia="メイリオ"/>
          <w:b w:val="0"/>
          <w:color w:val="000000"/>
          <w:sz w:val="4"/>
        </w:rPr>
      </w:r>
    </w:p>
    <w:p>
      <w:pPr>
        <w:spacing w:after="160" w:before="0" w:line="312" w:lineRule="auto"/>
      </w:pPr>
      <w:r>
        <w:rPr>
          <w:rFonts w:ascii="メイリオ" w:hAnsi="メイリオ" w:eastAsia="メイリオ"/>
          <w:b w:val="0"/>
          <w:color w:val="344068"/>
          <w:sz w:val="21"/>
        </w:rPr>
        <w:t>対象単元： （                                                              ）</w:t>
      </w:r>
    </w:p>
    <w:p>
      <w:pPr>
        <w:spacing w:after="120" w:before="40"/>
      </w:pPr>
      <w:r>
        <w:rPr>
          <w:rFonts w:ascii="メイリオ" w:hAnsi="メイリオ" w:eastAsia="メイリオ"/>
          <w:b w:val="0"/>
          <w:color w:val="2683C6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rFonts w:ascii="メイリオ" w:hAnsi="メイリオ" w:eastAsia="メイリオ"/>
          <w:b/>
          <w:color w:val="2683C6"/>
          <w:sz w:val="24"/>
        </w:rPr>
        <w:t>【視点1】単元のどこに「重点」を置き、どこを「記録」するか明示されているか？</w:t>
      </w:r>
    </w:p>
    <w:p>
      <w:pPr>
        <w:spacing w:after="80" w:before="0" w:line="312" w:lineRule="auto"/>
        <w:ind w:left="283"/>
      </w:pPr>
      <w:r>
        <w:rPr>
          <w:rFonts w:ascii="メイリオ" w:hAnsi="メイリオ" w:eastAsia="メイリオ"/>
          <w:b w:val="0"/>
          <w:color w:val="000000"/>
          <w:sz w:val="21"/>
        </w:rPr>
        <w:t>□ 単元の評価計画表がある</w:t>
      </w:r>
    </w:p>
    <w:p>
      <w:pPr>
        <w:spacing w:after="80" w:before="0" w:line="312" w:lineRule="auto"/>
        <w:ind w:left="283"/>
      </w:pPr>
      <w:r>
        <w:rPr>
          <w:rFonts w:ascii="メイリオ" w:hAnsi="メイリオ" w:eastAsia="メイリオ"/>
          <w:b w:val="0"/>
          <w:color w:val="000000"/>
          <w:sz w:val="21"/>
        </w:rPr>
        <w:t>□ 重点的に指導する観点が時間ごとに決まっている</w:t>
      </w:r>
    </w:p>
    <w:p>
      <w:pPr>
        <w:spacing w:after="80" w:before="0" w:line="312" w:lineRule="auto"/>
        <w:ind w:left="283"/>
      </w:pPr>
      <w:r>
        <w:rPr>
          <w:rFonts w:ascii="メイリオ" w:hAnsi="メイリオ" w:eastAsia="メイリオ"/>
          <w:b w:val="0"/>
          <w:color w:val="000000"/>
          <w:sz w:val="21"/>
        </w:rPr>
        <w:t>□ 「記録に残す評価」が単元の節目に位置づけられている</w:t>
      </w:r>
    </w:p>
    <w:p>
      <w:pPr>
        <w:spacing w:after="80" w:before="0" w:line="312" w:lineRule="auto"/>
        <w:ind w:left="283"/>
      </w:pPr>
      <w:r>
        <w:rPr>
          <w:rFonts w:ascii="メイリオ" w:hAnsi="メイリオ" w:eastAsia="メイリオ"/>
          <w:b w:val="0"/>
          <w:color w:val="000000"/>
          <w:sz w:val="21"/>
        </w:rPr>
        <w:t>□ 毎時間×全観点で評価しようとしていない</w:t>
      </w:r>
    </w:p>
    <w:p>
      <w:pPr>
        <w:spacing w:after="80" w:before="0" w:line="312" w:lineRule="auto"/>
        <w:ind w:left="283"/>
      </w:pPr>
      <w:r>
        <w:rPr>
          <w:rFonts w:ascii="メイリオ" w:hAnsi="メイリオ" w:eastAsia="メイリオ"/>
          <w:b w:val="0"/>
          <w:color w:val="000000"/>
          <w:sz w:val="21"/>
        </w:rPr>
        <w:t>□ 「指導に生かす評価」と「記録に残す評価」が区別されている</w:t>
      </w:r>
    </w:p>
    <w:p>
      <w:pPr>
        <w:spacing w:after="40" w:before="0" w:line="312" w:lineRule="auto"/>
      </w:pPr>
      <w:r>
        <w:rPr>
          <w:rFonts w:ascii="メイリオ" w:hAnsi="メイリオ" w:eastAsia="メイリオ"/>
          <w:b/>
          <w:color w:val="42BA97"/>
          <w:sz w:val="20"/>
        </w:rPr>
        <w:t>▼ 改善メモ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510"/>
        </w:trPr>
        <w:tc>
          <w:tcPr>
            <w:tcW w:type="dxa" w:w="9972"/>
          </w:tcPr>
          <w:p/>
        </w:tc>
      </w:tr>
      <w:tr>
        <w:trPr>
          <w:trHeight w:val="510"/>
        </w:trPr>
        <w:tc>
          <w:tcPr>
            <w:tcW w:type="dxa" w:w="9972"/>
          </w:tcPr>
          <w:p/>
        </w:tc>
      </w:tr>
      <w:tr>
        <w:trPr>
          <w:trHeight w:val="510"/>
        </w:trPr>
        <w:tc>
          <w:tcPr>
            <w:tcW w:type="dxa" w:w="9972"/>
          </w:tcPr>
          <w:p/>
        </w:tc>
      </w:tr>
    </w:tbl>
    <w:p>
      <w:pPr>
        <w:spacing w:after="80" w:before="0" w:line="312" w:lineRule="auto"/>
      </w:pPr>
      <w:r>
        <w:rPr>
          <w:rFonts w:ascii="メイリオ" w:hAnsi="メイリオ" w:eastAsia="メイリオ"/>
          <w:b w:val="0"/>
          <w:color w:val="000000"/>
          <w:sz w:val="8"/>
        </w:rPr>
      </w:r>
    </w:p>
    <w:p>
      <w:pPr>
        <w:spacing w:after="120" w:before="40"/>
      </w:pPr>
      <w:r>
        <w:rPr>
          <w:rFonts w:ascii="メイリオ" w:hAnsi="メイリオ" w:eastAsia="メイリオ"/>
          <w:b w:val="0"/>
          <w:color w:val="2683C6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rFonts w:ascii="メイリオ" w:hAnsi="メイリオ" w:eastAsia="メイリオ"/>
          <w:b/>
          <w:color w:val="2683C6"/>
          <w:sz w:val="24"/>
        </w:rPr>
        <w:t>【視点2】3観点それぞれの「Bと判断する生徒の姿」が具体的に書かれているか？</w:t>
      </w:r>
    </w:p>
    <w:p>
      <w:pPr>
        <w:spacing w:after="80" w:before="0" w:line="312" w:lineRule="auto"/>
        <w:ind w:left="283"/>
      </w:pPr>
      <w:r>
        <w:rPr>
          <w:rFonts w:ascii="メイリオ" w:hAnsi="メイリオ" w:eastAsia="メイリオ"/>
          <w:b w:val="0"/>
          <w:color w:val="000000"/>
          <w:sz w:val="21"/>
        </w:rPr>
        <w:t>□ 知識・技能： Bの姿を「動詞」で書けている</w:t>
      </w:r>
    </w:p>
    <w:p>
      <w:pPr>
        <w:spacing w:after="80" w:before="0" w:line="312" w:lineRule="auto"/>
        <w:ind w:left="283"/>
      </w:pPr>
      <w:r>
        <w:rPr>
          <w:rFonts w:ascii="メイリオ" w:hAnsi="メイリオ" w:eastAsia="メイリオ"/>
          <w:b w:val="0"/>
          <w:color w:val="000000"/>
          <w:sz w:val="21"/>
        </w:rPr>
        <w:t>□ 思考・判断・表現： Bの姿を「動詞」で書けている</w:t>
      </w:r>
    </w:p>
    <w:p>
      <w:pPr>
        <w:spacing w:after="80" w:before="0" w:line="312" w:lineRule="auto"/>
        <w:ind w:left="283"/>
      </w:pPr>
      <w:r>
        <w:rPr>
          <w:rFonts w:ascii="メイリオ" w:hAnsi="メイリオ" w:eastAsia="メイリオ"/>
          <w:b w:val="0"/>
          <w:color w:val="000000"/>
          <w:sz w:val="21"/>
        </w:rPr>
        <w:t>□ 主体的に学習に取り組む態度：</w:t>
      </w:r>
    </w:p>
    <w:p>
      <w:pPr>
        <w:spacing w:after="80" w:before="0" w:line="312" w:lineRule="auto"/>
        <w:ind w:left="283"/>
      </w:pPr>
      <w:r>
        <w:rPr>
          <w:rFonts w:ascii="メイリオ" w:hAnsi="メイリオ" w:eastAsia="メイリオ"/>
          <w:b w:val="0"/>
          <w:color w:val="000000"/>
          <w:sz w:val="21"/>
        </w:rPr>
        <w:t xml:space="preserve">　　□ 粘り強さの姿が「動詞＋キーワード」で書かれている</w:t>
      </w:r>
    </w:p>
    <w:p>
      <w:pPr>
        <w:spacing w:after="80" w:before="0" w:line="312" w:lineRule="auto"/>
        <w:ind w:left="283"/>
      </w:pPr>
      <w:r>
        <w:rPr>
          <w:rFonts w:ascii="メイリオ" w:hAnsi="メイリオ" w:eastAsia="メイリオ"/>
          <w:b w:val="0"/>
          <w:color w:val="000000"/>
          <w:sz w:val="21"/>
        </w:rPr>
        <w:t xml:space="preserve">　　　 （例：「あきらめずに」「最後まで」「進んで」）</w:t>
      </w:r>
    </w:p>
    <w:p>
      <w:pPr>
        <w:spacing w:after="80" w:before="0" w:line="312" w:lineRule="auto"/>
        <w:ind w:left="283"/>
      </w:pPr>
      <w:r>
        <w:rPr>
          <w:rFonts w:ascii="メイリオ" w:hAnsi="メイリオ" w:eastAsia="メイリオ"/>
          <w:b w:val="0"/>
          <w:color w:val="000000"/>
          <w:sz w:val="21"/>
        </w:rPr>
        <w:t xml:space="preserve">　　□ 自己調整の姿が「動詞＋キーワード」で書かれている</w:t>
      </w:r>
    </w:p>
    <w:p>
      <w:pPr>
        <w:spacing w:after="80" w:before="0" w:line="312" w:lineRule="auto"/>
        <w:ind w:left="283"/>
      </w:pPr>
      <w:r>
        <w:rPr>
          <w:rFonts w:ascii="メイリオ" w:hAnsi="メイリオ" w:eastAsia="メイリオ"/>
          <w:b w:val="0"/>
          <w:color w:val="000000"/>
          <w:sz w:val="21"/>
        </w:rPr>
        <w:t xml:space="preserve">　　　 （例：「見通しをもって」「振り返って」「見直して」）</w:t>
      </w:r>
    </w:p>
    <w:p>
      <w:pPr>
        <w:spacing w:after="80" w:before="0" w:line="312" w:lineRule="auto"/>
        <w:ind w:left="283"/>
      </w:pPr>
      <w:r>
        <w:rPr>
          <w:rFonts w:ascii="メイリオ" w:hAnsi="メイリオ" w:eastAsia="メイリオ"/>
          <w:b w:val="0"/>
          <w:color w:val="000000"/>
          <w:sz w:val="21"/>
        </w:rPr>
        <w:t xml:space="preserve">　　□ その「学び方」を生徒に指導しているか？</w:t>
      </w:r>
    </w:p>
    <w:p>
      <w:pPr>
        <w:spacing w:after="80" w:before="0" w:line="312" w:lineRule="auto"/>
        <w:ind w:left="283"/>
      </w:pPr>
      <w:r>
        <w:rPr>
          <w:rFonts w:ascii="メイリオ" w:hAnsi="メイリオ" w:eastAsia="メイリオ"/>
          <w:b w:val="0"/>
          <w:color w:val="000000"/>
          <w:sz w:val="21"/>
        </w:rPr>
        <w:t xml:space="preserve">　　　 （自己調整は教えなければ身につかない）</w:t>
      </w:r>
    </w:p>
    <w:p>
      <w:pPr>
        <w:spacing w:after="80" w:before="0" w:line="312" w:lineRule="auto"/>
        <w:ind w:left="283"/>
      </w:pPr>
      <w:r>
        <w:rPr>
          <w:rFonts w:ascii="メイリオ" w:hAnsi="メイリオ" w:eastAsia="メイリオ"/>
          <w:b w:val="0"/>
          <w:color w:val="000000"/>
          <w:sz w:val="21"/>
        </w:rPr>
        <w:t>□ 教科会内で他の先生と「Bの姿」が揃っている</w:t>
      </w:r>
    </w:p>
    <w:p>
      <w:pPr>
        <w:spacing w:after="40" w:before="0" w:line="312" w:lineRule="auto"/>
      </w:pPr>
      <w:r>
        <w:rPr>
          <w:rFonts w:ascii="メイリオ" w:hAnsi="メイリオ" w:eastAsia="メイリオ"/>
          <w:b/>
          <w:color w:val="42BA97"/>
          <w:sz w:val="20"/>
        </w:rPr>
        <w:t>▼ Bの姿を1つ言語化してみる（自分の単元から）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86"/>
            <w:shd w:fill="D9E0E6"/>
          </w:tcPr>
          <w:p>
            <w:r/>
            <w:r>
              <w:rPr>
                <w:rFonts w:ascii="メイリオ" w:hAnsi="メイリオ" w:eastAsia="メイリオ"/>
                <w:b/>
                <w:color w:val="344068"/>
                <w:sz w:val="21"/>
              </w:rPr>
              <w:t>観点</w:t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  <w:shd w:fill="D9E0E6"/>
          </w:tcPr>
          <w:p>
            <w:r/>
            <w:r>
              <w:rPr>
                <w:rFonts w:ascii="メイリオ" w:hAnsi="メイリオ" w:eastAsia="メイリオ"/>
                <w:b/>
                <w:color w:val="344068"/>
                <w:sz w:val="21"/>
              </w:rPr>
              <w:t>Bと判断する姿</w:t>
            </w:r>
          </w:p>
        </w:tc>
        <w:tc>
          <w:tcPr>
            <w:tcW w:type="dxa" w:w="4986"/>
          </w:tcPr>
          <w:p/>
        </w:tc>
      </w:tr>
    </w:tbl>
    <w:p>
      <w:pPr>
        <w:spacing w:after="80" w:before="0" w:line="312" w:lineRule="auto"/>
      </w:pPr>
      <w:r>
        <w:rPr>
          <w:rFonts w:ascii="メイリオ" w:hAnsi="メイリオ" w:eastAsia="メイリオ"/>
          <w:b w:val="0"/>
          <w:color w:val="000000"/>
          <w:sz w:val="8"/>
        </w:rPr>
      </w:r>
    </w:p>
    <w:p>
      <w:pPr>
        <w:spacing w:after="120" w:before="40"/>
      </w:pPr>
      <w:r>
        <w:rPr>
          <w:rFonts w:ascii="メイリオ" w:hAnsi="メイリオ" w:eastAsia="メイリオ"/>
          <w:b w:val="0"/>
          <w:color w:val="2683C6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rFonts w:ascii="メイリオ" w:hAnsi="メイリオ" w:eastAsia="メイリオ"/>
          <w:b/>
          <w:color w:val="2683C6"/>
          <w:sz w:val="24"/>
        </w:rPr>
        <w:t>【視点3】その評価結果は、次時の授業をどう変えるためのものか？</w:t>
      </w:r>
    </w:p>
    <w:p>
      <w:pPr>
        <w:spacing w:after="80" w:before="0" w:line="312" w:lineRule="auto"/>
        <w:ind w:left="283"/>
      </w:pPr>
      <w:r>
        <w:rPr>
          <w:rFonts w:ascii="メイリオ" w:hAnsi="メイリオ" w:eastAsia="メイリオ"/>
          <w:b w:val="0"/>
          <w:color w:val="000000"/>
          <w:sz w:val="21"/>
        </w:rPr>
        <w:t>□ 形成的評価の結果を、次時の指導計画に反映している</w:t>
      </w:r>
    </w:p>
    <w:p>
      <w:pPr>
        <w:spacing w:after="80" w:before="0" w:line="312" w:lineRule="auto"/>
        <w:ind w:left="283"/>
      </w:pPr>
      <w:r>
        <w:rPr>
          <w:rFonts w:ascii="メイリオ" w:hAnsi="メイリオ" w:eastAsia="メイリオ"/>
          <w:b w:val="0"/>
          <w:color w:val="000000"/>
          <w:sz w:val="21"/>
        </w:rPr>
        <w:t>□ つまずきが多かった場合の手立てが用意されている</w:t>
      </w:r>
    </w:p>
    <w:p>
      <w:pPr>
        <w:spacing w:after="80" w:before="0" w:line="312" w:lineRule="auto"/>
        <w:ind w:left="283"/>
      </w:pPr>
      <w:r>
        <w:rPr>
          <w:rFonts w:ascii="メイリオ" w:hAnsi="メイリオ" w:eastAsia="メイリオ"/>
          <w:b w:val="0"/>
          <w:color w:val="000000"/>
          <w:sz w:val="21"/>
        </w:rPr>
        <w:t>□ 評価を「記録のため」ではなく「指導改善のため」に位置づけている</w:t>
      </w:r>
    </w:p>
    <w:p>
      <w:pPr>
        <w:spacing w:after="80" w:before="0" w:line="312" w:lineRule="auto"/>
        <w:ind w:left="283"/>
      </w:pPr>
      <w:r>
        <w:rPr>
          <w:rFonts w:ascii="メイリオ" w:hAnsi="メイリオ" w:eastAsia="メイリオ"/>
          <w:b w:val="0"/>
          <w:color w:val="000000"/>
          <w:sz w:val="21"/>
        </w:rPr>
        <w:t>□ 単元末の総括の方法（多数決法／後半重視法 など）が決まっている</w:t>
      </w:r>
    </w:p>
    <w:p>
      <w:pPr>
        <w:spacing w:after="80" w:before="0" w:line="312" w:lineRule="auto"/>
        <w:ind w:left="283"/>
      </w:pPr>
      <w:r>
        <w:rPr>
          <w:rFonts w:ascii="メイリオ" w:hAnsi="メイリオ" w:eastAsia="メイリオ"/>
          <w:b w:val="0"/>
          <w:color w:val="000000"/>
          <w:sz w:val="21"/>
        </w:rPr>
        <w:t>□ 教科会で評価結果について意見交換する機会がある</w:t>
      </w:r>
    </w:p>
    <w:p>
      <w:pPr>
        <w:spacing w:after="40" w:before="0" w:line="312" w:lineRule="auto"/>
      </w:pPr>
      <w:r>
        <w:rPr>
          <w:rFonts w:ascii="メイリオ" w:hAnsi="メイリオ" w:eastAsia="メイリオ"/>
          <w:b/>
          <w:color w:val="42BA97"/>
          <w:sz w:val="20"/>
        </w:rPr>
        <w:t>▼ 改善メモ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510"/>
        </w:trPr>
        <w:tc>
          <w:tcPr>
            <w:tcW w:type="dxa" w:w="9972"/>
          </w:tcPr>
          <w:p/>
        </w:tc>
      </w:tr>
      <w:tr>
        <w:trPr>
          <w:trHeight w:val="510"/>
        </w:trPr>
        <w:tc>
          <w:tcPr>
            <w:tcW w:type="dxa" w:w="9972"/>
          </w:tcPr>
          <w:p/>
        </w:tc>
      </w:tr>
      <w:tr>
        <w:trPr>
          <w:trHeight w:val="510"/>
        </w:trPr>
        <w:tc>
          <w:tcPr>
            <w:tcW w:type="dxa" w:w="9972"/>
          </w:tcPr>
          <w:p/>
        </w:tc>
      </w:tr>
    </w:tbl>
    <w:p>
      <w:pPr>
        <w:spacing w:after="80" w:before="0" w:line="312" w:lineRule="auto"/>
      </w:pPr>
      <w:r>
        <w:rPr>
          <w:rFonts w:ascii="メイリオ" w:hAnsi="メイリオ" w:eastAsia="メイリオ"/>
          <w:b w:val="0"/>
          <w:color w:val="000000"/>
          <w:sz w:val="8"/>
        </w:rPr>
      </w:r>
    </w:p>
    <w:p>
      <w:pPr>
        <w:spacing w:after="120" w:before="40"/>
      </w:pPr>
      <w:r>
        <w:rPr>
          <w:rFonts w:ascii="メイリオ" w:hAnsi="メイリオ" w:eastAsia="メイリオ"/>
          <w:b w:val="0"/>
          <w:color w:val="2683C6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rFonts w:ascii="メイリオ" w:hAnsi="メイリオ" w:eastAsia="メイリオ"/>
          <w:b/>
          <w:color w:val="42BA97"/>
          <w:sz w:val="24"/>
        </w:rPr>
        <w:t>【最後に】明日から、自分の授業で変える1つのこと</w:t>
      </w:r>
    </w:p>
    <w:p>
      <w:pPr>
        <w:spacing w:after="80" w:before="0" w:line="312" w:lineRule="auto"/>
      </w:pPr>
      <w:r>
        <w:rPr>
          <w:rFonts w:ascii="メイリオ" w:hAnsi="メイリオ" w:eastAsia="メイリオ"/>
          <w:b w:val="0"/>
          <w:color w:val="404040"/>
          <w:sz w:val="20"/>
        </w:rPr>
        <w:t>選択肢（複数の中から1つに○）：</w:t>
      </w:r>
    </w:p>
    <w:p>
      <w:pPr>
        <w:spacing w:after="80" w:before="0" w:line="312" w:lineRule="auto"/>
        <w:ind w:left="283"/>
      </w:pPr>
      <w:r>
        <w:rPr>
          <w:rFonts w:ascii="メイリオ" w:hAnsi="メイリオ" w:eastAsia="メイリオ"/>
          <w:b w:val="0"/>
          <w:color w:val="000000"/>
          <w:sz w:val="21"/>
        </w:rPr>
        <w:t>○ 次の単元の指導計画に「記録」欄を1列足す</w:t>
      </w:r>
    </w:p>
    <w:p>
      <w:pPr>
        <w:spacing w:after="80" w:before="0" w:line="312" w:lineRule="auto"/>
        <w:ind w:left="283"/>
      </w:pPr>
      <w:r>
        <w:rPr>
          <w:rFonts w:ascii="メイリオ" w:hAnsi="メイリオ" w:eastAsia="メイリオ"/>
          <w:b w:val="0"/>
          <w:color w:val="000000"/>
          <w:sz w:val="21"/>
        </w:rPr>
        <w:t>○ 教科会で「Bの姿」を1つ言語化して揃える</w:t>
      </w:r>
    </w:p>
    <w:p>
      <w:pPr>
        <w:spacing w:after="80" w:before="0" w:line="312" w:lineRule="auto"/>
        <w:ind w:left="283"/>
      </w:pPr>
      <w:r>
        <w:rPr>
          <w:rFonts w:ascii="メイリオ" w:hAnsi="メイリオ" w:eastAsia="メイリオ"/>
          <w:b w:val="0"/>
          <w:color w:val="000000"/>
          <w:sz w:val="21"/>
        </w:rPr>
        <w:t>○ 国立教育政策研究所「9つの教師の働きかけ」から1つ選んで使う</w:t>
      </w:r>
    </w:p>
    <w:p>
      <w:pPr>
        <w:spacing w:after="80" w:before="0" w:line="312" w:lineRule="auto"/>
        <w:ind w:left="283"/>
      </w:pPr>
      <w:r>
        <w:rPr>
          <w:rFonts w:ascii="メイリオ" w:hAnsi="メイリオ" w:eastAsia="メイリオ"/>
          <w:b w:val="0"/>
          <w:color w:val="000000"/>
          <w:sz w:val="21"/>
        </w:rPr>
        <w:t>○ 振り返りシートを1回入れてみる</w:t>
      </w:r>
    </w:p>
    <w:p>
      <w:pPr>
        <w:spacing w:after="80" w:before="0" w:line="312" w:lineRule="auto"/>
        <w:ind w:left="283"/>
      </w:pPr>
      <w:r>
        <w:rPr>
          <w:rFonts w:ascii="メイリオ" w:hAnsi="メイリオ" w:eastAsia="メイリオ"/>
          <w:b w:val="0"/>
          <w:color w:val="000000"/>
          <w:sz w:val="21"/>
        </w:rPr>
        <w:t>○ その他（具体的に：　　　　　　　　　　　　　　　　）</w:t>
      </w:r>
    </w:p>
    <w:p>
      <w:pPr>
        <w:spacing w:after="40" w:before="0" w:line="312" w:lineRule="auto"/>
      </w:pPr>
      <w:r>
        <w:rPr>
          <w:rFonts w:ascii="メイリオ" w:hAnsi="メイリオ" w:eastAsia="メイリオ"/>
          <w:b/>
          <w:color w:val="42BA97"/>
          <w:sz w:val="20"/>
        </w:rPr>
        <w:t>▼ 私の宣言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510"/>
        </w:trPr>
        <w:tc>
          <w:tcPr>
            <w:tcW w:type="dxa" w:w="9972"/>
          </w:tcPr>
          <w:p/>
        </w:tc>
      </w:tr>
      <w:tr>
        <w:trPr>
          <w:trHeight w:val="510"/>
        </w:trPr>
        <w:tc>
          <w:tcPr>
            <w:tcW w:type="dxa" w:w="9972"/>
          </w:tcPr>
          <w:p/>
        </w:tc>
      </w:tr>
      <w:tr>
        <w:trPr>
          <w:trHeight w:val="510"/>
        </w:trPr>
        <w:tc>
          <w:tcPr>
            <w:tcW w:type="dxa" w:w="9972"/>
          </w:tcPr>
          <w:p/>
        </w:tc>
      </w:tr>
      <w:tr>
        <w:trPr>
          <w:trHeight w:val="510"/>
        </w:trPr>
        <w:tc>
          <w:tcPr>
            <w:tcW w:type="dxa" w:w="9972"/>
          </w:tcPr>
          <w:p/>
        </w:tc>
      </w:tr>
    </w:tbl>
    <w:p>
      <w:pPr>
        <w:spacing w:after="80" w:before="0" w:line="312" w:lineRule="auto"/>
      </w:pPr>
      <w:r>
        <w:rPr>
          <w:rFonts w:ascii="メイリオ" w:hAnsi="メイリオ" w:eastAsia="メイリオ"/>
          <w:b w:val="0"/>
          <w:color w:val="000000"/>
          <w:sz w:val="8"/>
        </w:rPr>
      </w:r>
    </w:p>
    <w:p>
      <w:pPr>
        <w:spacing w:after="80" w:before="0" w:line="312" w:lineRule="auto"/>
        <w:jc w:val="center"/>
      </w:pPr>
      <w:r>
        <w:rPr>
          <w:rFonts w:ascii="メイリオ" w:hAnsi="メイリオ" w:eastAsia="メイリオ"/>
          <w:b w:val="0"/>
          <w:color w:val="404040"/>
          <w:sz w:val="20"/>
        </w:rPr>
        <w:t>→ このあと、隣の先生と共有してみましょう</w:t>
      </w:r>
    </w:p>
    <w:p>
      <w:pPr>
        <w:spacing w:after="120" w:before="40"/>
      </w:pPr>
      <w:r>
        <w:rPr>
          <w:rFonts w:ascii="メイリオ" w:hAnsi="メイリオ" w:eastAsia="メイリオ"/>
          <w:b/>
          <w:color w:val="2683C6"/>
          <w:sz w:val="20"/>
        </w:rPr>
        <w:t>══════════════════════════════════════════════════</w:t>
      </w:r>
    </w:p>
    <w:p>
      <w:pPr>
        <w:spacing w:after="80" w:before="0" w:line="312" w:lineRule="auto"/>
        <w:jc w:val="center"/>
      </w:pPr>
      <w:r>
        <w:rPr>
          <w:rFonts w:ascii="メイリオ" w:hAnsi="メイリオ" w:eastAsia="メイリオ"/>
          <w:b w:val="0"/>
          <w:color w:val="404040"/>
          <w:sz w:val="20"/>
        </w:rPr>
        <w:t>練馬区教育委員会</w:t>
      </w:r>
    </w:p>
    <w:p>
      <w:pPr>
        <w:spacing w:after="120" w:before="40"/>
      </w:pPr>
      <w:r>
        <w:rPr>
          <w:rFonts w:ascii="メイリオ" w:hAnsi="メイリオ" w:eastAsia="メイリオ"/>
          <w:b/>
          <w:color w:val="2683C6"/>
          <w:sz w:val="20"/>
        </w:rPr>
        <w:t>══════════════════════════════════════════════════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