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40"/>
      </w:pPr>
      <w:r>
        <w:rPr>
          <w:rFonts w:ascii="メイリオ" w:hAnsi="メイリオ" w:eastAsia="メイリオ"/>
          <w:b/>
          <w:color w:val="2683C6"/>
          <w:sz w:val="20"/>
        </w:rPr>
        <w:t>══════════════════════════════════════════════════</w:t>
      </w:r>
    </w:p>
    <w:p>
      <w:pPr>
        <w:spacing w:after="120" w:before="0"/>
        <w:jc w:val="center"/>
      </w:pPr>
      <w:r>
        <w:rPr>
          <w:rFonts w:ascii="メイリオ" w:hAnsi="メイリオ" w:eastAsia="メイリオ"/>
          <w:b/>
          <w:color w:val="344068"/>
          <w:sz w:val="36"/>
        </w:rPr>
        <w:t>想定Q&amp;A集（講師手元資料）</w:t>
      </w:r>
    </w:p>
    <w:p>
      <w:pPr>
        <w:spacing w:after="120" w:before="0"/>
        <w:jc w:val="center"/>
      </w:pPr>
      <w:r>
        <w:rPr>
          <w:rFonts w:ascii="メイリオ" w:hAnsi="メイリオ" w:eastAsia="メイリオ"/>
          <w:b/>
          <w:color w:val="2683C6"/>
          <w:sz w:val="24"/>
        </w:rPr>
        <w:t>令和8年6月3日(水)  石神井南中学校 校内研究</w:t>
      </w:r>
    </w:p>
    <w:p>
      <w:pPr>
        <w:spacing w:after="80" w:before="0" w:line="312" w:lineRule="auto"/>
        <w:jc w:val="center"/>
      </w:pPr>
      <w:r>
        <w:rPr>
          <w:rFonts w:ascii="メイリオ" w:hAnsi="メイリオ" w:eastAsia="メイリオ"/>
          <w:b w:val="0"/>
          <w:color w:val="404040"/>
          <w:sz w:val="22"/>
        </w:rPr>
        <w:t>─ 経験年数別・全14問 ─</w:t>
      </w:r>
    </w:p>
    <w:p>
      <w:pPr>
        <w:spacing w:after="120" w:before="40"/>
      </w:pPr>
      <w:r>
        <w:rPr>
          <w:rFonts w:ascii="メイリオ" w:hAnsi="メイリオ" w:eastAsia="メイリオ"/>
          <w:b/>
          <w:color w:val="2683C6"/>
          <w:sz w:val="20"/>
        </w:rPr>
        <w:t>══════════════════════════════════════════════════</w:t>
      </w:r>
    </w:p>
    <w:p>
      <w:pPr>
        <w:spacing w:after="120" w:before="40"/>
      </w:pPr>
      <w:r>
        <w:rPr>
          <w:rFonts w:ascii="メイリオ" w:hAnsi="メイリオ" w:eastAsia="メイリオ"/>
          <w:b w:val="0"/>
          <w:color w:val="2683C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メイリオ" w:hAnsi="メイリオ" w:eastAsia="メイリオ"/>
          <w:b/>
          <w:color w:val="1CADE4"/>
          <w:sz w:val="26"/>
        </w:rPr>
        <w:t>【1年目の先生から想定される質問】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Q1. 評価規準とBの姿は、自分で考えてよいのですか？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まず教科書会社の指導書、国立教育政策研究所の「指導と評価の一体化のための参考資料（教科別）」に標準的な評価規準が示されています。これをベースに、自分の単元の実態に合わせて言葉を調整するのが基本です。教科会で先輩と一緒に確認するのが安心です。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Q2. 毎時間記録しなくていいというのは、本当に大丈夫ですか？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大丈夫です。むしろ、毎時間×全観点の記録は文科省も「形式的・過度な評価材料集め」として見直しを求めています（R8.3論点整理）。単元の「節目」で計画的に記録すれば、評定の根拠としては十分です。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Q3. 行動観察って、どうメモすればよいですか？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座席表に簡単な記号（◎○△）を付ける程度で構いません。詳細な記述は単元末のまとめのときだけで十分です。「気になる生徒」を3〜5人ピックアップして見る、というやり方でもOKです。</w:t>
      </w:r>
    </w:p>
    <w:p>
      <w:pPr>
        <w:spacing w:after="120" w:before="40"/>
      </w:pPr>
      <w:r>
        <w:rPr>
          <w:rFonts w:ascii="メイリオ" w:hAnsi="メイリオ" w:eastAsia="メイリオ"/>
          <w:b w:val="0"/>
          <w:color w:val="2683C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メイリオ" w:hAnsi="メイリオ" w:eastAsia="メイリオ"/>
          <w:b/>
          <w:color w:val="2683C6"/>
          <w:sz w:val="26"/>
        </w:rPr>
        <w:t>【6年目の先生から想定される質問】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Q4. 「主体的に学習に取り組む態度」が、他の2観点と乖離する生徒（知CC・思CC・態度A）がいます。どう判断すべきですか？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これは中教審報告でも「考えにくい評価」とされている事例です。①と②（粘り強さ・自己調整）の側面は、知識・技能や思考力の習得・育成の文脈の中で発揮されるものです。乖離が大きい場合は、評価規準（Bの姿）が「学習目標に向かう姿」ではなく「真面目さ・提出物の有無」になっていないかを見直す必要があります。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Q5. 単元テストの点数と、観点別評価の整合性をどうとっていますか？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単元テストの設問1問1問が、どの観点に対応するかを設計段階で決めます。「知識・技能の問題」「思考・判断・表現の問題」を分け、観点別に得点率を出すと整合性が取れます。テスト用紙に小さく〔知〕〔思〕と表示する学校もあります。</w:t>
      </w:r>
    </w:p>
    <w:p>
      <w:pPr>
        <w:spacing w:after="120" w:before="40"/>
      </w:pPr>
      <w:r>
        <w:rPr>
          <w:rFonts w:ascii="メイリオ" w:hAnsi="メイリオ" w:eastAsia="メイリオ"/>
          <w:b w:val="0"/>
          <w:color w:val="2683C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メイリオ" w:hAnsi="メイリオ" w:eastAsia="メイリオ"/>
          <w:b/>
          <w:color w:val="2683C6"/>
          <w:sz w:val="26"/>
        </w:rPr>
        <w:t>【11年目の先生から想定される質問】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Q6. 教科会で評価規準を揃えようとしても、ベテランの先生と意見が合わないことがあります。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これは多くの学校で起きる課題です。鍵は「規準そのものの議論」ではなく「具体的な生徒の姿（事例）の議論」から始めることです。「この子のノートはBかAか」と具体例で揃えていくと、規準が結果的に揃います。管理職にお願いして、教科会に30分時間を確保してもらうのも有効です。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Q7. ICT端末で学習履歴が大量に集まりますが、評価にどう使えばよいですか？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すべて記録に使う必要はありません。形成的評価（指導改善）の材料として使うのが基本です。学習履歴で「つまずいているところ」を可視化し、次時の指導を修正する、というサイクルが効果的です。記録に残すのは、最終成果物やパフォーマンス課題に絞ります。</w:t>
      </w:r>
    </w:p>
    <w:p>
      <w:pPr>
        <w:spacing w:after="120" w:before="40"/>
      </w:pPr>
      <w:r>
        <w:rPr>
          <w:rFonts w:ascii="メイリオ" w:hAnsi="メイリオ" w:eastAsia="メイリオ"/>
          <w:b w:val="0"/>
          <w:color w:val="2683C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メイリオ" w:hAnsi="メイリオ" w:eastAsia="メイリオ"/>
          <w:b/>
          <w:color w:val="42BA97"/>
          <w:sz w:val="26"/>
        </w:rPr>
        <w:t>【20年目の先生から想定される質問】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Q8. 昔の「関心・意欲・態度」と、今の「主体的に学習に取り組む態度」は、何が違うのですか？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一番の違いは、「挙手の回数・提出回数・性格的真面目さ」など、学習の中身と離れた要素では評価しなくなった点です。今は「学習目標に向かう姿」「粘り強さ」「自己調整」という、認知的な側面に絞られています。これは20年目の先生方が培ってこられた「子どもの学びを見る目」を、より言語化したものとも言えます。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Q9. ベテランとして若手にどう伝えればよいでしょうか？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ぜひ「Bの姿」のイメージを言葉にして共有してください。20年目の先生方が暗黙知で持っている「こういう子の姿はB」を言語化することが、若手にとって最大の財産になります。教科会で「私はこういう姿で判断している」と語ること自体が、評価の信頼性を組織で担保することにつながります。</w:t>
      </w:r>
    </w:p>
    <w:p>
      <w:pPr>
        <w:spacing w:after="120" w:before="40"/>
      </w:pPr>
      <w:r>
        <w:rPr>
          <w:rFonts w:ascii="メイリオ" w:hAnsi="メイリオ" w:eastAsia="メイリオ"/>
          <w:b w:val="0"/>
          <w:color w:val="2683C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メイリオ" w:hAnsi="メイリオ" w:eastAsia="メイリオ"/>
          <w:b/>
          <w:color w:val="344068"/>
          <w:sz w:val="26"/>
        </w:rPr>
        <w:t>【管理職の先生から想定される質問】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Q10. 学校全体で評価の信頼性を担保するために、管理職として何ができますか？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3点お勧めします。①教科会の時間確保：年度初めに「評価規準の確認」を必ず議題に。②評定の組織的チェック：成績一覧で、東京都が示す「特異な評定パターン」（AAA→5/4でない、ABC全観点に1や5が偏る等）を確認する仕組みを作る。③保護者対応の標準化：保護者会の冒頭で「本校の評価方針」を必ず説明する。トラブルの大半は「説明不足」から発生します。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Q11. 「学びに向かう力・人間性等」の評価が今後変わる可能性があると聞きました。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はい、令和8年3月の文科省 教育課程部会 総則・評価特別部会の論点整理で、新たな観点別評価の方向性が議論されています。「思考・判断・表現」と一体的に見取る、「○」を付記する運用などが検討されています。ただし現行制度は当面続きます。動向は注視しつつ、目の前の評価を着実に行うことが重要です。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Q12. 保護者から「うちの子の評定は低すぎる」と言われたら、どう対応すべきですか？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大切なのは、根拠資料を即座に出せる体制です。①評価規準（Bの姿の言葉）、②評価場面と評価方法、③本人の評価結果の3点をセットで説明できれば、ほとんどの保護者は納得します。逆に、これらが揃っていないと「主観で評価された」と思われます。個人の問題ではなく、学校全体の説明責任として体制整備をお勧めします。</w:t>
      </w:r>
    </w:p>
    <w:p>
      <w:pPr>
        <w:spacing w:after="120" w:before="40"/>
      </w:pPr>
      <w:r>
        <w:rPr>
          <w:rFonts w:ascii="メイリオ" w:hAnsi="メイリオ" w:eastAsia="メイリオ"/>
          <w:b w:val="0"/>
          <w:color w:val="2683C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メイリオ" w:hAnsi="メイリオ" w:eastAsia="メイリオ"/>
          <w:b/>
          <w:color w:val="2683C6"/>
          <w:sz w:val="26"/>
        </w:rPr>
        <w:t>【全員向けの想定質問】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Q13. 「主体的に学習に取り組む態度」を見取るのが一番むずかしいです。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多くの先生がそうおっしゃいます。鍵は「指導してから評価する」という発想転換です。自己調整の力は、自然には身につきません。「振り返りシートの書き方」「学習計画の立て方」を授業中に教えてから、その学び方で取り組む姿を見ます。国立教育政策研究所（2020）が示す「9つの教師の働きかけ」を意識して授業を組み立てると、見取る場面が自然に生まれます。</w:t>
      </w:r>
    </w:p>
    <w:p>
      <w:pPr>
        <w:spacing w:after="60" w:line="312" w:lineRule="auto"/>
      </w:pPr>
      <w:r>
        <w:rPr>
          <w:rFonts w:ascii="メイリオ" w:hAnsi="メイリオ" w:eastAsia="メイリオ"/>
          <w:b/>
          <w:color w:val="344068"/>
          <w:sz w:val="22"/>
        </w:rPr>
        <w:t>Q14. 数学の例だと「B」と「A」の差がよくわかります。他教科でも同じように考えればよいですか？</w:t>
      </w:r>
    </w:p>
    <w:p>
      <w:pPr>
        <w:spacing w:after="160" w:line="336" w:lineRule="auto"/>
        <w:ind w:left="454"/>
      </w:pPr>
      <w:r>
        <w:rPr>
          <w:rFonts w:ascii="メイリオ" w:hAnsi="メイリオ" w:eastAsia="メイリオ"/>
          <w:b/>
          <w:color w:val="42BA97"/>
          <w:sz w:val="21"/>
        </w:rPr>
        <w:t xml:space="preserve">A. </w:t>
      </w:r>
      <w:r>
        <w:rPr>
          <w:rFonts w:ascii="メイリオ" w:hAnsi="メイリオ" w:eastAsia="メイリオ"/>
          <w:b w:val="0"/>
          <w:color w:val="000000"/>
          <w:sz w:val="21"/>
        </w:rPr>
        <w:t>はい、考え方は同じです。「事実だけが書けているのがB、理由・根拠まで書けているのがA」「単一の方法で解けるのがB、複数の方法を比較できるのがA」といった具合に、観点を「深さ」で分けるのが汎用的です。教科会で「自教科のB/A判別基準」を1つの単元から言語化してみてください。</w:t>
      </w:r>
    </w:p>
    <w:p>
      <w:pPr>
        <w:spacing w:after="120" w:before="40"/>
      </w:pPr>
      <w:r>
        <w:rPr>
          <w:rFonts w:ascii="メイリオ" w:hAnsi="メイリオ" w:eastAsia="メイリオ"/>
          <w:b/>
          <w:color w:val="2683C6"/>
          <w:sz w:val="20"/>
        </w:rPr>
        <w:t>══════════════════════════════════════════════════</w:t>
      </w:r>
    </w:p>
    <w:p>
      <w:pPr>
        <w:spacing w:after="80" w:before="0" w:line="312" w:lineRule="auto"/>
      </w:pPr>
      <w:r>
        <w:rPr>
          <w:rFonts w:ascii="メイリオ" w:hAnsi="メイリオ" w:eastAsia="メイリオ"/>
          <w:b/>
          <w:color w:val="2683C6"/>
          <w:sz w:val="22"/>
        </w:rPr>
        <w:t>▼ 講師メモ</w:t>
      </w:r>
    </w:p>
    <w:p>
      <w:pPr>
        <w:spacing w:after="80" w:before="0" w:line="312" w:lineRule="auto"/>
      </w:pPr>
      <w:r>
        <w:rPr>
          <w:rFonts w:ascii="メイリオ" w:hAnsi="メイリオ" w:eastAsia="メイリオ"/>
          <w:b w:val="0"/>
          <w:color w:val="404040"/>
          <w:sz w:val="20"/>
        </w:rPr>
        <w:t>・質疑応答は15分間（15:15〜15:30）。1問あたり2〜3分が目安。</w:t>
      </w:r>
    </w:p>
    <w:p>
      <w:pPr>
        <w:spacing w:after="80" w:before="0" w:line="312" w:lineRule="auto"/>
      </w:pPr>
      <w:r>
        <w:rPr>
          <w:rFonts w:ascii="メイリオ" w:hAnsi="メイリオ" w:eastAsia="メイリオ"/>
          <w:b w:val="0"/>
          <w:color w:val="404040"/>
          <w:sz w:val="20"/>
        </w:rPr>
        <w:t>・上記Q&amp;Aは事前準備用。当日は経験年数バランスを見ながら順序を調整。</w:t>
      </w:r>
    </w:p>
    <w:p>
      <w:pPr>
        <w:spacing w:after="80" w:before="0" w:line="312" w:lineRule="auto"/>
      </w:pPr>
      <w:r>
        <w:rPr>
          <w:rFonts w:ascii="メイリオ" w:hAnsi="メイリオ" w:eastAsia="メイリオ"/>
          <w:b w:val="0"/>
          <w:color w:val="404040"/>
          <w:sz w:val="20"/>
        </w:rPr>
        <w:t>・想定外の質問は、3つのキーメッセージ（①使うもの／②単元で見取る／③組織で担保）に立ち戻って答える。</w:t>
      </w:r>
    </w:p>
    <w:p>
      <w:pPr>
        <w:spacing w:after="120" w:before="40"/>
      </w:pPr>
      <w:r>
        <w:rPr>
          <w:rFonts w:ascii="メイリオ" w:hAnsi="メイリオ" w:eastAsia="メイリオ"/>
          <w:b/>
          <w:color w:val="2683C6"/>
          <w:sz w:val="20"/>
        </w:rPr>
        <w:t>══════════════════════════════════════════════════</w:t>
      </w:r>
    </w:p>
    <w:p>
      <w:pPr>
        <w:spacing w:after="80" w:before="0" w:line="312" w:lineRule="auto"/>
        <w:jc w:val="center"/>
      </w:pPr>
      <w:r>
        <w:rPr>
          <w:rFonts w:ascii="メイリオ" w:hAnsi="メイリオ" w:eastAsia="メイリオ"/>
          <w:b w:val="0"/>
          <w:color w:val="404040"/>
          <w:sz w:val="20"/>
        </w:rPr>
        <w:t>練馬区教育委員会</w:t>
      </w:r>
    </w:p>
    <w:p>
      <w:pPr>
        <w:spacing w:after="120" w:before="40"/>
      </w:pPr>
      <w:r>
        <w:rPr>
          <w:rFonts w:ascii="メイリオ" w:hAnsi="メイリオ" w:eastAsia="メイリオ"/>
          <w:b/>
          <w:color w:val="2683C6"/>
          <w:sz w:val="20"/>
        </w:rPr>
        <w:t>══════════════════════════════════════════════════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