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游ゴシック" w:hAnsi="游ゴシック" w:eastAsia="游ゴシック"/>
          <w:b/>
          <w:sz w:val="30"/>
        </w:rPr>
        <w:t>人権を基盤とした研修プログラム　～教務園務担当者編～</w:t>
      </w:r>
    </w:p>
    <w:p>
      <w:pPr>
        <w:spacing w:before="0" w:after="160" w:line="288" w:lineRule="auto"/>
        <w:jc w:val="center"/>
      </w:pPr>
      <w:r>
        <w:rPr>
          <w:rFonts w:ascii="游ゴシック" w:hAnsi="游ゴシック" w:eastAsia="游ゴシック"/>
          <w:b/>
          <w:sz w:val="26"/>
        </w:rPr>
        <w:t>「教職員による性暴力等の防止」　発表原稿〔改訂版・演出強化〕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対　象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各校・園　教務園務担当者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発表者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練馬区教育委員会　指導主事（教育課程担当）　紺多 章一郎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持ち時間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15分以内（想定：話す約13分＋“間”で約14分。1分の余裕を確保）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資　料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PowerPoint 全18スライド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改訂方針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構成は維持。冒頭フック／戦略的な“間”／抽象語の具体化／18枚目のリスト整理／冒頭への伏線回収を追加</w:t>
            </w:r>
          </w:p>
        </w:tc>
      </w:tr>
    </w:tbl>
    <w:p>
      <w:pPr>
        <w:spacing w:before="0" w:after="40" w:line="360" w:lineRule="auto"/>
      </w:pPr>
    </w:p>
    <w:p>
      <w:pPr>
        <w:spacing w:before="120" w:after="40" w:line="360" w:lineRule="auto"/>
      </w:pPr>
      <w:r>
        <w:rPr>
          <w:rFonts w:ascii="游ゴシック" w:hAnsi="游ゴシック" w:eastAsia="游ゴシック"/>
          <w:b/>
          <w:color w:val="1F3864"/>
          <w:sz w:val="21"/>
        </w:rPr>
        <w:t>【“寝かせない”ための演出ポイント】</w:t>
      </w:r>
    </w:p>
    <w:p>
      <w:pPr>
        <w:spacing w:after="40" w:line="336" w:lineRule="auto"/>
        <w:ind w:left="170"/>
      </w:pPr>
      <w:r>
        <w:rPr>
          <w:rFonts w:ascii="游ゴシック" w:hAnsi="游ゴシック" w:eastAsia="游ゴシック"/>
          <w:b w:val="0"/>
          <w:sz w:val="19"/>
        </w:rPr>
        <w:t>・〔演出〕は声・間・動きの指示（読み上げません）。</w:t>
      </w:r>
      <w:r>
        <w:rPr>
          <w:rFonts w:ascii="游ゴシック" w:hAnsi="游ゴシック" w:eastAsia="游ゴシック"/>
          <w:b/>
          <w:color w:val="B03010"/>
          <w:sz w:val="19"/>
        </w:rPr>
        <w:t>太字＝強めに置く言葉</w:t>
      </w:r>
      <w:r>
        <w:rPr>
          <w:rFonts w:ascii="游ゴシック" w:hAnsi="游ゴシック" w:eastAsia="游ゴシック"/>
          <w:b w:val="0"/>
          <w:sz w:val="19"/>
        </w:rPr>
        <w:t>です。</w:t>
      </w:r>
    </w:p>
    <w:p>
      <w:pPr>
        <w:spacing w:after="40" w:line="336" w:lineRule="auto"/>
        <w:ind w:left="170"/>
      </w:pPr>
      <w:r>
        <w:rPr>
          <w:rFonts w:ascii="游ゴシック" w:hAnsi="游ゴシック" w:eastAsia="游ゴシック"/>
          <w:b w:val="0"/>
          <w:sz w:val="19"/>
        </w:rPr>
        <w:t>・最大の武器は“沈黙”。スライド1とスライド4の数秒の沈黙を、怖がらず取ってください。会場が一気に集中します。</w:t>
      </w:r>
    </w:p>
    <w:p>
      <w:pPr>
        <w:spacing w:after="40" w:line="336" w:lineRule="auto"/>
        <w:ind w:left="170"/>
      </w:pPr>
      <w:r>
        <w:rPr>
          <w:rFonts w:ascii="游ゴシック" w:hAnsi="游ゴシック" w:eastAsia="游ゴシック"/>
          <w:b w:val="0"/>
          <w:sz w:val="19"/>
        </w:rPr>
        <w:t>・スライド18は五つを読み上げず、一点に絞る設計です。五つは資料・配布で確認してもらいます。</w:t>
      </w:r>
    </w:p>
    <w:p>
      <w:pPr>
        <w:spacing w:after="40" w:line="336" w:lineRule="auto"/>
        <w:ind w:left="170"/>
      </w:pPr>
      <w:r>
        <w:rPr>
          <w:rFonts w:ascii="游ゴシック" w:hAnsi="游ゴシック" w:eastAsia="游ゴシック"/>
          <w:b w:val="0"/>
          <w:sz w:val="19"/>
        </w:rPr>
        <w:t>・時間が押したら、スライド13・14を各2割削ると吸収できます。</w:t>
      </w:r>
    </w:p>
    <w:p>
      <w:pPr>
        <w:spacing w:after="40" w:before="40"/>
        <w:pBdr>
          <w:bottom w:val="single" w:sz="6" w:space="1" w:color="999999"/>
        </w:pBdr>
      </w:pP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【スライド1】タイトル（コールド・オープン）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〔0:00–1:10〕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〔演出〕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登壇後すぐ話さない。会場を一度見渡し、一拍おいてから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もし、皆さんが一番信頼している同僚が――子供に、性的な加害をしていたとしたら。皆さんは、気づけるでしょうか。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〔演出〕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ここで3秒、本当に黙る。会場を見る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…重い問いから始めて、すみません。正直、「また性暴力の研修か」と思った方も、いるかもしれません。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でも今日お渡ししたいのは、知識ではありません。</w:t>
      </w:r>
      <w:r>
        <w:rPr>
          <w:rFonts w:ascii="游ゴシック" w:hAnsi="游ゴシック" w:eastAsia="游ゴシック"/>
          <w:b/>
          <w:color w:val="B03010"/>
          <w:sz w:val="21"/>
        </w:rPr>
        <w:t>この問いに「はい、気づける」と言える学校を、どうつくるか。</w:t>
      </w:r>
      <w:r>
        <w:rPr>
          <w:rFonts w:ascii="游ゴシック" w:hAnsi="游ゴシック" w:eastAsia="游ゴシック"/>
          <w:b w:val="0"/>
          <w:sz w:val="21"/>
        </w:rPr>
        <w:t xml:space="preserve"> その15分です。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改めまして、指導主事の紺多章一郎です。教育課程の要である教務園務担当者の皆さんと、「教職員による性暴力等の防止」を、一緒に考えます。よろしくお願いします。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【スライド2】教務園務担当者の役割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〔1:10–2:25〕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なぜ、校長でも生活指導主任でもなく、“教務”の皆さんにこの話をするのか。理由は、ここにあります。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教務園務担当者には、五つの役割がありますね。教育課程への位置付け、計画に基づく確実な実施、共通理解・共通実践、教職員への指導・助言、そして児童生徒・保護者への働きかけ。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お気づきでしょうか。性暴力の防止は、この五つ</w:t>
      </w:r>
      <w:r>
        <w:rPr>
          <w:rFonts w:ascii="游ゴシック" w:hAnsi="游ゴシック" w:eastAsia="游ゴシック"/>
          <w:b/>
          <w:color w:val="B03010"/>
          <w:sz w:val="21"/>
        </w:rPr>
        <w:t>すべて</w:t>
      </w:r>
      <w:r>
        <w:rPr>
          <w:rFonts w:ascii="游ゴシック" w:hAnsi="游ゴシック" w:eastAsia="游ゴシック"/>
          <w:b w:val="0"/>
          <w:sz w:val="21"/>
        </w:rPr>
        <w:t>に関わります。生活指導“だけ”の問題ではない。</w:t>
      </w:r>
      <w:r>
        <w:rPr>
          <w:rFonts w:ascii="游ゴシック" w:hAnsi="游ゴシック" w:eastAsia="游ゴシック"/>
          <w:b/>
          <w:color w:val="B03010"/>
          <w:sz w:val="21"/>
        </w:rPr>
        <w:t>「年間計画のどこに、この学びを一コマ入れるか」を決められるのは、皆さんだけ</w:t>
      </w:r>
      <w:r>
        <w:rPr>
          <w:rFonts w:ascii="游ゴシック" w:hAnsi="游ゴシック" w:eastAsia="游ゴシック"/>
          <w:b w:val="0"/>
          <w:sz w:val="21"/>
        </w:rPr>
        <w:t>なんです。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〔演出〕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ここで投げかけ（チャット併用なら書き込みを促す）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一つ、頭の片隅に置いてください。</w:t>
      </w:r>
      <w:r>
        <w:rPr>
          <w:rFonts w:ascii="游ゴシック" w:hAnsi="游ゴシック" w:eastAsia="游ゴシック"/>
          <w:b/>
          <w:color w:val="B03010"/>
          <w:sz w:val="21"/>
        </w:rPr>
        <w:t>皆さんの学校では今、性暴力の防止に、どんな取組をしていますか？</w:t>
      </w:r>
      <w:r>
        <w:rPr>
          <w:rFonts w:ascii="游ゴシック" w:hAnsi="游ゴシック" w:eastAsia="游ゴシック"/>
          <w:b w:val="0"/>
          <w:sz w:val="21"/>
        </w:rPr>
        <w:t xml:space="preserve"> 探しながら、聞いてください。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【スライド3】出典（齋藤梓 准教授の講義）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〔2:25–2:55〕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ここからの内容は、上智大学の齋藤梓（さいとう・あずさ）准教授の講義がもとです。齋藤先生は、臨床心理士・公認心理師として、性暴力被害の現場に長く向き合ってこられた研究者。</w:t>
      </w:r>
      <w:r>
        <w:rPr>
          <w:rFonts w:ascii="游ゴシック" w:hAnsi="游ゴシック" w:eastAsia="游ゴシック"/>
          <w:b/>
          <w:color w:val="B03010"/>
          <w:sz w:val="21"/>
        </w:rPr>
        <w:t>つまり、これからの話は“きれいごと”ではなく、実際の被害から分かったこと</w:t>
      </w:r>
      <w:r>
        <w:rPr>
          <w:rFonts w:ascii="游ゴシック" w:hAnsi="游ゴシック" w:eastAsia="游ゴシック"/>
          <w:b w:val="0"/>
          <w:sz w:val="21"/>
        </w:rPr>
        <w:t>です。校園長研修の要点を、私からお伝えします。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【スライド4】どれが暴力？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〔2:55–3:55〕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ここで一問。子供にも使える問いです。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Aさんが、Bさんを、殴った。どなった。いいよと言われていないのに、おしりを触った。いやだと言われたのに、着替えをのぞいた。――</w:t>
      </w:r>
      <w:r>
        <w:rPr>
          <w:rFonts w:ascii="游ゴシック" w:hAnsi="游ゴシック" w:eastAsia="游ゴシック"/>
          <w:b/>
          <w:color w:val="B03010"/>
          <w:sz w:val="21"/>
        </w:rPr>
        <w:t>この中で、“暴力”はどれでしょう。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〔演出〕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ここが勝負どころ。3〜5秒、本当に黙る。指を折って数えるしぐさも可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…正解は。</w:t>
      </w:r>
      <w:r>
        <w:rPr>
          <w:rFonts w:ascii="游ゴシック" w:hAnsi="游ゴシック" w:eastAsia="游ゴシック"/>
          <w:b/>
          <w:color w:val="B03010"/>
          <w:sz w:val="21"/>
        </w:rPr>
        <w:t>ぜんぶ、です。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殴るのは、からだの暴力。どなる・無視するのは、こころの暴力。いやがることを性的にするのは、性暴力。</w:t>
      </w:r>
      <w:r>
        <w:rPr>
          <w:rFonts w:ascii="游ゴシック" w:hAnsi="游ゴシック" w:eastAsia="游ゴシック"/>
          <w:b/>
          <w:color w:val="B03010"/>
          <w:sz w:val="21"/>
        </w:rPr>
        <w:t>性暴力も、暴力の一つ。</w:t>
      </w:r>
      <w:r>
        <w:rPr>
          <w:rFonts w:ascii="游ゴシック" w:hAnsi="游ゴシック" w:eastAsia="游ゴシック"/>
          <w:b w:val="0"/>
          <w:sz w:val="21"/>
        </w:rPr>
        <w:t xml:space="preserve"> まず大人が、ここをそろえておきたいんです。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【スライド5】「性暴力」は女の子だけ？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〔3:55–4:45〕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もう一つ、思い込みを。「性暴力は、女の子だけのもの」――そう思っていませんか。</w:t>
      </w:r>
      <w:r>
        <w:rPr>
          <w:rFonts w:ascii="游ゴシック" w:hAnsi="游ゴシック" w:eastAsia="游ゴシック"/>
          <w:b/>
          <w:color w:val="B03010"/>
          <w:sz w:val="21"/>
        </w:rPr>
        <w:t>違います。</w:t>
      </w:r>
      <w:r>
        <w:rPr>
          <w:rFonts w:ascii="游ゴシック" w:hAnsi="游ゴシック" w:eastAsia="游ゴシック"/>
          <w:b w:val="0"/>
          <w:sz w:val="21"/>
        </w:rPr>
        <w:t xml:space="preserve"> 男の子にも、すべての性別の子に起こります。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怖いのは、「女のくせに」「男なのに」という考え方。女の子は大人しく、男の子は強く――この“無意識の決めつけ”、アンコンシャス・バイアスが、暴力の入口になります。</w:t>
      </w:r>
      <w:r>
        <w:rPr>
          <w:rFonts w:ascii="游ゴシック" w:hAnsi="游ゴシック" w:eastAsia="游ゴシック"/>
          <w:b/>
          <w:color w:val="B03010"/>
          <w:sz w:val="21"/>
        </w:rPr>
        <w:t>無意識だからこそ、自分では気づけない。</w:t>
      </w:r>
      <w:r>
        <w:rPr>
          <w:rFonts w:ascii="游ゴシック" w:hAnsi="游ゴシック" w:eastAsia="游ゴシック"/>
          <w:b w:val="0"/>
          <w:sz w:val="21"/>
        </w:rPr>
        <w:t xml:space="preserve"> ここが、いちばん厄介なんです。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【スライド6】性暴力とは？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〔4:45–5:40〕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では、性暴力とは何か。ひとことで言えば、</w:t>
      </w:r>
      <w:r>
        <w:rPr>
          <w:rFonts w:ascii="游ゴシック" w:hAnsi="游ゴシック" w:eastAsia="游ゴシック"/>
          <w:b/>
          <w:color w:val="B03010"/>
          <w:sz w:val="21"/>
        </w:rPr>
        <w:t>本人が望まない、性的な行為のすべて</w:t>
      </w:r>
      <w:r>
        <w:rPr>
          <w:rFonts w:ascii="游ゴシック" w:hAnsi="游ゴシック" w:eastAsia="游ゴシック"/>
          <w:b w:val="0"/>
          <w:sz w:val="21"/>
        </w:rPr>
        <w:t>です。相手が恋人でも、家族でも、顔見知りでも関係ない。体に触るものだけでもありません。言葉で言う、見せつける――触らない性暴力もあります。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そして、今日いちばん覚えて帰ってほしい一言。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〔演出〕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一拍おく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/>
          <w:color w:val="B03010"/>
          <w:sz w:val="21"/>
        </w:rPr>
        <w:t>悪いのは、加害者です。被害に遭った人は、悪くない。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〔演出〕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もう一拍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どんな理由があっても、性暴力は許されない。子供にそう言える大人で、ありたいんです。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【スライド7】被害が子供に与える影響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〔5:40–6:30〕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性暴力は、子供に何を残すのか。個人の尊厳を深く傷つけ、心身に深刻な影響を与え、健やかな成長そのものを止める、</w:t>
      </w:r>
      <w:r>
        <w:rPr>
          <w:rFonts w:ascii="游ゴシック" w:hAnsi="游ゴシック" w:eastAsia="游ゴシック"/>
          <w:b/>
          <w:color w:val="B03010"/>
          <w:sz w:val="21"/>
        </w:rPr>
        <w:t>重大な人権侵害</w:t>
      </w:r>
      <w:r>
        <w:rPr>
          <w:rFonts w:ascii="游ゴシック" w:hAnsi="游ゴシック" w:eastAsia="游ゴシック"/>
          <w:b w:val="0"/>
          <w:sz w:val="21"/>
        </w:rPr>
        <w:t>です。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フラッシュバック、PTSD、摂食障害、うつ、自傷――リスクが高まります。やっかいなのは、それが</w:t>
      </w:r>
      <w:r>
        <w:rPr>
          <w:rFonts w:ascii="游ゴシック" w:hAnsi="游ゴシック" w:eastAsia="游ゴシック"/>
          <w:b/>
          <w:color w:val="B03010"/>
          <w:sz w:val="21"/>
        </w:rPr>
        <w:t>“問題行動”の顔をして現れる</w:t>
      </w:r>
      <w:r>
        <w:rPr>
          <w:rFonts w:ascii="游ゴシック" w:hAnsi="游ゴシック" w:eastAsia="游ゴシック"/>
          <w:b w:val="0"/>
          <w:sz w:val="21"/>
        </w:rPr>
        <w:t>こと。</w:t>
      </w:r>
      <w:r>
        <w:rPr>
          <w:rFonts w:ascii="游ゴシック" w:hAnsi="游ゴシック" w:eastAsia="游ゴシック"/>
          <w:b/>
          <w:color w:val="B03010"/>
          <w:sz w:val="21"/>
        </w:rPr>
        <w:t>“困った子”は、“困っている子”かもしれない。</w:t>
      </w:r>
      <w:r>
        <w:rPr>
          <w:rFonts w:ascii="游ゴシック" w:hAnsi="游ゴシック" w:eastAsia="游ゴシック"/>
          <w:b w:val="0"/>
          <w:sz w:val="21"/>
        </w:rPr>
        <w:t xml:space="preserve"> この視点を、どうか持っていてください。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【スライド8】加害はどう起こるか（性的手なずけ）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〔6:30–7:35〕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加害は、ある日突然ではありません。多くは「手なずけ」――グルーミングという、時間をかけたプロセスで進みます。加害できそうな子を探し、近づき、周りから引き離す。子供とも、周りの大人とも、欺いて信頼関係をつくる。そして、性的なことへの感覚を、少しずつ麻痺させる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具体的には――居残りや、二人きりの状況をつくる。他の先生や保護者の悪口で、子供を囲い込む。頭をなでる、肩に触れる、膝に座らせる。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〔演出〕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ここで少し声を落とす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グルーミングが本当に怖いのは――</w:t>
      </w:r>
      <w:r>
        <w:rPr>
          <w:rFonts w:ascii="游ゴシック" w:hAnsi="游ゴシック" w:eastAsia="游ゴシック"/>
          <w:b/>
          <w:color w:val="B03010"/>
          <w:sz w:val="21"/>
        </w:rPr>
        <w:t>加害者が、子供にも、私たち同僚にも、「面倒見のいい、いい先生」に見えている</w:t>
      </w:r>
      <w:r>
        <w:rPr>
          <w:rFonts w:ascii="游ゴシック" w:hAnsi="游ゴシック" w:eastAsia="游ゴシック"/>
          <w:b w:val="0"/>
          <w:sz w:val="21"/>
        </w:rPr>
        <w:t>ことです。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だから、「あの先生に限って」が、いちばん危ない。</w:t>
      </w:r>
      <w:r>
        <w:rPr>
          <w:rFonts w:ascii="游ゴシック" w:hAnsi="游ゴシック" w:eastAsia="游ゴシック"/>
          <w:b/>
          <w:color w:val="B03010"/>
          <w:sz w:val="21"/>
        </w:rPr>
        <w:t>“小さな違和感”を、見逃さないでください。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【スライド9】子供は被害を打ち明けにくい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〔7:35–8:20〕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子供は、被害をなかなか言えません。口止めされる、信じてもらえないのが怖い、そもそも“被害だ”と分からない、自分を責める、恥ずかしい――理由が、いくつも重なります。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被害を話せた子の多くが、こう言います。「</w:t>
      </w:r>
      <w:r>
        <w:rPr>
          <w:rFonts w:ascii="游ゴシック" w:hAnsi="游ゴシック" w:eastAsia="游ゴシック"/>
          <w:b/>
          <w:color w:val="B03010"/>
          <w:sz w:val="21"/>
        </w:rPr>
        <w:t>聞かれたから、話せた</w:t>
      </w:r>
      <w:r>
        <w:rPr>
          <w:rFonts w:ascii="游ゴシック" w:hAnsi="游ゴシック" w:eastAsia="游ゴシック"/>
          <w:b w:val="0"/>
          <w:sz w:val="21"/>
        </w:rPr>
        <w:t>」「</w:t>
      </w:r>
      <w:r>
        <w:rPr>
          <w:rFonts w:ascii="游ゴシック" w:hAnsi="游ゴシック" w:eastAsia="游ゴシック"/>
          <w:b/>
          <w:color w:val="B03010"/>
          <w:sz w:val="21"/>
        </w:rPr>
        <w:t>知っていたから、話せた</w:t>
      </w:r>
      <w:r>
        <w:rPr>
          <w:rFonts w:ascii="游ゴシック" w:hAnsi="游ゴシック" w:eastAsia="游ゴシック"/>
          <w:b w:val="0"/>
          <w:sz w:val="21"/>
        </w:rPr>
        <w:t>」と。だから、子供が学ぶ機会と、大人が気づく目が要る。小さな変化、小さなSOSを見逃さないことが、子供を守ります。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【スライド10】未然防止のハード面・ソフト面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〔8:20–9:05〕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では、学校として何ができるか。未然防止を、ハードとソフトで。</w:t>
      </w:r>
      <w:r>
        <w:rPr>
          <w:rFonts w:ascii="游ゴシック" w:hAnsi="游ゴシック" w:eastAsia="游ゴシック"/>
          <w:b/>
          <w:color w:val="B03010"/>
          <w:sz w:val="21"/>
        </w:rPr>
        <w:t>ハードは、仕組みと環境。</w:t>
      </w:r>
      <w:r>
        <w:rPr>
          <w:rFonts w:ascii="游ゴシック" w:hAnsi="游ゴシック" w:eastAsia="游ゴシック"/>
          <w:b w:val="0"/>
          <w:sz w:val="21"/>
        </w:rPr>
        <w:t xml:space="preserve"> ルールづくりと、校内点検――“死角”をなくす。</w:t>
      </w:r>
      <w:r>
        <w:rPr>
          <w:rFonts w:ascii="游ゴシック" w:hAnsi="游ゴシック" w:eastAsia="游ゴシック"/>
          <w:b/>
          <w:color w:val="B03010"/>
          <w:sz w:val="21"/>
        </w:rPr>
        <w:t>ソフトは、人の意識。</w:t>
      </w:r>
      <w:r>
        <w:rPr>
          <w:rFonts w:ascii="游ゴシック" w:hAnsi="游ゴシック" w:eastAsia="游ゴシック"/>
          <w:b w:val="0"/>
          <w:sz w:val="21"/>
        </w:rPr>
        <w:t xml:space="preserve"> 研修で「自分ごと」にし、偏りに気づき、</w:t>
      </w:r>
      <w:r>
        <w:rPr>
          <w:rFonts w:ascii="游ゴシック" w:hAnsi="游ゴシック" w:eastAsia="游ゴシック"/>
          <w:b/>
          <w:color w:val="B03010"/>
          <w:sz w:val="21"/>
        </w:rPr>
        <w:t>違和感を言い合える、風通しのいい組織</w:t>
      </w:r>
      <w:r>
        <w:rPr>
          <w:rFonts w:ascii="游ゴシック" w:hAnsi="游ゴシック" w:eastAsia="游ゴシック"/>
          <w:b w:val="0"/>
          <w:sz w:val="21"/>
        </w:rPr>
        <w:t>をつくる。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このソフト面――研修やOJTを、思いつきで終わらせず、</w:t>
      </w:r>
      <w:r>
        <w:rPr>
          <w:rFonts w:ascii="游ゴシック" w:hAnsi="游ゴシック" w:eastAsia="游ゴシック"/>
          <w:b/>
          <w:color w:val="B03010"/>
          <w:sz w:val="21"/>
        </w:rPr>
        <w:t>教育課程に組み込んで、毎年回す。</w:t>
      </w:r>
      <w:r>
        <w:rPr>
          <w:rFonts w:ascii="游ゴシック" w:hAnsi="游ゴシック" w:eastAsia="游ゴシック"/>
          <w:b w:val="0"/>
          <w:sz w:val="21"/>
        </w:rPr>
        <w:t xml:space="preserve"> ここが、皆さんの出番です。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【スライド11】初期対応のハード面・ソフト面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〔9:05–9:45〕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もしもの初期対応も、両面で。</w:t>
      </w:r>
      <w:r>
        <w:rPr>
          <w:rFonts w:ascii="游ゴシック" w:hAnsi="游ゴシック" w:eastAsia="游ゴシック"/>
          <w:b/>
          <w:color w:val="B03010"/>
          <w:sz w:val="21"/>
        </w:rPr>
        <w:t>ハードは、相談窓口。</w:t>
      </w:r>
      <w:r>
        <w:rPr>
          <w:rFonts w:ascii="游ゴシック" w:hAnsi="游ゴシック" w:eastAsia="游ゴシック"/>
          <w:b w:val="0"/>
          <w:sz w:val="21"/>
        </w:rPr>
        <w:t xml:space="preserve"> </w:t>
      </w:r>
      <w:r>
        <w:rPr>
          <w:rFonts w:ascii="游ゴシック" w:hAnsi="游ゴシック" w:eastAsia="游ゴシック"/>
          <w:b/>
          <w:color w:val="B03010"/>
          <w:sz w:val="21"/>
        </w:rPr>
        <w:t>ソフトは、受け止める力</w:t>
      </w:r>
      <w:r>
        <w:rPr>
          <w:rFonts w:ascii="游ゴシック" w:hAnsi="游ゴシック" w:eastAsia="游ゴシック"/>
          <w:b w:val="0"/>
          <w:sz w:val="21"/>
        </w:rPr>
        <w:t>――子供の変化に気づく視点、相談しやすい関係、被害を聴く研修、マニュアルの見直しと共有、警察・児相との日頃の連携。正しく理解していれば、</w:t>
      </w:r>
      <w:r>
        <w:rPr>
          <w:rFonts w:ascii="游ゴシック" w:hAnsi="游ゴシック" w:eastAsia="游ゴシック"/>
          <w:b/>
          <w:color w:val="B03010"/>
          <w:sz w:val="21"/>
        </w:rPr>
        <w:t>良かれと思った一言で追い詰める“二次被害”を防げます。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【スライド12】子供が被害を打ち明けたとき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〔9:45–10:35〕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実際に子供が打ち明けてくれたら、どう聴くか。コツは、ひとつ。</w:t>
      </w:r>
      <w:r>
        <w:rPr>
          <w:rFonts w:ascii="游ゴシック" w:hAnsi="游ゴシック" w:eastAsia="游ゴシック"/>
          <w:b/>
          <w:color w:val="B03010"/>
          <w:sz w:val="21"/>
        </w:rPr>
        <w:t>「聴きすぎない」</w:t>
      </w:r>
      <w:r>
        <w:rPr>
          <w:rFonts w:ascii="游ゴシック" w:hAnsi="游ゴシック" w:eastAsia="游ゴシック"/>
          <w:b w:val="0"/>
          <w:sz w:val="21"/>
        </w:rPr>
        <w:t>ことです。「誰が」「どこで」「何を」を、問い詰めない。子供の言葉を、そのまま使う。決めつけない、誘導しない。最後まで聴いて、それから――「</w:t>
      </w:r>
      <w:r>
        <w:rPr>
          <w:rFonts w:ascii="游ゴシック" w:hAnsi="游ゴシック" w:eastAsia="游ゴシック"/>
          <w:b/>
          <w:color w:val="B03010"/>
          <w:sz w:val="21"/>
        </w:rPr>
        <w:t>話してくれて、ありがとう</w:t>
      </w:r>
      <w:r>
        <w:rPr>
          <w:rFonts w:ascii="游ゴシック" w:hAnsi="游ゴシック" w:eastAsia="游ゴシック"/>
          <w:b w:val="0"/>
          <w:sz w:val="21"/>
        </w:rPr>
        <w:t>」。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感情を出しすぎず、でも温かく。「なぜ?」「どうして?」と責めない。そして、安全を確保する。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〔演出〕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補足：ねぎらいは“最後に”が鉄則。途中でほめると、期待に応えようとして事実と違う話をすることがある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【スライド13】基本的な考え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〔10:35–11:15〕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ここまでをまとめる、基本の考えです。人権を知り、尊重し合う。境界線と対等性を知り、安全な関係を築く。何が性暴力かを知る――知らずに傷つけ合わないため、いざというとき自分を責めないため。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結局、土台はここです。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〔演出〕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/>
          <w:color w:val="B03010"/>
          <w:sz w:val="21"/>
        </w:rPr>
        <w:t>まずは、大人が、ちゃんと知ること。</w:t>
      </w:r>
      <w:r>
        <w:rPr>
          <w:rFonts w:ascii="游ゴシック" w:hAnsi="游ゴシック" w:eastAsia="游ゴシック"/>
          <w:b w:val="0"/>
          <w:sz w:val="21"/>
        </w:rPr>
        <w:t xml:space="preserve"> 子供にどう教えるか、の前に、私たち自身が、です。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【スライド14】性の境界線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〔11:15–11:50〕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キーワードの「境界線」。性の境界線とは、「いつ・どこで・誰と・どんな性的なことをするか」「自分の体を、誰に見せるか」――</w:t>
      </w:r>
      <w:r>
        <w:rPr>
          <w:rFonts w:ascii="游ゴシック" w:hAnsi="游ゴシック" w:eastAsia="游ゴシック"/>
          <w:b/>
          <w:color w:val="B03010"/>
          <w:sz w:val="21"/>
        </w:rPr>
        <w:t>それを決めるのは、自分</w:t>
      </w:r>
      <w:r>
        <w:rPr>
          <w:rFonts w:ascii="游ゴシック" w:hAnsi="游ゴシック" w:eastAsia="游ゴシック"/>
          <w:b w:val="0"/>
          <w:sz w:val="21"/>
        </w:rPr>
        <w:t>、という考えです。これを他人にないがしろにされると、「モノとして扱われた」「人として大事にされていない」という感覚が残る。</w:t>
      </w:r>
      <w:r>
        <w:rPr>
          <w:rFonts w:ascii="游ゴシック" w:hAnsi="游ゴシック" w:eastAsia="游ゴシック"/>
          <w:b/>
          <w:color w:val="B03010"/>
          <w:sz w:val="21"/>
        </w:rPr>
        <w:t>境界線を守ることは、人権を守ること</w:t>
      </w:r>
      <w:r>
        <w:rPr>
          <w:rFonts w:ascii="游ゴシック" w:hAnsi="游ゴシック" w:eastAsia="游ゴシック"/>
          <w:b w:val="0"/>
          <w:sz w:val="21"/>
        </w:rPr>
        <w:t>そのものなんです。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【スライド15】被害に遭ったとき（No・Go・Tell）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〔11:50–12:25〕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子供には、いざというときの行動も伝えます。「</w:t>
      </w:r>
      <w:r>
        <w:rPr>
          <w:rFonts w:ascii="游ゴシック" w:hAnsi="游ゴシック" w:eastAsia="游ゴシック"/>
          <w:b/>
          <w:color w:val="B03010"/>
          <w:sz w:val="21"/>
        </w:rPr>
        <w:t>No</w:t>
      </w:r>
      <w:r>
        <w:rPr>
          <w:rFonts w:ascii="游ゴシック" w:hAnsi="游ゴシック" w:eastAsia="游ゴシック"/>
          <w:b w:val="0"/>
          <w:sz w:val="21"/>
        </w:rPr>
        <w:t>――いやだと言う」「</w:t>
      </w:r>
      <w:r>
        <w:rPr>
          <w:rFonts w:ascii="游ゴシック" w:hAnsi="游ゴシック" w:eastAsia="游ゴシック"/>
          <w:b/>
          <w:color w:val="B03010"/>
          <w:sz w:val="21"/>
        </w:rPr>
        <w:t>Go</w:t>
      </w:r>
      <w:r>
        <w:rPr>
          <w:rFonts w:ascii="游ゴシック" w:hAnsi="游ゴシック" w:eastAsia="游ゴシック"/>
          <w:b w:val="0"/>
          <w:sz w:val="21"/>
        </w:rPr>
        <w:t>――逃げる」「</w:t>
      </w:r>
      <w:r>
        <w:rPr>
          <w:rFonts w:ascii="游ゴシック" w:hAnsi="游ゴシック" w:eastAsia="游ゴシック"/>
          <w:b/>
          <w:color w:val="B03010"/>
          <w:sz w:val="21"/>
        </w:rPr>
        <w:t>Tell</w:t>
      </w:r>
      <w:r>
        <w:rPr>
          <w:rFonts w:ascii="游ゴシック" w:hAnsi="游ゴシック" w:eastAsia="游ゴシック"/>
          <w:b w:val="0"/>
          <w:sz w:val="21"/>
        </w:rPr>
        <w:t>――大人に言う」。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ただし、ここがいちばん大事。</w:t>
      </w:r>
      <w:r>
        <w:rPr>
          <w:rFonts w:ascii="游ゴシック" w:hAnsi="游ゴシック" w:eastAsia="游ゴシック"/>
          <w:b/>
          <w:color w:val="B03010"/>
          <w:sz w:val="21"/>
        </w:rPr>
        <w:t>言えなくても、逃げられなくても、それで当たり前。</w:t>
      </w:r>
      <w:r>
        <w:rPr>
          <w:rFonts w:ascii="游ゴシック" w:hAnsi="游ゴシック" w:eastAsia="游ゴシック"/>
          <w:b w:val="0"/>
          <w:sz w:val="21"/>
        </w:rPr>
        <w:t xml:space="preserve"> 悪いのは、境界線を踏みにじった相手です。</w:t>
      </w:r>
      <w:r>
        <w:rPr>
          <w:rFonts w:ascii="游ゴシック" w:hAnsi="游ゴシック" w:eastAsia="游ゴシック"/>
          <w:b/>
          <w:color w:val="B03010"/>
          <w:sz w:val="21"/>
        </w:rPr>
        <w:t>子供を、絶対に責めない。</w:t>
      </w:r>
      <w:r>
        <w:rPr>
          <w:rFonts w:ascii="游ゴシック" w:hAnsi="游ゴシック" w:eastAsia="游ゴシック"/>
          <w:b w:val="0"/>
          <w:sz w:val="21"/>
        </w:rPr>
        <w:t xml:space="preserve"> この一言を、必ずセットで。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【スライド16】まとめ：大人が理解し、子供に伝える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〔12:25–12:45〕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ここまで、結局は一点に集まります。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〔演出〕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/>
          <w:color w:val="B03010"/>
          <w:sz w:val="21"/>
        </w:rPr>
        <w:t>大人が性暴力を理解して、子供の安全を守れるように。子供に、ちゃんと伝えられるように。</w:t>
      </w:r>
      <w:r>
        <w:rPr>
          <w:rFonts w:ascii="游ゴシック" w:hAnsi="游ゴシック" w:eastAsia="游ゴシック"/>
          <w:b w:val="0"/>
          <w:sz w:val="21"/>
        </w:rPr>
        <w:t xml:space="preserve"> 私たちが学ぶことが、子供を守る、最初の一歩です。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【スライド17】練馬区立学校の取組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〔12:45–13:35〕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これを受けて、練馬区立学校では、こんな取組を進めています。準備室など死角の点検。空き教室の施錠。教室の“見える化”。私物カメラの持ち込み禁止。授業でのスマホ使用禁止。タブレットでの録画は、管理職の許可を得て、黒板に「録画中」と表示する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大事なのは、これを「決まりだから」で終わらせないこと。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〔演出〕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/>
          <w:color w:val="B03010"/>
          <w:sz w:val="21"/>
        </w:rPr>
        <w:t>“なぜ”を語れる人が、職員室に一人いるだけで、ルールは生きます。</w:t>
      </w:r>
      <w:r>
        <w:rPr>
          <w:rFonts w:ascii="游ゴシック" w:hAnsi="游ゴシック" w:eastAsia="游ゴシック"/>
          <w:b w:val="0"/>
          <w:sz w:val="21"/>
        </w:rPr>
        <w:t xml:space="preserve"> その一人に、皆さんがなってください。</w:t>
      </w:r>
    </w:p>
    <w:p>
      <w:pPr>
        <w:spacing w:before="26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【スライド18】教務園務担当者に期待すること（結び）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〔13:35–15:00〕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最後に、皆さんに期待することです。スライドに五つ挙げました。教育課程への位置付け、確実な実施、生活指導と連携したOJT、教職員への指導、保護者への働きかけ。</w:t>
      </w:r>
      <w:r>
        <w:rPr>
          <w:rFonts w:ascii="游ゴシック" w:hAnsi="游ゴシック" w:eastAsia="游ゴシック"/>
          <w:b/>
          <w:color w:val="B03010"/>
          <w:sz w:val="21"/>
        </w:rPr>
        <w:t>――これは、お手元で後ほどご確認ください。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今日、たった一つだけ持ち帰っていただくなら、これです。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〔演出〕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一拍。スライドの★を示す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/>
          <w:color w:val="B03010"/>
          <w:sz w:val="21"/>
        </w:rPr>
        <w:t>自分の人権感覚を、常にアップデートし続けること。そして、「あれ?」と思う事案は、迷わず、すぐ管理職へ。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加害には、その人の“癖”が出る、と言われます。でも――</w:t>
      </w:r>
      <w:r>
        <w:rPr>
          <w:rFonts w:ascii="游ゴシック" w:hAnsi="游ゴシック" w:eastAsia="游ゴシック"/>
          <w:b/>
          <w:color w:val="B03010"/>
          <w:sz w:val="21"/>
        </w:rPr>
        <w:t>「癖だから、防げない」は、ありません。</w:t>
      </w:r>
      <w:r>
        <w:rPr>
          <w:rFonts w:ascii="游ゴシック" w:hAnsi="游ゴシック" w:eastAsia="游ゴシック"/>
          <w:b w:val="0"/>
          <w:sz w:val="21"/>
        </w:rPr>
        <w:t xml:space="preserve"> 私たちにできるのは、</w:t>
      </w:r>
      <w:r>
        <w:rPr>
          <w:rFonts w:ascii="游ゴシック" w:hAnsi="游ゴシック" w:eastAsia="游ゴシック"/>
          <w:b/>
          <w:color w:val="B03010"/>
          <w:sz w:val="21"/>
        </w:rPr>
        <w:t>「起こさせない仕組み」と「起こさせない意識」</w:t>
      </w:r>
      <w:r>
        <w:rPr>
          <w:rFonts w:ascii="游ゴシック" w:hAnsi="游ゴシック" w:eastAsia="游ゴシック"/>
          <w:b w:val="0"/>
          <w:sz w:val="21"/>
        </w:rPr>
        <w:t>を、教育課程に組み込むこと。それができるのは、教務の要である、皆さんしかいません。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冒頭の問いを、覚えていますか。「信頼する同僚の加害に、気づけるか」。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〔演出〕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今日から、その答えを「はい」に、変えていきましょう。子供たちの安全と尊厳のために。ありがとうございました。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〔演出〕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一礼して終了</w:t>
      </w:r>
    </w:p>
    <w:p>
      <w:pPr>
        <w:spacing w:after="40" w:before="40"/>
        <w:pBdr>
          <w:bottom w:val="single" w:sz="6" w:space="1" w:color="999999"/>
        </w:pBdr>
      </w:pPr>
    </w:p>
    <w:p>
      <w:pPr>
        <w:spacing w:before="0" w:after="80" w:line="312" w:lineRule="auto"/>
      </w:pPr>
      <w:r>
        <w:rPr>
          <w:rFonts w:ascii="游ゴシック" w:hAnsi="游ゴシック" w:eastAsia="游ゴシック"/>
          <w:b w:val="0"/>
          <w:color w:val="808080"/>
          <w:sz w:val="17"/>
        </w:rPr>
        <w:t>※PowerPoint資料（全18スライド）に基づく改訂版。スライド3〜16の内容は齋藤梓准教授（上智大学）の校園長対象研修会講義に拠る。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