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png" ContentType="image/png"/>
  <Override PartName="/word/media/rId60.png" ContentType="image/png"/>
  <Override PartName="/word/media/rId12.png" ContentType="image/png"/>
  <Override PartName="/word/media/rId177.png" ContentType="image/png"/>
  <Override PartName="/word/media/rId18.png" ContentType="image/png"/>
  <Override PartName="/word/media/rId30.png" ContentType="image/png"/>
  <Override PartName="/word/media/rId35.png" ContentType="image/png"/>
  <Override PartName="/word/media/rId185.png" ContentType="image/png"/>
  <Override PartName="/word/media/rId193.png" ContentType="image/png"/>
  <Override PartName="/word/media/rId201.png" ContentType="image/png"/>
  <Override PartName="/word/media/rId43.png" ContentType="image/png"/>
  <Override PartName="/word/media/rId48.png" ContentType="image/png"/>
  <Override PartName="/word/media/rId53.png" ContentType="image/png"/>
  <Override PartName="/word/media/rId213.png" ContentType="image/png"/>
  <Override PartName="/word/media/rId189.png" ContentType="image/png"/>
  <Override PartName="/word/media/rId181.png" ContentType="image/png"/>
  <Override PartName="/word/media/rId197.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5.365.</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t xml:space="preserve">El fútbol profesional ya mide el balón, pero el cuerpo que lo golpea solo se ve en el vídeo de la retransmisión. Este estudio de comparación de métodos se preguntó para qué usos prácticos puede el vídeo de tipo retransmisión de una sola cámara medir la cinemática del golpeo y las cargas articulares de la pierna de golpeo. La captura óptica de 90 golpeos de laboratorio (7 golpeos de balón y 83 participantes) sirvió de referencia. Los golpeos se filmaron con una cámara de retransmisión virtual con el error 2D real del detector en 200 disparos de la Premier League, se elevaron a 3D con un modelo publicado y se comprobaron con vídeo real con captura sincronizada y con un gemelo digital de cada grabación. Seis rasgos cinemáticos y tres momentos articulares de la pierna de golpeo se juzgaron con criterios de la literatura para comparar con normas de laboratorio, ordenar jugadores y seguir a un jugador. El error del detector en retransmisión fue del 7,6–12,9 % de la altura del jugador. Con una sola cámara (jugador de 80 px, 25 fps) y el elevador publicado, ninguna variable cumplió ningún criterio (mejor CCI 0,64). El gemelo digital predijo los errores del vídeo real (r = 0,84). Fusionar tres repeticiones con una corrección de laboratorio hizo que la flexión de la rodilla de golpeo sirviera para ordenar jugadores (CCI 0,80) y que las inclinaciones del tronco fueran comparables con normas de laboratorio (EAM &lt; 5°); ninguna variable permitió seguir a un jugador. Un índice de carga de la pierna de golpeo siguió la intensidad del golpeo en laboratorio (ρ = 0,79), pero no se pudo recuperar desde vídeo (fiabilidad 0,08), así que validarlo como predictor de lesiones exigiría unas 590 lesiones (12–24 temporadas de LaLiga). Las grabaciones con móvil de golpeos reales reprodujeron estos patrones. El vídeo de retransmisión de una sola cámara todavía no permite una biomecánica individual del golpeo ni índices de lesión basados en la carga; la fusión de repeticiones y el instante de contacto del balón permiten usos limitados para ordenar jugadores, a falta de validarlos con datos propios del fútbol.</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0"/>
    <w:bookmarkStart w:id="11"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1"/>
    <w:bookmarkStart w:id="29" w:name="métodos"/>
    <w:p>
      <w:pPr>
        <w:pStyle w:val="Heading1"/>
      </w:pPr>
      <w:r>
        <w:t xml:space="preserve">2. Métodos</w:t>
      </w:r>
    </w:p>
    <w:bookmarkStart w:id="17"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completado con un ejemplo de campo (apartado 2.6),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6"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6"/>
    <w:bookmarkEnd w:id="17"/>
    <w:bookmarkStart w:id="22"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respecto a la distribución de laboratorio de MoVi.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1"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19" name="Picture"/>
            <a:graphic>
              <a:graphicData uri="http://schemas.openxmlformats.org/drawingml/2006/picture">
                <pic:pic>
                  <pic:nvPicPr>
                    <pic:cNvPr descr="../../resultados/paper_es/fig2_model.png" id="20" name="Picture"/>
                    <pic:cNvPicPr>
                      <a:picLocks noChangeArrowheads="1" noChangeAspect="1"/>
                    </pic:cNvPicPr>
                  </pic:nvPicPr>
                  <pic:blipFill>
                    <a:blip r:embed="rId18"/>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1"/>
    <w:bookmarkEnd w:id="22"/>
    <w:bookmarkStart w:id="23"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reconstrucción se escaló a la longitud del muslo de referencia (equivale a conocer la estatura) y se alineó rígidamente una vez por secuencia (equivale a la calibración del campo). El contacto fue</w:t>
      </w:r>
      <w:r>
        <w:t xml:space="preserve"> </w:t>
      </w:r>
      <w:r>
        <w:rPr>
          <w:i/>
          <w:iCs/>
        </w:rPr>
        <w:t xml:space="preserve">conocido</w:t>
      </w:r>
      <w:r>
        <w:t xml:space="preserve"> </w:t>
      </w:r>
      <w:r>
        <w:t xml:space="preserve">(como lo da un sensor en el balón) o</w:t>
      </w:r>
      <w:r>
        <w:t xml:space="preserve"> </w:t>
      </w:r>
      <w:r>
        <w:rPr>
          <w:i/>
          <w:iCs/>
        </w:rPr>
        <w:t xml:space="preserve">automático</w:t>
      </w:r>
      <w:r>
        <w:t xml:space="preserve"> </w:t>
      </w:r>
      <w:r>
        <w:t xml:space="preserve">(pico de velocidad del tobillo en la reconstrucción). Salvo para la escala y el alineamiento, las estimaciones desde vídeo nunca usaron la referencia.</w:t>
      </w:r>
    </w:p>
    <w:bookmarkEnd w:id="23"/>
    <w:bookmarkStart w:id="24" w:name="vídeo-real-y-gemelo-digital"/>
    <w:p>
      <w:pPr>
        <w:pStyle w:val="Heading2"/>
      </w:pPr>
      <w:r>
        <w:t xml:space="preserve">2.4 Vídeo real y gemelo digital</w:t>
      </w:r>
    </w:p>
    <w:p>
      <w:pPr>
        <w:pStyle w:val="FirstParagraph"/>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Si el gemelo reproduce los errores medidos con imagen real, su variante de retransmisión es una estimación creíble del error en retransmisión.</w:t>
      </w:r>
    </w:p>
    <w:bookmarkEnd w:id="24"/>
    <w:bookmarkStart w:id="25"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5"/>
    <w:bookmarkStart w:id="26" w:name="ejemplo-de-campo"/>
    <w:p>
      <w:pPr>
        <w:pStyle w:val="Heading2"/>
      </w:pPr>
      <w:r>
        <w:t xml:space="preserve">2.6 Ejemplo de campo</w:t>
      </w:r>
    </w:p>
    <w:p>
      <w:pPr>
        <w:pStyle w:val="FirstParagraph"/>
      </w:pPr>
      <w:r>
        <w:t xml:space="preserve">Para ilustrar la cadena con golpeos reales de fútbol, el autor (varón adulto, 177 cm, 78 kg, jugador aficionado, diestro) realizó 13 golpeos con el empeine a balón parado en una pista exterior (8 fuertes y 5 suaves), cada uno filmado una vez con un móvil en una posición fija (1920 × 1080 px, 60 fps) desde una de cuatro tomas: lateral (5 golpeos), diagonal desde atrás (4), diagonal desde delante (2) y de frente (2). El jugador midió 170–241 px (mediana de 199 px). Los vídeos se procesaron con el mismo detector y el mismo elevador a resolución nativa y con el jugador reducido a 80 px y comprimido en JPEG. La reconstrucción se escaló con una longitud de muslo de 0,245 × estatura</w:t>
      </w:r>
      <w:r>
        <w:t xml:space="preserve"> </w:t>
      </w:r>
      <w:r>
        <w:t xml:space="preserve">(</w:t>
      </w:r>
      <w:hyperlink w:anchor="ref-winter2009">
        <w:r>
          <w:rPr>
            <w:rStyle w:val="Hyperlink"/>
          </w:rPr>
          <w:t xml:space="preserve">Winter 2009</w:t>
        </w:r>
      </w:hyperlink>
      <w:r>
        <w:t xml:space="preserve">)</w:t>
      </w:r>
      <w:r>
        <w:t xml:space="preserve">, la vertical de la imagen se tomó como la vertical del mundo (cámara nivelada), los cruces ocasionales de las etiquetas izquierda y derecha de rodillas y tobillos se corrigieron por continuidad temporal (Viterbi; 20 de 10.200 fotogramas) y el contacto fue el pico de velocidad del tobillo derecho (de golpeo). Sin captura óptica, este ejemplo pone a prueba la verosimilitud — si se distinguen los golpeos fuertes de los suaves — y la consistencia entre resoluciones, no la validez.</w:t>
      </w:r>
    </w:p>
    <w:bookmarkEnd w:id="26"/>
    <w:bookmarkStart w:id="27"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λ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conjuntos disponibles (83 participantes, por encima del mínimo de 30 muestras heterogéneas recomendado para estudios de fiabilidad</w:t>
      </w:r>
      <w:r>
        <w:t xml:space="preserve"> </w:t>
      </w:r>
      <w:r>
        <w:t xml:space="preserve">(</w:t>
      </w:r>
      <w:hyperlink w:anchor="ref-koo2016">
        <w:r>
          <w:rPr>
            <w:rStyle w:val="Hyperlink"/>
          </w:rPr>
          <w:t xml:space="preserve">Koo y Li 2016</w:t>
        </w:r>
      </w:hyperlink>
      <w:r>
        <w:t xml:space="preserve">)</w:t>
      </w:r>
      <w:r>
        <w:t xml:space="preserve">).</w:t>
      </w:r>
    </w:p>
    <w:p>
      <w:pPr>
        <w:pStyle w:val="BodyText"/>
      </w:pPr>
      <w:r>
        <w:t xml:space="preserve">La idoneidad se juzgó con criterios tomados de la literatura, uno por uso práctico.</w:t>
      </w:r>
      <w:r>
        <w:t xml:space="preserve"> </w:t>
      </w:r>
      <w:r>
        <w:rPr>
          <w:i/>
          <w:iCs/>
        </w:rPr>
        <w:t xml:space="preserve">Comparar con normas de laboratorio</w:t>
      </w:r>
      <w:r>
        <w:t xml:space="preserve"> </w:t>
      </w:r>
      <w:r>
        <w:t xml:space="preserve">(ángulos): EAM ≤ 5°, el nivel a partir del cual el error cinemático se considera preocupante</w:t>
      </w:r>
      <w:r>
        <w:t xml:space="preserve"> </w:t>
      </w:r>
      <w:r>
        <w:t xml:space="preserve">(</w:t>
      </w:r>
      <w:hyperlink w:anchor="ref-mcginley2009">
        <w:r>
          <w:rPr>
            <w:rStyle w:val="Hyperlink"/>
          </w:rPr>
          <w:t xml:space="preserve">McGinley et al. 2009</w:t>
        </w:r>
      </w:hyperlink>
      <w:r>
        <w:t xml:space="preserve">)</w:t>
      </w:r>
      <w:r>
        <w:t xml:space="preserve">, y un sesgo equivalente a cero dentro de ±5° (dos pruebas unilaterales, α = 0,05, un valor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Ordenar jugadores</w:t>
      </w:r>
      <w:r>
        <w:t xml:space="preserve">: CCI ≥ 0,75 con el límite inferior de su IC 95 % ≥ 0,5.</w:t>
      </w:r>
      <w:r>
        <w:t xml:space="preserve"> </w:t>
      </w:r>
      <w:r>
        <w:rPr>
          <w:i/>
          <w:iCs/>
        </w:rPr>
        <w:t xml:space="preserve">Seguir a un jugador</w:t>
      </w:r>
      <w:r>
        <w:t xml:space="preserve">: error aleatorio (DE de las diferencias) no mayor que el cambio mínimo relevante, 0,2 DE entre jugadores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Las curvas medias de flexión de rodilla y de cadera del laboratorio y de la reconstrucción se compararon con mapeo estadístico paramétrico unidimensional no paramétrico</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estadísticos</w:t>
      </w:r>
      <w:r>
        <w:t xml:space="preserve"> </w:t>
      </w:r>
      <w:r>
        <w:rPr>
          <w:i/>
          <w:iCs/>
        </w:rPr>
        <w:t xml:space="preserve">t</w:t>
      </w:r>
      <w:r>
        <w:t xml:space="preserve"> </w:t>
      </w:r>
      <w:r>
        <w:t xml:space="preserve">emparejados en cada instante, con el umbral crítico y los valores</w:t>
      </w:r>
      <w:r>
        <w:t xml:space="preserve"> </w:t>
      </w:r>
      <w:r>
        <w:rPr>
          <w:i/>
          <w:iCs/>
        </w:rPr>
        <w:t xml:space="preserve">p</w:t>
      </w:r>
      <w:r>
        <w:t xml:space="preserve"> </w:t>
      </w:r>
      <w:r>
        <w:t xml:space="preserve">de cada racimo obtenidos de 10.000 permutaciones de signo del máximo |</w:t>
      </w:r>
      <w:r>
        <w:rPr>
          <w:i/>
          <w:iCs/>
        </w:rPr>
        <w:t xml:space="preserve">t</w:t>
      </w:r>
      <w:r>
        <w:t xml:space="preserve">| (α de familia = 0,05).</w:t>
      </w:r>
    </w:p>
    <w:bookmarkEnd w:id="27"/>
    <w:bookmarkStart w:id="28" w:name="tamaño-de-un-estudio-de-lesiones"/>
    <w:p>
      <w:pPr>
        <w:pStyle w:val="Heading2"/>
      </w:pPr>
      <w:r>
        <w:t xml:space="preserve">2.8 Tamaño de un estudio de lesiones</w:t>
      </w:r>
    </w:p>
    <w:p>
      <w:pPr>
        <w:pStyle w:val="FirstParagraph"/>
      </w:pP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la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w:t>
      </w:r>
      <w:r>
        <w:t xml:space="preserve"> </w:t>
      </w:r>
      <w:r>
        <w:t xml:space="preserve">(</w:t>
      </w:r>
      <w:hyperlink w:anchor="ref-hutcheon2010">
        <w:r>
          <w:rPr>
            <w:rStyle w:val="Hyperlink"/>
          </w:rPr>
          <w:t xml:space="preserve">Hutcheon et al. 2010</w:t>
        </w:r>
      </w:hyperlink>
      <w:r>
        <w:t xml:space="preserve">)</w:t>
      </w:r>
      <w:r>
        <w:t xml:space="preserve">. Con la fórmula de Schoenfeld</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cociente de riesgos HR por DE de</w:t>
      </w:r>
      <w:r>
        <w:t xml:space="preserve"> </w:t>
      </w:r>
      <w:r>
        <w:rPr>
          <w:i/>
          <w:iCs/>
        </w:rPr>
        <w:t xml:space="preserve">X</w:t>
      </w:r>
      <w:r>
        <w:t xml:space="preserve"> </w:t>
      </w:r>
      <w:r>
        <w:t xml:space="preserve">(α = 0,05, potencia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Traducimos</w:t>
      </w:r>
      <w:r>
        <w:t xml:space="preserve"> </w:t>
      </w:r>
      <w:r>
        <w:rPr>
          <w:i/>
          <w:iCs/>
        </w:rPr>
        <w:t xml:space="preserve">D</w:t>
      </w:r>
      <w:r>
        <w:t xml:space="preserve"> </w:t>
      </w:r>
      <w:r>
        <w:t xml:space="preserve">a temporadas de LaLiga suponiendo 20 clubes × 25 jugadores y 0,05–0,10 lesiones de aductor o cuádriceps relacionadas con el golpeo por jugador y temporada (0,6 lesiones musculares por jugador y temporada, el 42 % de aductor o cuádriceps</w:t>
      </w:r>
      <w:r>
        <w:t xml:space="preserve"> </w:t>
      </w:r>
      <w:r>
        <w:t xml:space="preserve">(</w:t>
      </w:r>
      <w:hyperlink w:anchor="ref-ekstrand2011">
        <w:r>
          <w:rPr>
            <w:rStyle w:val="Hyperlink"/>
          </w:rPr>
          <w:t xml:space="preserve">Ekstrand et al. 2011</w:t>
        </w:r>
      </w:hyperlink>
      <w:r>
        <w:t xml:space="preserve">)</w:t>
      </w:r>
      <w:r>
        <w:t xml:space="preserve">, entre un cuarto y la mitad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un supuesto explícito).</w:t>
      </w:r>
    </w:p>
    <w:bookmarkEnd w:id="28"/>
    <w:bookmarkEnd w:id="29"/>
    <w:bookmarkStart w:id="65" w:name="resultados"/>
    <w:p>
      <w:pPr>
        <w:pStyle w:val="Heading1"/>
      </w:pPr>
      <w:r>
        <w:t xml:space="preserve">3. Resultados</w:t>
      </w:r>
    </w:p>
    <w:bookmarkStart w:id="34"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3"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1" name="Picture"/>
            <a:graphic>
              <a:graphicData uri="http://schemas.openxmlformats.org/drawingml/2006/picture">
                <pic:pic>
                  <pic:nvPicPr>
                    <pic:cNvPr descr="../../resultados/paper_es/fig3_2d_error.png" id="32" name="Picture"/>
                    <pic:cNvPicPr>
                      <a:picLocks noChangeArrowheads="1" noChangeAspect="1"/>
                    </pic:cNvPicPr>
                  </pic:nvPicPr>
                  <pic:blipFill>
                    <a:blip r:embed="rId30"/>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3"/>
    <w:bookmarkEnd w:id="34"/>
    <w:bookmarkStart w:id="39"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 p &lt; 0,05)." title="" id="36" name="Picture"/>
            <a:graphic>
              <a:graphicData uri="http://schemas.openxmlformats.org/drawingml/2006/picture">
                <pic:pic>
                  <pic:nvPicPr>
                    <pic:cNvPr descr="../../resultados/paper_es/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w:t>
      </w:r>
      <w:r>
        <w:t xml:space="preserve"> </w:t>
      </w:r>
      <w:r>
        <w:rPr>
          <w:i/>
          <w:iCs/>
        </w:rPr>
        <w:t xml:space="preserve">p</w:t>
      </w:r>
      <w:r>
        <w:t xml:space="preserve"> </w:t>
      </w:r>
      <w:r>
        <w:t xml:space="preserve">&lt; 0,05).</w:t>
      </w:r>
    </w:p>
    <w:bookmarkEnd w:id="38"/>
    <w:bookmarkEnd w:id="39"/>
    <w:bookmarkStart w:id="41"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0"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0,11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0,61</w:t>
            </w:r>
          </w:p>
        </w:tc>
        <w:tc>
          <w:tcPr/>
          <w:p>
            <w:pPr>
              <w:pStyle w:val="Compact"/>
              <w:jc w:val="right"/>
            </w:pPr>
            <w:r>
              <w:t xml:space="preserve">0,16 (0,05–0,30)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40"/>
    <w:bookmarkEnd w:id="41"/>
    <w:bookmarkStart w:id="47" w:name="vídeo-real-y-gemelo-digital-1"/>
    <w:p>
      <w:pPr>
        <w:pStyle w:val="Heading2"/>
      </w:pPr>
      <w:r>
        <w:t xml:space="preserve">3.4 Vídeo real y gemelo digital</w:t>
      </w:r>
    </w:p>
    <w:p>
      <w:pPr>
        <w:pStyle w:val="FirstParagraph"/>
      </w:pPr>
      <w:r>
        <w:t xml:space="preserve">En las grabaciones reales de MoVi (82 participantes con vídeo utilizable × 2 cámaras), los errores de los rasgos crecieron solo moderadamente de la resolución nativa a 50 px (Tabla 3, Figura 5a). Dos rasgos tuvieron sesgos grandes e independientes del tamaño — extensión máxima de la cadera de golpeo (+22 a +25°) e inclinación sagital del tronco (−13°) —, coherentes con las distintas definiciones de los puntos del detector (caderas y hombros en la superficie de la piel) y de los centros articulares. A 80 px, el acuerdo fue bueno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así que los errores de retransmisión de los apartados anteriores son, en todo caso, cotas inferiores.</w:t>
      </w:r>
    </w:p>
    <w:bookmarkStart w:id="42" w:name="tbl:real"/>
    <w:p>
      <w:pPr>
        <w:pStyle w:val="TableCaption"/>
      </w:pPr>
      <w:r>
        <w:t xml:space="preserve">Tabla 3. Acuerdo del vídeo real con la captura óptica (MoVi, 82 participantes, dos cámaras,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82 participantes, dos cámara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1955"/>
            <wp:effectExtent b="0" l="0" r="0" t="0"/>
            <wp:docPr descr="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4" name="Picture"/>
            <a:graphic>
              <a:graphicData uri="http://schemas.openxmlformats.org/drawingml/2006/picture">
                <pic:pic>
                  <pic:nvPicPr>
                    <pic:cNvPr descr="../../resultados/paper_es/fig7_real_video.png" id="45" name="Picture"/>
                    <pic:cNvPicPr>
                      <a:picLocks noChangeArrowheads="1" noChangeAspect="1"/>
                    </pic:cNvPicPr>
                  </pic:nvPicPr>
                  <pic:blipFill>
                    <a:blip r:embed="rId43"/>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6"/>
    <w:bookmarkEnd w:id="47"/>
    <w:bookmarkStart w:id="52" w:name="Xc74fe1538309bac3458ab91c13a46873e5b7f0f"/>
    <w:p>
      <w:pPr>
        <w:pStyle w:val="Heading2"/>
      </w:pPr>
      <w:r>
        <w:t xml:space="preserve">3.5 Cargas articulares de la pierna de golpeo</w:t>
      </w:r>
    </w:p>
    <w:p>
      <w:pPr>
        <w:pStyle w:val="FirstParagraph"/>
      </w:pPr>
      <w:r>
        <w:t xml:space="preserve">En laboratorio, cada pico de momento aumentó con la intensidad del golpeo (ρ de Spearman = 0,56–0,58 con la velocidad máxima del tobillo,</w:t>
      </w:r>
      <w:r>
        <w:t xml:space="preserve"> </w:t>
      </w:r>
      <w:r>
        <w:rPr>
          <w:i/>
          <w:iCs/>
        </w:rPr>
        <w:t xml:space="preserve">p</w:t>
      </w:r>
      <w:r>
        <w:t xml:space="preserve"> </w:t>
      </w:r>
      <w:r>
        <w:t xml:space="preserve">&lt; 10⁻⁷) y el KLI lo hizo con fuerza (ρ = 0,79; Figura 6a); los golpeos de balón de CMU produjeron momentos flexores máximos de cadera de 1,0–2,0 N·m/kg frente a 0,71 ± 0,30 N·m/kg en los golpeos al aire de MoVi. Desde vídeo de tipo retransmisión, las cargas salieron sesgadas al alza, el acuerdo fue pobre (CCI 0,06–0,16; Tabla 2, Figura 6b) y las pendientes de calibración fueron de 0,05–0,11. Un modelo ridge que predice las cargas de laboratorio a partir de los seis rasgos posturales explicó el 19–34 % de su varianza y, aplicado a las posturas de la retransmisión, alcanzó λ = 0,30–0,38. Detectar un cociente de riesgos de 1,5 por DE del KLI verdadero exige, por tanto, 48 lesiones con una medida de calidad de laboratorio, 126 con el sustituto postural y unas 590 con la dinámica inversa desde vídeo de tipo retransmisión (Figura 6c): una o dos, de tres a cinco y de doce a veinticuatro temporadas de toda LaLiga EA Sports, respectivamente.</w:t>
      </w:r>
    </w:p>
    <w:bookmarkStart w:id="51" w:name="fig:load"/>
    <w:p>
      <w:pPr>
        <w:pStyle w:val="CaptionedFigure"/>
      </w:pPr>
      <w:r>
        <w:drawing>
          <wp:inline>
            <wp:extent cx="5334000" cy="2189629"/>
            <wp:effectExtent b="0" l="0" r="0" t="0"/>
            <wp:docPr descr="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49" name="Picture"/>
            <a:graphic>
              <a:graphicData uri="http://schemas.openxmlformats.org/drawingml/2006/picture">
                <pic:pic>
                  <pic:nvPicPr>
                    <pic:cNvPr descr="../../resultados/paper_es/fig8_joint_load.png" id="50" name="Picture"/>
                    <pic:cNvPicPr>
                      <a:picLocks noChangeArrowheads="1" noChangeAspect="1"/>
                    </pic:cNvPicPr>
                  </pic:nvPicPr>
                  <pic:blipFill>
                    <a:blip r:embed="rId48"/>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51"/>
    <w:bookmarkEnd w:id="52"/>
    <w:bookmarkStart w:id="57" w:name="remedios-1"/>
    <w:p>
      <w:pPr>
        <w:pStyle w:val="Heading2"/>
      </w:pPr>
      <w:r>
        <w:t xml:space="preserve">3.6 Remedios</w:t>
      </w:r>
    </w:p>
    <w:p>
      <w:pPr>
        <w:pStyle w:val="FirstParagraph"/>
      </w:pPr>
      <w:r>
        <w:rPr>
          <w:i/>
          <w:iCs/>
        </w:rPr>
        <w:t xml:space="preserve">Fusión de repeticiones y corrección de sesgo.</w:t>
      </w:r>
      <w:r>
        <w:t xml:space="preserve"> </w:t>
      </w: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6"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4" name="Picture"/>
            <a:graphic>
              <a:graphicData uri="http://schemas.openxmlformats.org/drawingml/2006/picture">
                <pic:pic>
                  <pic:nvPicPr>
                    <pic:cNvPr descr="../../resultados/paper_es/fig9_improvements.png" id="55" name="Picture"/>
                    <pic:cNvPicPr>
                      <a:picLocks noChangeArrowheads="1" noChangeAspect="1"/>
                    </pic:cNvPicPr>
                  </pic:nvPicPr>
                  <pic:blipFill>
                    <a:blip r:embed="rId53"/>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6"/>
    <w:p>
      <w:pPr>
        <w:pStyle w:val="BodyText"/>
      </w:pPr>
      <w:r>
        <w:rPr>
          <w:i/>
          <w:iCs/>
        </w:rPr>
        <w:t xml:space="preserve">Elevador adaptado.</w:t>
      </w:r>
      <w:r>
        <w:t xml:space="preserve"> </w:t>
      </w:r>
      <w:r>
        <w:t xml:space="preserve">El ajuste del elevador redujo su error 3D en ventanas sintéticas de retransmisión de participantes no vistos en un 60–64 % (MPJPE de unas 0,09 a 0,033–0,037 alturas de jugador). En la cámara virtual a 80 px con los residuos de retransmisión reservados, el error medio de los rasgos bajó de 14,7° a 8,3° y el acuerdo subió en todos los rasgos (por ejemplo, flexión máxima de la rodilla de golpeo con CCI de 0,64 a 0,82, inclinación lateral del tronco de 0,37 a 0,77 y flexión de la rodilla de apoyo de 0,08 a 0,51; Figura suplementaria S8a). En vídeo real reducido a 80 px la mejora fue menor (error medio de 15,0° a 13,3°; rango de cadera con CCI de 0,67 a 0,76 y flexión máxima de rodilla de 0,56 a 0,67), y la flexión de la rodilla de apoyo empeoró (de 12,5° a 14,6°). En los golpeos de balón de CMU, que no estaban en el entrenamiento, el elevador adaptado fue peor que el oficial (error medio de 11,8° a 16,7°; rango de cadera de 18,2° a 33,0°; Figura suplementaria S8b). Las cargas articulares siguieron sin ser fiables (CCI ≤ 0,41).</w:t>
      </w:r>
    </w:p>
    <w:bookmarkEnd w:id="57"/>
    <w:bookmarkStart w:id="59" w:name="idoneidad-para-cada-uso"/>
    <w:p>
      <w:pPr>
        <w:pStyle w:val="Heading2"/>
      </w:pPr>
      <w:r>
        <w:t xml:space="preserve">3.7 Idoneidad para cada uso</w:t>
      </w:r>
    </w:p>
    <w:p>
      <w:pPr>
        <w:pStyle w:val="FirstParagraph"/>
      </w:pPr>
      <w:r>
        <w:t xml:space="preserve">Con una sola cámara de retransmisión, ninguna variable sirvió para ningún uso (Tabla 4). Con tres repeticiones fusionadas y corrección de sesgo de laboratorio, la flexión máxima de la rodilla de golpeo pasó a servir para ordenar jugadores (CCI 0,80, IC 95 % 0,70–0,87), la extensión máxima de la cadera se quedó justo por debajo (0,749; 0,61–0,85) y las dos inclinaciones del tronco coincidieron con los valores de laboratorio dentro de 5°. Con el elevador adaptado bastó una sola cámara simulada para que la flexión máxima de la rodilla de golpeo y la inclinación lateral del tronco sirvieran para ordenar jugadores, y en vídeo real a 80 px el rango de movimiento de la cadera de golpeo pasó a servir para ordenar (CCI 0,76; 0,68–0,83); con el elevador oficial, en vídeo real solo la inclinación lateral del tronco cumplió un criterio (comparar con normas; EAM 3,8°). Ninguna variable, en ninguna condición, permitió seguir a un jugador (errores aleatorios de 2,7 a 16,5 veces el cambio mínimo relevante), y ninguna carga articular cumplió ningún criterio.</w:t>
      </w:r>
    </w:p>
    <w:bookmarkStart w:id="58" w:name="tbl:accept"/>
    <w:p>
      <w:pPr>
        <w:pStyle w:val="TableCaption"/>
      </w:pPr>
      <w:r>
        <w:t xml:space="preserve">Tabla 4. Idoneidad para cada uso con criterios de la literatura (MoVi; 80 px, 25 fps, contacto conocido). Cada celda indica los usos que se cumplen y, entre paréntesis, el EAM (° o N·m/kg) y el CCI(2,1); «—»: no se cumple ningún uso.</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w:t>
      </w:r>
    </w:p>
    <w:tbl>
      <w:tblPr>
        <w:tblStyle w:val="Table"/>
        <w:tblW w:type="pct" w:w="5000"/>
        <w:tblLayout w:type="fixed"/>
        <w:tblLook w:firstRow="1" w:lastRow="0" w:firstColumn="0" w:lastColumn="0" w:noHBand="0" w:noVBand="0" w:val="0020"/>
        <w:tblCaption w:val="Tabla 4. Idoneidad para cada uso con criterios de la literatura (MoVi; 80 px, 25 fps, contacto conocido). Cada celda indica los usos que se cumplen y, entre paréntesis, el EAM (° o N·m/kg) y el CCI(2,1); «—»: no se cumple ningún uso. Normas: comparar con normas de laboratorio (ángulos: EAM ≤ 5° y sesgo equivalente a cero dentro de ±5°, TOST); ordenar: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Una cámara</w:t>
            </w:r>
          </w:p>
        </w:tc>
        <w:tc>
          <w:tcPr/>
          <w:p>
            <w:pPr>
              <w:pStyle w:val="Compact"/>
              <w:jc w:val="left"/>
            </w:pPr>
            <w:r>
              <w:t xml:space="preserve">3 repeticiones + corrección</w:t>
            </w:r>
          </w:p>
        </w:tc>
        <w:tc>
          <w:tcPr/>
          <w:p>
            <w:pPr>
              <w:pStyle w:val="Compact"/>
              <w:jc w:val="left"/>
            </w:pPr>
            <w:r>
              <w:t xml:space="preserve">Una cámara, elevador adaptado</w:t>
            </w:r>
          </w:p>
        </w:tc>
        <w:tc>
          <w:tcPr/>
          <w:p>
            <w:pPr>
              <w:pStyle w:val="Compact"/>
              <w:jc w:val="left"/>
            </w:pPr>
            <w:r>
              <w:t xml:space="preserve">Vídeo real</w:t>
            </w:r>
          </w:p>
        </w:tc>
        <w:tc>
          <w:tcPr/>
          <w:p>
            <w:pPr>
              <w:pStyle w:val="Compact"/>
              <w:jc w:val="left"/>
            </w:pPr>
            <w:r>
              <w:t xml:space="preserve">Vídeo real, elevador adaptado</w:t>
            </w:r>
          </w:p>
        </w:tc>
      </w:tr>
      <w:tr>
        <w:tc>
          <w:tcPr/>
          <w:p>
            <w:pPr>
              <w:pStyle w:val="Compact"/>
              <w:jc w:val="left"/>
            </w:pPr>
            <w:r>
              <w:t xml:space="preserve">Flexión de la rodilla de apoyo en el contacto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Flexión máxima de la rodilla de golpeo (°)</w:t>
            </w:r>
          </w:p>
        </w:tc>
        <w:tc>
          <w:tcPr/>
          <w:p>
            <w:pPr>
              <w:pStyle w:val="Compact"/>
              <w:jc w:val="left"/>
            </w:pPr>
            <w:r>
              <w:t xml:space="preserve">— (16,5°; 0,64)</w:t>
            </w:r>
          </w:p>
        </w:tc>
        <w:tc>
          <w:tcPr/>
          <w:p>
            <w:pPr>
              <w:pStyle w:val="Compact"/>
              <w:jc w:val="left"/>
            </w:pPr>
            <w:r>
              <w:rPr>
                <w:b/>
                <w:bCs/>
              </w:rPr>
              <w:t xml:space="preserve">ordenar</w:t>
            </w:r>
            <w:r>
              <w:t xml:space="preserve"> </w:t>
            </w:r>
            <w:r>
              <w:t xml:space="preserve">(12,3°; 0,80)</w:t>
            </w:r>
          </w:p>
        </w:tc>
        <w:tc>
          <w:tcPr/>
          <w:p>
            <w:pPr>
              <w:pStyle w:val="Compact"/>
              <w:jc w:val="left"/>
            </w:pPr>
            <w:r>
              <w:rPr>
                <w:b/>
                <w:bCs/>
              </w:rPr>
              <w:t xml:space="preserve">ordenar</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Extensión máxima de la cadera de golpeo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Rango de movimiento de la cadera de golpeo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ordenar</w:t>
            </w:r>
            <w:r>
              <w:t xml:space="preserve"> </w:t>
            </w:r>
            <w:r>
              <w:t xml:space="preserve">(12,6°; 0,76)</w:t>
            </w:r>
          </w:p>
        </w:tc>
      </w:tr>
      <w:tr>
        <w:tc>
          <w:tcPr/>
          <w:p>
            <w:pPr>
              <w:pStyle w:val="Compact"/>
              <w:jc w:val="left"/>
            </w:pPr>
            <w:r>
              <w:t xml:space="preserve">Inclinación sagital del tronco en el contacto (°)</w:t>
            </w:r>
          </w:p>
        </w:tc>
        <w:tc>
          <w:tcPr/>
          <w:p>
            <w:pPr>
              <w:pStyle w:val="Compact"/>
              <w:jc w:val="left"/>
            </w:pPr>
            <w:r>
              <w:t xml:space="preserve">— (7,1°; 0,42)</w:t>
            </w:r>
          </w:p>
        </w:tc>
        <w:tc>
          <w:tcPr/>
          <w:p>
            <w:pPr>
              <w:pStyle w:val="Compact"/>
              <w:jc w:val="left"/>
            </w:pPr>
            <w:r>
              <w:rPr>
                <w:b/>
                <w:bCs/>
              </w:rPr>
              <w:t xml:space="preserve">normas</w:t>
            </w:r>
            <w:r>
              <w:t xml:space="preserve"> </w:t>
            </w:r>
            <w:r>
              <w:t xml:space="preserve">(3,8°; 0,64)</w:t>
            </w:r>
          </w:p>
        </w:tc>
        <w:tc>
          <w:tcPr/>
          <w:p>
            <w:pPr>
              <w:pStyle w:val="Compact"/>
              <w:jc w:val="left"/>
            </w:pPr>
            <w:r>
              <w:rPr>
                <w:b/>
                <w:bCs/>
              </w:rPr>
              <w:t xml:space="preserve">normas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Inclinación lateral del tronco en el contacto (°)</w:t>
            </w:r>
          </w:p>
        </w:tc>
        <w:tc>
          <w:tcPr/>
          <w:p>
            <w:pPr>
              <w:pStyle w:val="Compact"/>
              <w:jc w:val="left"/>
            </w:pPr>
            <w:r>
              <w:t xml:space="preserve">— (7,0°; 0,42)</w:t>
            </w:r>
          </w:p>
        </w:tc>
        <w:tc>
          <w:tcPr/>
          <w:p>
            <w:pPr>
              <w:pStyle w:val="Compact"/>
              <w:jc w:val="left"/>
            </w:pPr>
            <w:r>
              <w:rPr>
                <w:b/>
                <w:bCs/>
              </w:rPr>
              <w:t xml:space="preserve">normas</w:t>
            </w:r>
            <w:r>
              <w:t xml:space="preserve"> </w:t>
            </w:r>
            <w:r>
              <w:t xml:space="preserve">(4,6°; 0,56)</w:t>
            </w:r>
          </w:p>
        </w:tc>
        <w:tc>
          <w:tcPr/>
          <w:p>
            <w:pPr>
              <w:pStyle w:val="Compact"/>
              <w:jc w:val="left"/>
            </w:pPr>
            <w:r>
              <w:rPr>
                <w:b/>
                <w:bCs/>
              </w:rPr>
              <w:t xml:space="preserve">normas + ordenar</w:t>
            </w:r>
            <w:r>
              <w:t xml:space="preserve"> </w:t>
            </w:r>
            <w:r>
              <w:t xml:space="preserve">(3,6°; 0,77)</w:t>
            </w:r>
          </w:p>
        </w:tc>
        <w:tc>
          <w:tcPr/>
          <w:p>
            <w:pPr>
              <w:pStyle w:val="Compact"/>
              <w:jc w:val="left"/>
            </w:pPr>
            <w:r>
              <w:rPr>
                <w:b/>
                <w:bCs/>
              </w:rPr>
              <w:t xml:space="preserve">normas</w:t>
            </w:r>
            <w:r>
              <w:t xml:space="preserve"> </w:t>
            </w:r>
            <w:r>
              <w:t xml:space="preserve">(3,8°; 0,71)</w:t>
            </w:r>
          </w:p>
        </w:tc>
        <w:tc>
          <w:tcPr/>
          <w:p>
            <w:pPr>
              <w:pStyle w:val="Compact"/>
              <w:jc w:val="left"/>
            </w:pPr>
            <w:r>
              <w:rPr>
                <w:b/>
                <w:bCs/>
              </w:rPr>
              <w:t xml:space="preserve">normas</w:t>
            </w:r>
            <w:r>
              <w:t xml:space="preserve"> </w:t>
            </w:r>
            <w:r>
              <w:t xml:space="preserve">(4,1°; 0,747)</w:t>
            </w:r>
          </w:p>
        </w:tc>
      </w:tr>
      <w:tr>
        <w:tc>
          <w:tcPr/>
          <w:p>
            <w:pPr>
              <w:pStyle w:val="Compact"/>
              <w:jc w:val="left"/>
            </w:pPr>
            <w:r>
              <w:t xml:space="preserve">Momento flexor máximo de cadera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Momento extensor máximo de rodilla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Momento flexor máximo de rodilla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ejemplo-de-campo-1"/>
    <w:p>
      <w:pPr>
        <w:pStyle w:val="Heading2"/>
      </w:pPr>
      <w:r>
        <w:t xml:space="preserve">3.8 Ejemplo de campo</w:t>
      </w:r>
    </w:p>
    <w:p>
      <w:pPr>
        <w:pStyle w:val="FirstParagraph"/>
      </w:pPr>
      <w:r>
        <w:t xml:space="preserve">Desde las tomas lateral y diagonal trasera (Figura 8), los golpeos fuertes se distinguieron de los suaves por la velocidad máxima del tobillo de golpeo (media de 12,0 m/s, intervalo 8,9–14,7, frente a 8,7 m/s, 8,0–10,4), la flexión máxima de la rodilla de golpeo (93° frente a 72°) y el rango de movimiento de la cadera de golpeo (113° frente a 85°), y las velocidades del tobillo fueron parecidas a las de los golpeos de balón de laboratorio (10,2–13,1 m/s). De frente se perdió el orden (6,7 m/s en el golpeo fuerte frente a 8,1 m/s en el suave) y la extensión máxima de la cadera de golpeo salió inverosímil (−32° y −25°), como predijo la simulación para las vistas frontales (Figura suplementaria S9). Reducir el jugador a 80 px cambió la flexión máxima de rodilla, la extensión de cadera y las inclinaciones del tronco en 1,4–3,4° de media y la velocidad del tobillo en 1,1 m/s, pero sesgó la flexión de la rodilla de apoyo (+7,6° de media, hasta 24°). Los momentos estimados de la pierna de golpeo, en cambio, fueron inverosímiles: momentos flexores máximos de cadera de 2,0–5,4 N·m/kg, muy por encima de los 1,0–2,0 N·m/kg de los golpeos de balón de laboratorio, y un golpeo suave pudo tener la misma carga estimada que uno fuerte (3,5 frente a 3,6 N·m/kg; Figura suplementaria S10).</w:t>
      </w:r>
    </w:p>
    <w:bookmarkStart w:id="63" w:name="fig:field"/>
    <w:p>
      <w:pPr>
        <w:pStyle w:val="CaptionedFigure"/>
      </w:pPr>
      <w:r>
        <w:drawing>
          <wp:inline>
            <wp:extent cx="5334000" cy="4487221"/>
            <wp:effectExtent b="0" l="0" r="0" t="0"/>
            <wp:docPr descr="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 title="" id="61" name="Picture"/>
            <a:graphic>
              <a:graphicData uri="http://schemas.openxmlformats.org/drawingml/2006/picture">
                <pic:pic>
                  <pic:nvPicPr>
                    <pic:cNvPr descr="../../resultados/paper_es/fig11_field.png" id="62" name="Picture"/>
                    <pic:cNvPicPr>
                      <a:picLocks noChangeArrowheads="1" noChangeAspect="1"/>
                    </pic:cNvPicPr>
                  </pic:nvPicPr>
                  <pic:blipFill>
                    <a:blip r:embed="rId60"/>
                    <a:stretch>
                      <a:fillRect/>
                    </a:stretch>
                  </pic:blipFill>
                  <pic:spPr bwMode="auto">
                    <a:xfrm>
                      <a:off x="0" y="0"/>
                      <a:ext cx="5334000" cy="4487221"/>
                    </a:xfrm>
                    <a:prstGeom prst="rect">
                      <a:avLst/>
                    </a:prstGeom>
                    <a:noFill/>
                    <a:ln w="9525">
                      <a:noFill/>
                      <a:headEnd/>
                      <a:tailEnd/>
                    </a:ln>
                  </pic:spPr>
                </pic:pic>
              </a:graphicData>
            </a:graphic>
          </wp:inline>
        </w:drawing>
      </w:r>
    </w:p>
    <w:p>
      <w:pPr>
        <w:pStyle w:val="ImageCaption"/>
      </w:pPr>
      <w:r>
        <w:t xml:space="preserve">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w:t>
      </w:r>
    </w:p>
    <w:bookmarkEnd w:id="63"/>
    <w:bookmarkEnd w:id="64"/>
    <w:bookmarkEnd w:id="65"/>
    <w:bookmarkStart w:id="72" w:name="discusión"/>
    <w:p>
      <w:pPr>
        <w:pStyle w:val="Heading1"/>
      </w:pPr>
      <w:r>
        <w:t xml:space="preserve">4. Discusión</w:t>
      </w:r>
    </w:p>
    <w:bookmarkStart w:id="66" w:name="Xb60ce241d9708df85e81c2764b57e670f90cef4"/>
    <w:p>
      <w:pPr>
        <w:pStyle w:val="Heading2"/>
      </w:pPr>
      <w:r>
        <w:t xml:space="preserve">4.1 Qué puede medir hoy el vídeo de retransmisión</w:t>
      </w:r>
    </w:p>
    <w:p>
      <w:pPr>
        <w:pStyle w:val="FirstParagraph"/>
      </w:pPr>
      <w:r>
        <w:t xml:space="preserve">Con modelos abiertos y de propósito general, una sola cámara de retransmisión no da una biomecánica del golpeo utilizable: ninguna variable cumplió un criterio de la literatura para ningún uso práctico, los errores de los ángulos de la pierna fueron de 15–20° — del orden de las diferencias entre jugadores — y el mejor acuerdo entre jugadores fue moderado. Un error absoluto pequeño no basta: las inclinaciones del tronco se midieron con unos 7° de error y aun así no sirvieron para ordenar jugadores, porque estos apenas se diferencian en ellas; una métrica de retransmisión debe juzgarse frente a la dispersión de la población que va a ordenar. La frecuencia de imagen no influyó, mientras que la vista de cámara, el error del detector con jugadores pequeños y el instante del contacto sí, así que el progreso depende de detectar mejor en 2D a jugadores pequeños, de elegir la cámara adecuada y de saber cuándo toca el pie el balón, no de subir la frecuencia de imagen. La información que la retransmisión ya tiene cambia el veredicto: fusionar las repeticiones que se muestran en la mayoría de los disparos, con una corrección aprendida en laboratorio, hizo que la flexión de la rodilla de golpeo sirviera para ordenar jugadores y que las inclinaciones del tronco fueran comparables con normas de laboratorio. Seguir a un jugador, en cambio — por ejemplo, detectar que su armado ha cambiado tras una lesión —, quedó fuera de alcance (errores aleatorios de al menos 2,7 veces el cambio mínimo relevante). Por último, un ruido gaussiano de la magnitud correcta exageró los errores hasta 1,8 veces, así que los estudios de simulación de biomecánica con vídeo deberían usar secuencias de residuos reales o, mejor, comprobarse con imágenes reales, como hizo nuestro gemelo digital. El ejemplo de campo reprodujo estos patrones en golpeos reales de balón filmados con un móvil: la intensidad del golpeo se vio en la velocidad del tobillo y en la postura desde las tomas lateral y diagonal trasera, pero no de frente, y las cargas de la dinámica inversa salieron inverosímiles.</w:t>
      </w:r>
    </w:p>
    <w:bookmarkEnd w:id="66"/>
    <w:bookmarkStart w:id="67" w:name="Xfe7af99f9383cd531c09431a19f8670e6f9be55"/>
    <w:p>
      <w:pPr>
        <w:pStyle w:val="Heading2"/>
      </w:pPr>
      <w:r>
        <w:t xml:space="preserve">4.2 El balón conectado y los datos propios del fútbol</w:t>
      </w:r>
    </w:p>
    <w:p>
      <w:pPr>
        <w:pStyle w:val="FirstParagraph"/>
      </w:pPr>
      <w:r>
        <w:t xml:space="preserve">Conocer el instante del contacto redujo en una cuarta parte el error de los rasgos de la pierna. El balón conectado de LaLiga registra cada toque</w:t>
      </w:r>
      <w:r>
        <w:t xml:space="preserve"> </w:t>
      </w:r>
      <w:r>
        <w:t xml:space="preserve">(</w:t>
      </w:r>
      <w:hyperlink w:anchor="ref-laliga2026">
        <w:r>
          <w:rPr>
            <w:rStyle w:val="Hyperlink"/>
          </w:rPr>
          <w:t xml:space="preserve">LaLiga 2026</w:t>
        </w:r>
      </w:hyperlink>
      <w:r>
        <w:t xml:space="preserve">)</w:t>
      </w:r>
      <w:r>
        <w:t xml:space="preserve"> </w:t>
      </w:r>
      <w:r>
        <w:t xml:space="preserve">con una resolución que nuestro análisis de CMU muestra suficiente (el pico de velocidad del tobillo precede al contacto en unos 20 ms, lo que cambia los rasgos como mucho 2°), así que combinar la marca de tiempo del balón con la postura de la retransmisión debería ser lo normal, no un refinamiento. Los límites de los demás remedios apuntan al mismo cuello de botella: una corrección aprendida con golpeos al aire empeoró los errores de los golpeos reales de balón, y un elevador adaptado al golpeo con ruido de retransmisión, que mejoró los golpeos al aire no vistos en simulación y con imagen real, empeoró los golpeos de balón. Los modelos y las correcciones deben entrenarse y validarse, por tanto, con golpeos de fútbol con carrera previa e impacto, filmados por cámaras de retransmisión con 3D sincronizada. Esos datos existen dentro de los clubes y de las ligas, y el protocolo publicado convierte cualquiera de esos conjuntos en un banco de validación.</w:t>
      </w:r>
    </w:p>
    <w:bookmarkEnd w:id="67"/>
    <w:bookmarkStart w:id="68" w:name="Xba4ee142a248d25c91659b1da8e794f1d2d343f"/>
    <w:p>
      <w:pPr>
        <w:pStyle w:val="Heading2"/>
      </w:pPr>
      <w:r>
        <w:t xml:space="preserve">4.3 Un índice de carga articular: medible en laboratorio, todavía no desde la televisión</w:t>
      </w:r>
    </w:p>
    <w:p>
      <w:pPr>
        <w:pStyle w:val="FirstParagraph"/>
      </w:pPr>
      <w:r>
        <w:t xml:space="preserve">El modelo de la pierna de golpeo se comportó como debe hacerlo una medida de carga: el KLI aumentó con fuerza con la intensidad del golpeo, los golpeos de balón cargaron los flexores de cadera hasta casi tres veces más que los golpeos al aire, y un golpeo lento tuvo una fracción de la carga de un golpeo fuerte del mismo jugador. Los picos de momento flexor de cadera y de rodilla son la contrapartida mecánica de la demanda excéntrica sobre el recto femoral y el iliopsoas en la transición del armado al balanceo hacia delante, la fase implicada en las lesiones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Desde vídeo de tipo retransmisión, sin embargo, el índice no se pudo recuperar (λ ≈ 0,08), porque la dinámica inversa necesita segundas derivadas que una reconstrucción a 25 fps no contiene. Como el error de medida atenúa cualquier asociación real, un estudio de lesiones necesitaría unas 48 lesiones relacionadas con el golpeo con una medida de calidad de laboratorio, pero unas 590 con la estimación actual desde la retransmisión: un estudio tan largo que durante él cambiarían las plantillas, el entrenamiento y la práctica médica. Por tanto, hay que subir la fiabilidad antes de intentar cualquier estudio prospectivo de lesiones.</w:t>
      </w:r>
    </w:p>
    <w:bookmarkEnd w:id="68"/>
    <w:bookmarkStart w:id="69" w:name="implicaciones-prácticas"/>
    <w:p>
      <w:pPr>
        <w:pStyle w:val="Heading2"/>
      </w:pPr>
      <w:r>
        <w:t xml:space="preserve">4.4 Implicaciones prácticas</w:t>
      </w:r>
    </w:p>
    <w:p>
      <w:pPr>
        <w:pStyle w:val="FirstParagraph"/>
      </w:pPr>
      <w:r>
        <w:t xml:space="preserve">Dentro de las limitaciones que siguen, nuestros resultados sugieren que las estimaciones de una sola cámara de retransmisión de ángulos de la pierna, velocidades o cargas articulares no deberían usarse para decisiones sobre jugadores concretos; que las comparaciones entre jugadores deberían fusionar las repeticiones disponibles, anclar cada golpeo al instante de contacto del balón y usar solo variables que hayan demostrado servir para ordenar; y que cualquier métrica comercial de técnica o de carga debería acompañarse de su acuerdo con la captura óptica en condiciones de retransmisión.</w:t>
      </w:r>
    </w:p>
    <w:bookmarkEnd w:id="69"/>
    <w:bookmarkStart w:id="70"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la incidencia de lesiones es un supuesto explícito. El ejemplo de campo tiene un solo jugador aficionado y no tiene referencia, y su tamaño de jugador (unos 200 px) se parece más a un primer plano de retransmisión que a un plano general. Evaluamos un detector y un elevador, y por eso se publica el banco de pruebas.</w:t>
      </w:r>
    </w:p>
    <w:bookmarkEnd w:id="70"/>
    <w:bookmarkStart w:id="71" w:name="conclusiones"/>
    <w:p>
      <w:pPr>
        <w:pStyle w:val="Heading2"/>
      </w:pPr>
      <w:r>
        <w:t xml:space="preserve">4.6 Conclusiones</w:t>
      </w:r>
    </w:p>
    <w:p>
      <w:pPr>
        <w:pStyle w:val="FirstParagraph"/>
      </w:pPr>
      <w:r>
        <w:t xml:space="preserve">El error del detector en retransmisión, de alrededor del 10 % de la altura de un jugador típico al disparar, es el cuello de botella. Con un elevador publicado de propósito general, ninguna variable del golpeo medida con una sola cámara de retransmisión sirve para comparar con normas de laboratorio, ordenar jugadores o seguir a un jugador; fusionar las repeticiones, adaptar el elevador y anclar el golpeo al instante de contacto del balón hacen utilizables unas pocas variables para ordenar o para comparar con normas, pero ninguna para seguir a un jugador. Un índice de carga articular de la pierna de golpeo sigue la intensidad del golpeo en laboratorio, lo que apoya su validez de constructo pero no su valor como predictor de lesiones, y hoy no se puede medir desde la retransmisión, y validarlo como predictor de lesiones exigiría antes subir su fiabilidad con datos propios del fútbol.</w:t>
      </w:r>
    </w:p>
    <w:bookmarkEnd w:id="71"/>
    <w:bookmarkEnd w:id="72"/>
    <w:bookmarkStart w:id="73"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El autor agradece al BioMotion Lab (MoVi), a los autores de 3DSP/AutoSoccerPose y de SoccerNet, a OpenMMLab (RTMW, YOLOX) y a los autores de MotionAGFormer la publicación de sus datos y modelos.</w:t>
      </w:r>
    </w:p>
    <w:bookmarkEnd w:id="73"/>
    <w:bookmarkStart w:id="74" w:name="contribuciones-del-autor-credit"/>
    <w:p>
      <w:pPr>
        <w:pStyle w:val="Heading1"/>
      </w:pPr>
      <w:r>
        <w:t xml:space="preserve">Contribuciones del autor (CRediT)</w:t>
      </w:r>
    </w:p>
    <w:p>
      <w:pPr>
        <w:pStyle w:val="FirstParagraph"/>
      </w:pPr>
      <w:r>
        <w:t xml:space="preserve">Roberto Martín Gutiérrez: conceptualización, investigación (grabaciones de campo), supervisión (dirección del trabajo asistido por IA y elección entre las opciones propuestas durante él), y revisión y edición. La metodología, el software, el análisis formal, la visualización y la redacción del borrador original se hicieron con IA generativa bajo la dirección del autor (véase la declaración de uso de IA generativa).</w:t>
      </w:r>
    </w:p>
    <w:bookmarkEnd w:id="74"/>
    <w:bookmarkStart w:id="75" w:name="financiación"/>
    <w:p>
      <w:pPr>
        <w:pStyle w:val="Heading1"/>
      </w:pPr>
      <w:r>
        <w:t xml:space="preserve">Financiación</w:t>
      </w:r>
    </w:p>
    <w:p>
      <w:pPr>
        <w:pStyle w:val="FirstParagraph"/>
      </w:pPr>
      <w:r>
        <w:t xml:space="preserve">Este trabajo no recibió financiación.</w:t>
      </w:r>
    </w:p>
    <w:bookmarkEnd w:id="75"/>
    <w:bookmarkStart w:id="76"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6"/>
    <w:bookmarkStart w:id="77" w:name="declaración-de-uso-de-ia-generativa"/>
    <w:p>
      <w:pPr>
        <w:pStyle w:val="Heading1"/>
      </w:pPr>
      <w:r>
        <w:t xml:space="preserve">Declaración de uso de IA generativa</w:t>
      </w:r>
    </w:p>
    <w:p>
      <w:pPr>
        <w:pStyle w:val="FirstParagraph"/>
      </w:pPr>
      <w:r>
        <w:t xml:space="preserve">Se usó IA generativa (Claude, de Anthropic, mediante Claude Code) de forma extensa. Bajo la dirección del autor, propuso el diseño del estudio y los análisis, buscó y comprobó la bibliografía, escribió y ejecutó el código de análisis y sus pruebas unitarias, produjo las figuras y redactó, editó y tradujo el manuscrito. El autor concibió el proyecto y su enfoque futbolístico, eligió entre las opciones propuestas, grabó el ejemplo de campo, revisó las figuras y el manuscrito y pidió cambios, y asume toda la responsabilidad del contenido. Todo el código, los resultados intermedios y las salidas estadísticas son públicos para que cada cifra se pueda comprobar de forma independiente.</w:t>
      </w:r>
    </w:p>
    <w:bookmarkEnd w:id="77"/>
    <w:bookmarkStart w:id="79"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 y archivados en Zenodo (</w:t>
      </w:r>
      <w:hyperlink r:id="rId78">
        <w:r>
          <w:rPr>
            <w:rStyle w:val="Hyperlink"/>
          </w:rPr>
          <w:t xml:space="preserve">10.5281/zenodo.23439408</w:t>
        </w:r>
      </w:hyperlink>
      <w:r>
        <w:t xml:space="preserve">). Los resultados por participante derivados de MoVi no se pueden redistribuir por su licencia, pero el código publicado los regenera. Los vídeos del ejemplo de campo muestran al autor y están disponibles a petición; los resultados por golpeo están en el repositorio.</w:t>
      </w:r>
    </w:p>
    <w:bookmarkEnd w:id="79"/>
    <w:bookmarkStart w:id="80"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 (</w:t>
      </w:r>
      <w:hyperlink r:id="rId78">
        <w:r>
          <w:rPr>
            <w:rStyle w:val="Hyperlink"/>
          </w:rPr>
          <w:t xml:space="preserve">10.5281/zenodo.23439408</w:t>
        </w:r>
      </w:hyperlink>
      <w:r>
        <w:t xml:space="preserve">, versión v1.0.0). Las salidas estadísticas completas se aportan como archivo suplementario.</w:t>
      </w:r>
    </w:p>
    <w:bookmarkEnd w:id="80"/>
    <w:bookmarkStart w:id="81" w:name="depósito-de-datos"/>
    <w:p>
      <w:pPr>
        <w:pStyle w:val="Heading1"/>
      </w:pPr>
      <w:r>
        <w:t xml:space="preserve">Depósito de datos</w:t>
      </w:r>
    </w:p>
    <w:p>
      <w:pPr>
        <w:pStyle w:val="FirstParagraph"/>
      </w:pPr>
      <w:r>
        <w:t xml:space="preserve">El banco de residuos de retransmisión y los resultados agregados están depositados en Zenodo (</w:t>
      </w:r>
      <w:hyperlink r:id="rId78">
        <w:r>
          <w:rPr>
            <w:rStyle w:val="Hyperlink"/>
          </w:rPr>
          <w:t xml:space="preserve">10.5281/zenodo.23439408</w:t>
        </w:r>
      </w:hyperlink>
      <w:r>
        <w:t xml:space="preserve">).</w:t>
      </w:r>
    </w:p>
    <w:bookmarkEnd w:id="81"/>
    <w:bookmarkStart w:id="82"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82"/>
    <w:bookmarkStart w:id="176" w:name="referencias"/>
    <w:p>
      <w:pPr>
        <w:pStyle w:val="Heading1"/>
      </w:pPr>
      <w:r>
        <w:t xml:space="preserve">Referencias</w:t>
      </w:r>
    </w:p>
    <w:bookmarkStart w:id="175" w:name="refs"/>
    <w:bookmarkStart w:id="84"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3">
        <w:r>
          <w:rPr>
            <w:rStyle w:val="Hyperlink"/>
          </w:rPr>
          <w:t xml:space="preserve">https://doi.org/10.1080/02640410500386050</w:t>
        </w:r>
      </w:hyperlink>
      <w:r>
        <w:t xml:space="preserve">.</w:t>
      </w:r>
    </w:p>
    <w:bookmarkEnd w:id="84"/>
    <w:bookmarkStart w:id="86"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5">
        <w:r>
          <w:rPr>
            <w:rStyle w:val="Hyperlink"/>
          </w:rPr>
          <w:t xml:space="preserve">https://doi.org/10.1109/CVPRW59228.2023.00539</w:t>
        </w:r>
      </w:hyperlink>
      <w:r>
        <w:t xml:space="preserve">.</w:t>
      </w:r>
    </w:p>
    <w:bookmarkEnd w:id="86"/>
    <w:bookmarkStart w:id="88"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7">
        <w:r>
          <w:rPr>
            <w:rStyle w:val="Hyperlink"/>
          </w:rPr>
          <w:t xml:space="preserve">https://doi.org/10.1016/S0140-6736(86)90837-8</w:t>
        </w:r>
      </w:hyperlink>
      <w:r>
        <w:t xml:space="preserve">.</w:t>
      </w:r>
    </w:p>
    <w:bookmarkEnd w:id="88"/>
    <w:bookmarkStart w:id="90"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9">
        <w:r>
          <w:rPr>
            <w:rStyle w:val="Hyperlink"/>
          </w:rPr>
          <w:t xml:space="preserve">http://mocap.cs.cmu.edu</w:t>
        </w:r>
      </w:hyperlink>
      <w:r>
        <w:t xml:space="preserve">.</w:t>
      </w:r>
    </w:p>
    <w:bookmarkEnd w:id="90"/>
    <w:bookmarkStart w:id="92"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1">
        <w:r>
          <w:rPr>
            <w:rStyle w:val="Hyperlink"/>
          </w:rPr>
          <w:t xml:space="preserve">https://doi.org/10.1080/14763140903229500</w:t>
        </w:r>
      </w:hyperlink>
      <w:r>
        <w:t xml:space="preserve">.</w:t>
      </w:r>
    </w:p>
    <w:bookmarkEnd w:id="92"/>
    <w:bookmarkStart w:id="94"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3">
        <w:r>
          <w:rPr>
            <w:rStyle w:val="Hyperlink"/>
          </w:rPr>
          <w:t xml:space="preserve">https://doi.org/10.1016/0021-9290(95)00178-6</w:t>
        </w:r>
      </w:hyperlink>
      <w:r>
        <w:t xml:space="preserve">.</w:t>
      </w:r>
    </w:p>
    <w:bookmarkEnd w:id="94"/>
    <w:bookmarkStart w:id="96"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5">
        <w:r>
          <w:rPr>
            <w:rStyle w:val="Hyperlink"/>
          </w:rPr>
          <w:t xml:space="preserve">https://doi.org/10.1109/CVPRW53098.2021.00508</w:t>
        </w:r>
      </w:hyperlink>
      <w:r>
        <w:t xml:space="preserve">.</w:t>
      </w:r>
    </w:p>
    <w:bookmarkEnd w:id="96"/>
    <w:bookmarkStart w:id="98"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7">
        <w:r>
          <w:rPr>
            <w:rStyle w:val="Hyperlink"/>
          </w:rPr>
          <w:t xml:space="preserve">https://doi.org/10.1080/026404102753576062</w:t>
        </w:r>
      </w:hyperlink>
      <w:r>
        <w:t xml:space="preserve">.</w:t>
      </w:r>
    </w:p>
    <w:bookmarkEnd w:id="98"/>
    <w:bookmarkStart w:id="100"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99">
        <w:r>
          <w:rPr>
            <w:rStyle w:val="Hyperlink"/>
          </w:rPr>
          <w:t xml:space="preserve">https://doi.org/10.1177/0363546510395879</w:t>
        </w:r>
      </w:hyperlink>
      <w:r>
        <w:t xml:space="preserve">.</w:t>
      </w:r>
    </w:p>
    <w:bookmarkEnd w:id="100"/>
    <w:bookmarkStart w:id="102"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1">
        <w:r>
          <w:rPr>
            <w:rStyle w:val="Hyperlink"/>
          </w:rPr>
          <w:t xml:space="preserve">https://doi.org/10.48550/arXiv.2107.08430</w:t>
        </w:r>
      </w:hyperlink>
      <w:r>
        <w:t xml:space="preserve">.</w:t>
      </w:r>
    </w:p>
    <w:bookmarkEnd w:id="102"/>
    <w:bookmarkStart w:id="104"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3">
        <w:r>
          <w:rPr>
            <w:rStyle w:val="Hyperlink"/>
          </w:rPr>
          <w:t xml:space="preserve">https://doi.org/10.1371/journal.pone.0253157</w:t>
        </w:r>
      </w:hyperlink>
      <w:r>
        <w:t xml:space="preserve">.</w:t>
      </w:r>
    </w:p>
    <w:bookmarkEnd w:id="104"/>
    <w:bookmarkStart w:id="106"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5">
        <w:r>
          <w:rPr>
            <w:rStyle w:val="Hyperlink"/>
          </w:rPr>
          <w:t xml:space="preserve">https://doi.org/10.1249/MSS.0b013e31818cb278</w:t>
        </w:r>
      </w:hyperlink>
      <w:r>
        <w:t xml:space="preserve">.</w:t>
      </w:r>
    </w:p>
    <w:bookmarkEnd w:id="106"/>
    <w:bookmarkStart w:id="108"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7">
        <w:r>
          <w:rPr>
            <w:rStyle w:val="Hyperlink"/>
          </w:rPr>
          <w:t xml:space="preserve">https://doi.org/10.1136/bmj.c2289</w:t>
        </w:r>
      </w:hyperlink>
      <w:r>
        <w:t xml:space="preserve">.</w:t>
      </w:r>
    </w:p>
    <w:bookmarkEnd w:id="108"/>
    <w:bookmarkStart w:id="110"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09">
        <w:r>
          <w:rPr>
            <w:rStyle w:val="Hyperlink"/>
          </w:rPr>
          <w:t xml:space="preserve">https://doi.org/10.1109/TPAMI.2013.248</w:t>
        </w:r>
      </w:hyperlink>
      <w:r>
        <w:t xml:space="preserve">.</w:t>
      </w:r>
    </w:p>
    <w:bookmarkEnd w:id="110"/>
    <w:bookmarkStart w:id="112"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1">
        <w:r>
          <w:rPr>
            <w:rStyle w:val="Hyperlink"/>
          </w:rPr>
          <w:t xml:space="preserve">https://doi.org/10.48550/arXiv.2303.07399</w:t>
        </w:r>
      </w:hyperlink>
      <w:r>
        <w:t xml:space="preserve">.</w:t>
      </w:r>
    </w:p>
    <w:bookmarkEnd w:id="112"/>
    <w:bookmarkStart w:id="114"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3">
        <w:r>
          <w:rPr>
            <w:rStyle w:val="Hyperlink"/>
          </w:rPr>
          <w:t xml:space="preserve">https://doi.org/10.48550/arXiv.2407.08634</w:t>
        </w:r>
      </w:hyperlink>
      <w:r>
        <w:t xml:space="preserve">.</w:t>
      </w:r>
    </w:p>
    <w:bookmarkEnd w:id="114"/>
    <w:bookmarkStart w:id="116"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5">
        <w:r>
          <w:rPr>
            <w:rStyle w:val="Hyperlink"/>
          </w:rPr>
          <w:t xml:space="preserve">https://doi.org/10.1007/978-3-031-72655-2_20</w:t>
        </w:r>
      </w:hyperlink>
      <w:r>
        <w:t xml:space="preserve">.</w:t>
      </w:r>
    </w:p>
    <w:bookmarkEnd w:id="116"/>
    <w:bookmarkStart w:id="118"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7">
        <w:r>
          <w:rPr>
            <w:rStyle w:val="Hyperlink"/>
          </w:rPr>
          <w:t xml:space="preserve">https://doi.org/10.1016/j.jbiomech.2021.110665</w:t>
        </w:r>
      </w:hyperlink>
      <w:r>
        <w:t xml:space="preserve">.</w:t>
      </w:r>
    </w:p>
    <w:bookmarkEnd w:id="118"/>
    <w:bookmarkStart w:id="120"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r>
        <w:t xml:space="preserve"> </w:t>
      </w:r>
      <w:hyperlink r:id="rId119">
        <w:r>
          <w:rPr>
            <w:rStyle w:val="Hyperlink"/>
          </w:rPr>
          <w:t xml:space="preserve">https://pmc.ncbi.nlm.nih.gov/articles/PMC3786235</w:t>
        </w:r>
      </w:hyperlink>
      <w:r>
        <w:t xml:space="preserve">.</w:t>
      </w:r>
    </w:p>
    <w:bookmarkEnd w:id="120"/>
    <w:bookmarkStart w:id="122"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1">
        <w:r>
          <w:rPr>
            <w:rStyle w:val="Hyperlink"/>
          </w:rPr>
          <w:t xml:space="preserve">https://doi.org/10.48550/arXiv.2609.10498</w:t>
        </w:r>
      </w:hyperlink>
      <w:r>
        <w:t xml:space="preserve">.</w:t>
      </w:r>
    </w:p>
    <w:bookmarkEnd w:id="122"/>
    <w:bookmarkStart w:id="124"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3">
        <w:r>
          <w:rPr>
            <w:rStyle w:val="Hyperlink"/>
          </w:rPr>
          <w:t xml:space="preserve">https://doi.org/10.1016/j.jcm.2016.02.012</w:t>
        </w:r>
      </w:hyperlink>
      <w:r>
        <w:t xml:space="preserve">.</w:t>
      </w:r>
    </w:p>
    <w:bookmarkEnd w:id="124"/>
    <w:bookmarkStart w:id="126"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25">
        <w:r>
          <w:rPr>
            <w:rStyle w:val="Hyperlink"/>
          </w:rPr>
          <w:t xml:space="preserve">https://doi.org/10.1016/j.jclinepi.2010.03.002</w:t>
        </w:r>
      </w:hyperlink>
      <w:r>
        <w:t xml:space="preserve">.</w:t>
      </w:r>
    </w:p>
    <w:bookmarkEnd w:id="126"/>
    <w:bookmarkStart w:id="128"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7">
        <w:r>
          <w:rPr>
            <w:rStyle w:val="Hyperlink"/>
          </w:rPr>
          <w:t xml:space="preserve">https://doi.org/10.1177/1948550617697177</w:t>
        </w:r>
      </w:hyperlink>
      <w:r>
        <w:t xml:space="preserve">.</w:t>
      </w:r>
    </w:p>
    <w:bookmarkEnd w:id="128"/>
    <w:bookmarkStart w:id="130"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9">
        <w:r>
          <w:rPr>
            <w:rStyle w:val="Hyperlink"/>
          </w:rPr>
          <w:t xml:space="preserve">https://www.laliga.com/en-GB/news/laliga-ea-sports-becomes-the-first-national-football-competition-to-roll-out-connected-ball-technology-across-all-its-matches</w:t>
        </w:r>
      </w:hyperlink>
      <w:r>
        <w:t xml:space="preserve">.</w:t>
      </w:r>
    </w:p>
    <w:bookmarkEnd w:id="130"/>
    <w:bookmarkStart w:id="132"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1">
        <w:r>
          <w:rPr>
            <w:rStyle w:val="Hyperlink"/>
          </w:rPr>
          <w:t xml:space="preserve">https://doi.org/10.1080/02640414.2010.481305</w:t>
        </w:r>
      </w:hyperlink>
      <w:r>
        <w:t xml:space="preserve">.</w:t>
      </w:r>
    </w:p>
    <w:bookmarkEnd w:id="132"/>
    <w:bookmarkStart w:id="134"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33">
        <w:r>
          <w:rPr>
            <w:rStyle w:val="Hyperlink"/>
          </w:rPr>
          <w:t xml:space="preserve">https://doi.org/10.1016/j.gaitpost.2008.09.003</w:t>
        </w:r>
      </w:hyperlink>
      <w:r>
        <w:t xml:space="preserve">.</w:t>
      </w:r>
    </w:p>
    <w:bookmarkEnd w:id="134"/>
    <w:bookmarkStart w:id="136"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5">
        <w:r>
          <w:rPr>
            <w:rStyle w:val="Hyperlink"/>
          </w:rPr>
          <w:t xml:space="preserve">https://doi.org/10.1109/WACV57701.2024.00677</w:t>
        </w:r>
      </w:hyperlink>
      <w:r>
        <w:t xml:space="preserve">.</w:t>
      </w:r>
    </w:p>
    <w:bookmarkEnd w:id="136"/>
    <w:bookmarkStart w:id="138"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7">
        <w:r>
          <w:rPr>
            <w:rStyle w:val="Hyperlink"/>
          </w:rPr>
          <w:t xml:space="preserve">https://doi.org/10.1136/bjsports-2012-091250</w:t>
        </w:r>
      </w:hyperlink>
      <w:r>
        <w:t xml:space="preserve">.</w:t>
      </w:r>
    </w:p>
    <w:bookmarkEnd w:id="138"/>
    <w:bookmarkStart w:id="140"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9">
        <w:r>
          <w:rPr>
            <w:rStyle w:val="Hyperlink"/>
          </w:rPr>
          <w:t xml:space="preserve">https://doi.org/10.1038/s41598-021-00212-x</w:t>
        </w:r>
      </w:hyperlink>
      <w:r>
        <w:t xml:space="preserve">.</w:t>
      </w:r>
    </w:p>
    <w:bookmarkEnd w:id="140"/>
    <w:bookmarkStart w:id="142"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41">
        <w:r>
          <w:rPr>
            <w:rStyle w:val="Hyperlink"/>
          </w:rPr>
          <w:t xml:space="preserve">https://doi.org/10.1002/hbm.1058</w:t>
        </w:r>
      </w:hyperlink>
      <w:r>
        <w:t xml:space="preserve">.</w:t>
      </w:r>
    </w:p>
    <w:bookmarkEnd w:id="142"/>
    <w:bookmarkStart w:id="144"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43">
        <w:r>
          <w:rPr>
            <w:rStyle w:val="Hyperlink"/>
          </w:rPr>
          <w:t xml:space="preserve">https://doi.org/10.1109/ICCVW69036.2025.00287</w:t>
        </w:r>
      </w:hyperlink>
      <w:r>
        <w:t xml:space="preserve">.</w:t>
      </w:r>
    </w:p>
    <w:bookmarkEnd w:id="144"/>
    <w:bookmarkStart w:id="146"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5">
        <w:r>
          <w:rPr>
            <w:rStyle w:val="Hyperlink"/>
          </w:rPr>
          <w:t xml:space="preserve">https://doi.org/10.1097/00005768-200212000-00025</w:t>
        </w:r>
      </w:hyperlink>
      <w:r>
        <w:t xml:space="preserve">.</w:t>
      </w:r>
    </w:p>
    <w:bookmarkEnd w:id="146"/>
    <w:bookmarkStart w:id="148"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7">
        <w:r>
          <w:rPr>
            <w:rStyle w:val="Hyperlink"/>
          </w:rPr>
          <w:t xml:space="preserve">https://doi.org/10.3390/ijerph19031179</w:t>
        </w:r>
      </w:hyperlink>
      <w:r>
        <w:t xml:space="preserve">.</w:t>
      </w:r>
    </w:p>
    <w:bookmarkEnd w:id="148"/>
    <w:bookmarkStart w:id="150"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9">
        <w:r>
          <w:rPr>
            <w:rStyle w:val="Hyperlink"/>
          </w:rPr>
          <w:t xml:space="preserve">https://doi.org/10.1080/10255842.2010.527837</w:t>
        </w:r>
      </w:hyperlink>
      <w:r>
        <w:t xml:space="preserve">.</w:t>
      </w:r>
    </w:p>
    <w:bookmarkEnd w:id="150"/>
    <w:bookmarkStart w:id="152"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51">
        <w:r>
          <w:rPr>
            <w:rStyle w:val="Hyperlink"/>
          </w:rPr>
          <w:t xml:space="preserve">https://doi.org/10.1016/j.jbiomech.2015.02.051</w:t>
        </w:r>
      </w:hyperlink>
      <w:r>
        <w:t xml:space="preserve">.</w:t>
      </w:r>
    </w:p>
    <w:bookmarkEnd w:id="152"/>
    <w:bookmarkStart w:id="154"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53">
        <w:r>
          <w:rPr>
            <w:rStyle w:val="Hyperlink"/>
          </w:rPr>
          <w:t xml:space="preserve">https://doi.org/10.2307/2531021</w:t>
        </w:r>
      </w:hyperlink>
      <w:r>
        <w:t xml:space="preserve">.</w:t>
      </w:r>
    </w:p>
    <w:bookmarkEnd w:id="154"/>
    <w:bookmarkStart w:id="156"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55">
        <w:r>
          <w:rPr>
            <w:rStyle w:val="Hyperlink"/>
          </w:rPr>
          <w:t xml:space="preserve">https://doi.org/10.1007/BF01068419</w:t>
        </w:r>
      </w:hyperlink>
      <w:r>
        <w:t xml:space="preserve">.</w:t>
      </w:r>
    </w:p>
    <w:bookmarkEnd w:id="156"/>
    <w:bookmarkStart w:id="158"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7">
        <w:r>
          <w:rPr>
            <w:rStyle w:val="Hyperlink"/>
          </w:rPr>
          <w:t xml:space="preserve">https://doi.org/10.1136/bjsports-2018-099246</w:t>
        </w:r>
      </w:hyperlink>
      <w:r>
        <w:t xml:space="preserve">.</w:t>
      </w:r>
    </w:p>
    <w:bookmarkEnd w:id="158"/>
    <w:bookmarkStart w:id="160"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59">
        <w:r>
          <w:rPr>
            <w:rStyle w:val="Hyperlink"/>
          </w:rPr>
          <w:t xml:space="preserve">https://doi.org/10.1080/14763140508522852</w:t>
        </w:r>
      </w:hyperlink>
      <w:r>
        <w:t xml:space="preserve">.</w:t>
      </w:r>
    </w:p>
    <w:bookmarkEnd w:id="160"/>
    <w:bookmarkStart w:id="162"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61">
        <w:r>
          <w:rPr>
            <w:rStyle w:val="Hyperlink"/>
          </w:rPr>
          <w:t xml:space="preserve">https://doi.org/10.1037/0033-2909.86.2.420</w:t>
        </w:r>
      </w:hyperlink>
      <w:r>
        <w:t xml:space="preserve">.</w:t>
      </w:r>
    </w:p>
    <w:bookmarkEnd w:id="162"/>
    <w:bookmarkStart w:id="164"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63">
        <w:r>
          <w:rPr>
            <w:rStyle w:val="Hyperlink"/>
          </w:rPr>
          <w:t xml:space="preserve">https://doi.org/10.1371/journal.pcbi.1011462</w:t>
        </w:r>
      </w:hyperlink>
      <w:r>
        <w:t xml:space="preserve">.</w:t>
      </w:r>
    </w:p>
    <w:bookmarkEnd w:id="164"/>
    <w:bookmarkStart w:id="166"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65">
        <w:r>
          <w:rPr>
            <w:rStyle w:val="Hyperlink"/>
          </w:rPr>
          <w:t xml:space="preserve">https://doi.org/10.1136/bjsports-2017-097796</w:t>
        </w:r>
      </w:hyperlink>
      <w:r>
        <w:t xml:space="preserve">.</w:t>
      </w:r>
    </w:p>
    <w:bookmarkEnd w:id="166"/>
    <w:bookmarkStart w:id="168"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7">
        <w:r>
          <w:rPr>
            <w:rStyle w:val="Hyperlink"/>
          </w:rPr>
          <w:t xml:space="preserve">https://doi.org/10.1136/bjsm.2009.066944</w:t>
        </w:r>
      </w:hyperlink>
      <w:r>
        <w:t xml:space="preserve">.</w:t>
      </w:r>
    </w:p>
    <w:bookmarkEnd w:id="168"/>
    <w:bookmarkStart w:id="170" w:name="ref-winter2009"/>
    <w:p>
      <w:pPr>
        <w:pStyle w:val="Bibliography"/>
      </w:pPr>
      <w:r>
        <w:t xml:space="preserve">Winter, David A. 2009.</w:t>
      </w:r>
      <w:r>
        <w:t xml:space="preserve"> </w:t>
      </w:r>
      <w:r>
        <w:rPr>
          <w:i/>
          <w:iCs/>
        </w:rPr>
        <w:t xml:space="preserve">Biomechanics and Motor Control of Human Movement</w:t>
      </w:r>
      <w:r>
        <w:t xml:space="preserve">. 4.ª ed. John Wiley &amp; Sons.</w:t>
      </w:r>
      <w:r>
        <w:t xml:space="preserve"> </w:t>
      </w:r>
      <w:hyperlink r:id="rId169">
        <w:r>
          <w:rPr>
            <w:rStyle w:val="Hyperlink"/>
          </w:rPr>
          <w:t xml:space="preserve">https://doi.org/10.1002/9780470549148</w:t>
        </w:r>
      </w:hyperlink>
      <w:r>
        <w:t xml:space="preserve">.</w:t>
      </w:r>
    </w:p>
    <w:bookmarkEnd w:id="170"/>
    <w:bookmarkStart w:id="172"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71">
        <w:r>
          <w:rPr>
            <w:rStyle w:val="Hyperlink"/>
          </w:rPr>
          <w:t xml:space="preserve">https://doi.org/10.1109/CVPRW63382.2024.00327</w:t>
        </w:r>
      </w:hyperlink>
      <w:r>
        <w:t xml:space="preserve">.</w:t>
      </w:r>
    </w:p>
    <w:bookmarkEnd w:id="172"/>
    <w:bookmarkStart w:id="174"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73">
        <w:r>
          <w:rPr>
            <w:rStyle w:val="Hyperlink"/>
          </w:rPr>
          <w:t xml:space="preserve">https://doi.org/10.1109/CVPRW67362.2025.00592</w:t>
        </w:r>
      </w:hyperlink>
      <w:r>
        <w:t xml:space="preserve">.</w:t>
      </w:r>
    </w:p>
    <w:bookmarkEnd w:id="174"/>
    <w:bookmarkEnd w:id="175"/>
    <w:bookmarkEnd w:id="176"/>
    <w:bookmarkStart w:id="217"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80"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78" name="Picture"/>
            <a:graphic>
              <a:graphicData uri="http://schemas.openxmlformats.org/drawingml/2006/picture">
                <pic:pic>
                  <pic:nvPicPr>
                    <pic:cNvPr descr="../../resultados/paper_es/fig2_contact.png" id="179" name="Picture"/>
                    <pic:cNvPicPr>
                      <a:picLocks noChangeArrowheads="1" noChangeAspect="1"/>
                    </pic:cNvPicPr>
                  </pic:nvPicPr>
                  <pic:blipFill>
                    <a:blip r:embed="rId177"/>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80"/>
    <w:bookmarkStart w:id="184"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82" name="Picture"/>
            <a:graphic>
              <a:graphicData uri="http://schemas.openxmlformats.org/drawingml/2006/picture">
                <pic:pic>
                  <pic:nvPicPr>
                    <pic:cNvPr descr="../../resultados/paper_es/figS2_intensity.png" id="183" name="Picture"/>
                    <pic:cNvPicPr>
                      <a:picLocks noChangeArrowheads="1" noChangeAspect="1"/>
                    </pic:cNvPicPr>
                  </pic:nvPicPr>
                  <pic:blipFill>
                    <a:blip r:embed="rId181"/>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84"/>
    <w:bookmarkStart w:id="188"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86" name="Picture"/>
            <a:graphic>
              <a:graphicData uri="http://schemas.openxmlformats.org/drawingml/2006/picture">
                <pic:pic>
                  <pic:nvPicPr>
                    <pic:cNvPr descr="../../resultados/paper_es/fig4_sensitivity.png" id="187" name="Picture"/>
                    <pic:cNvPicPr>
                      <a:picLocks noChangeArrowheads="1" noChangeAspect="1"/>
                    </pic:cNvPicPr>
                  </pic:nvPicPr>
                  <pic:blipFill>
                    <a:blip r:embed="rId185"/>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88"/>
    <w:bookmarkStart w:id="192"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90" name="Picture"/>
            <a:graphic>
              <a:graphicData uri="http://schemas.openxmlformats.org/drawingml/2006/picture">
                <pic:pic>
                  <pic:nvPicPr>
                    <pic:cNvPr descr="../../resultados/paper_es/figS1_sensitivity_cmu.png" id="191" name="Picture"/>
                    <pic:cNvPicPr>
                      <a:picLocks noChangeArrowheads="1" noChangeAspect="1"/>
                    </pic:cNvPicPr>
                  </pic:nvPicPr>
                  <pic:blipFill>
                    <a:blip r:embed="rId189"/>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92"/>
    <w:bookmarkStart w:id="196"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94" name="Picture"/>
            <a:graphic>
              <a:graphicData uri="http://schemas.openxmlformats.org/drawingml/2006/picture">
                <pic:pic>
                  <pic:nvPicPr>
                    <pic:cNvPr descr="../../resultados/paper_es/fig5_ablation.png" id="195" name="Picture"/>
                    <pic:cNvPicPr>
                      <a:picLocks noChangeArrowheads="1" noChangeAspect="1"/>
                    </pic:cNvPicPr>
                  </pic:nvPicPr>
                  <pic:blipFill>
                    <a:blip r:embed="rId193"/>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96"/>
    <w:bookmarkStart w:id="200"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98" name="Picture"/>
            <a:graphic>
              <a:graphicData uri="http://schemas.openxmlformats.org/drawingml/2006/picture">
                <pic:pic>
                  <pic:nvPicPr>
                    <pic:cNvPr descr="../../resultados/paper_es/figS3_bland.png" id="199" name="Picture"/>
                    <pic:cNvPicPr>
                      <a:picLocks noChangeArrowheads="1" noChangeAspect="1"/>
                    </pic:cNvPicPr>
                  </pic:nvPicPr>
                  <pic:blipFill>
                    <a:blip r:embed="rId197"/>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200"/>
    <w:bookmarkStart w:id="204"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202" name="Picture"/>
            <a:graphic>
              <a:graphicData uri="http://schemas.openxmlformats.org/drawingml/2006/picture">
                <pic:pic>
                  <pic:nvPicPr>
                    <pic:cNvPr descr="../../resultados/paper_es/fig6_reliability.png" id="203" name="Picture"/>
                    <pic:cNvPicPr>
                      <a:picLocks noChangeArrowheads="1" noChangeAspect="1"/>
                    </pic:cNvPicPr>
                  </pic:nvPicPr>
                  <pic:blipFill>
                    <a:blip r:embed="rId201"/>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204"/>
    <w:bookmarkStart w:id="208"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206" name="Picture"/>
            <a:graphic>
              <a:graphicData uri="http://schemas.openxmlformats.org/drawingml/2006/picture">
                <pic:pic>
                  <pic:nvPicPr>
                    <pic:cNvPr descr="../../resultados/paper_es/fig10_finetune.png" id="207" name="Picture"/>
                    <pic:cNvPicPr>
                      <a:picLocks noChangeArrowheads="1" noChangeAspect="1"/>
                    </pic:cNvPicPr>
                  </pic:nvPicPr>
                  <pic:blipFill>
                    <a:blip r:embed="rId205"/>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08"/>
    <w:bookmarkStart w:id="212" w:name="figS:fieldviews"/>
    <w:p>
      <w:pPr>
        <w:pStyle w:val="CaptionedFigure"/>
      </w:pPr>
      <w:r>
        <w:drawing>
          <wp:inline>
            <wp:extent cx="5334000" cy="3430186"/>
            <wp:effectExtent b="0" l="0" r="0" t="0"/>
            <wp:docPr descr="Figura S9. Ejemplo de campo por toma: golpeos fuertes (rojo) y suaves (azul) a resolución nativa (relleno) y con el jugador reducido a 80 px (hueco). Franja gris: momento flexor máximo de cadera de los golpeos de balón de laboratorio (CMU)." title="" id="210" name="Picture"/>
            <a:graphic>
              <a:graphicData uri="http://schemas.openxmlformats.org/drawingml/2006/picture">
                <pic:pic>
                  <pic:nvPicPr>
                    <pic:cNvPr descr="../../resultados/paper_es/figS9_field_views.png" id="211" name="Picture"/>
                    <pic:cNvPicPr>
                      <a:picLocks noChangeArrowheads="1" noChangeAspect="1"/>
                    </pic:cNvPicPr>
                  </pic:nvPicPr>
                  <pic:blipFill>
                    <a:blip r:embed="rId209"/>
                    <a:stretch>
                      <a:fillRect/>
                    </a:stretch>
                  </pic:blipFill>
                  <pic:spPr bwMode="auto">
                    <a:xfrm>
                      <a:off x="0" y="0"/>
                      <a:ext cx="5334000" cy="3430186"/>
                    </a:xfrm>
                    <a:prstGeom prst="rect">
                      <a:avLst/>
                    </a:prstGeom>
                    <a:noFill/>
                    <a:ln w="9525">
                      <a:noFill/>
                      <a:headEnd/>
                      <a:tailEnd/>
                    </a:ln>
                  </pic:spPr>
                </pic:pic>
              </a:graphicData>
            </a:graphic>
          </wp:inline>
        </w:drawing>
      </w:r>
    </w:p>
    <w:p>
      <w:pPr>
        <w:pStyle w:val="ImageCaption"/>
      </w:pPr>
      <w:r>
        <w:t xml:space="preserve">Figura S9. Ejemplo de campo por toma: golpeos fuertes (rojo) y suaves (azul) a resolución nativa (relleno) y con el jugador reducido a 80 px (hueco). Franja gris: momento flexor máximo de cadera de los golpeos de balón de laboratorio (CMU).</w:t>
      </w:r>
    </w:p>
    <w:bookmarkEnd w:id="212"/>
    <w:bookmarkStart w:id="216" w:name="figS:fieldcompare"/>
    <w:p>
      <w:pPr>
        <w:pStyle w:val="CaptionedFigure"/>
      </w:pPr>
      <w:r>
        <w:drawing>
          <wp:inline>
            <wp:extent cx="4267200" cy="4888132"/>
            <wp:effectExtent b="0" l="0" r="0" t="0"/>
            <wp:docPr descr="Figura S10. Ejemplo de campo: golpeos fuertes frente a suaves en el instante del pico de carga flexora de cadera, tomas lateral y diagonal trasera. Colores como en la Figura 8a; recuadros: momentos netos estimados de cadera y de rodilla." title="" id="214" name="Picture"/>
            <a:graphic>
              <a:graphicData uri="http://schemas.openxmlformats.org/drawingml/2006/picture">
                <pic:pic>
                  <pic:nvPicPr>
                    <pic:cNvPr descr="../../resultados/paper_es/figS10_field_compare.png" id="215" name="Picture"/>
                    <pic:cNvPicPr>
                      <a:picLocks noChangeArrowheads="1" noChangeAspect="1"/>
                    </pic:cNvPicPr>
                  </pic:nvPicPr>
                  <pic:blipFill>
                    <a:blip r:embed="rId213"/>
                    <a:stretch>
                      <a:fillRect/>
                    </a:stretch>
                  </pic:blipFill>
                  <pic:spPr bwMode="auto">
                    <a:xfrm>
                      <a:off x="0" y="0"/>
                      <a:ext cx="4267200" cy="4888132"/>
                    </a:xfrm>
                    <a:prstGeom prst="rect">
                      <a:avLst/>
                    </a:prstGeom>
                    <a:noFill/>
                    <a:ln w="9525">
                      <a:noFill/>
                      <a:headEnd/>
                      <a:tailEnd/>
                    </a:ln>
                  </pic:spPr>
                </pic:pic>
              </a:graphicData>
            </a:graphic>
          </wp:inline>
        </w:drawing>
      </w:r>
    </w:p>
    <w:p>
      <w:pPr>
        <w:pStyle w:val="ImageCaption"/>
      </w:pPr>
      <w:r>
        <w:t xml:space="preserve">Figura S10. Ejemplo de campo: golpeos fuertes frente a suaves en el instante del pico de carga flexora de cadera, tomas lateral y diagonal trasera. Colores como en la Figura 8a; recuadros: momentos netos estimados de cadera y de rodilla.</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5" Target="media/rId205.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7" Target="media/rId177.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5" Target="media/rId185.png" /><Relationship Type="http://schemas.openxmlformats.org/officeDocument/2006/relationships/image" Id="rId193" Target="media/rId193.png" /><Relationship Type="http://schemas.openxmlformats.org/officeDocument/2006/relationships/image" Id="rId201" Target="media/rId201.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3" Target="media/rId213.png" /><Relationship Type="http://schemas.openxmlformats.org/officeDocument/2006/relationships/image" Id="rId189" Target="media/rId189.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9" Target="media/rId209.png" /><Relationship Type="http://schemas.openxmlformats.org/officeDocument/2006/relationships/hyperlink" Id="rId89" Target="http://mocap.cs.cmu.edu" TargetMode="External" /><Relationship Type="http://schemas.openxmlformats.org/officeDocument/2006/relationships/hyperlink" Id="rId169" Target="https://doi.org/10.1002/9780470549148" TargetMode="External" /><Relationship Type="http://schemas.openxmlformats.org/officeDocument/2006/relationships/hyperlink" Id="rId141" Target="https://doi.org/10.1002/hbm.1058" TargetMode="External" /><Relationship Type="http://schemas.openxmlformats.org/officeDocument/2006/relationships/hyperlink" Id="rId115" Target="https://doi.org/10.1007/978-3-031-72655-2_20" TargetMode="External" /><Relationship Type="http://schemas.openxmlformats.org/officeDocument/2006/relationships/hyperlink" Id="rId155" Target="https://doi.org/10.1007/BF01068419" TargetMode="External" /><Relationship Type="http://schemas.openxmlformats.org/officeDocument/2006/relationships/hyperlink" Id="rId93" Target="https://doi.org/10.1016/0021-9290(95)00178-6" TargetMode="External" /><Relationship Type="http://schemas.openxmlformats.org/officeDocument/2006/relationships/hyperlink" Id="rId87" Target="https://doi.org/10.1016/S0140-6736(86)90837-8" TargetMode="External" /><Relationship Type="http://schemas.openxmlformats.org/officeDocument/2006/relationships/hyperlink" Id="rId133" Target="https://doi.org/10.1016/j.gaitpost.2008.09.003" TargetMode="External" /><Relationship Type="http://schemas.openxmlformats.org/officeDocument/2006/relationships/hyperlink" Id="rId151" Target="https://doi.org/10.1016/j.jbiomech.2015.02.051" TargetMode="External" /><Relationship Type="http://schemas.openxmlformats.org/officeDocument/2006/relationships/hyperlink" Id="rId117" Target="https://doi.org/10.1016/j.jbiomech.2021.110665" TargetMode="External" /><Relationship Type="http://schemas.openxmlformats.org/officeDocument/2006/relationships/hyperlink" Id="rId125" Target="https://doi.org/10.1016/j.jclinepi.2010.03.002" TargetMode="External" /><Relationship Type="http://schemas.openxmlformats.org/officeDocument/2006/relationships/hyperlink" Id="rId123" Target="https://doi.org/10.1016/j.jcm.2016.02.012" TargetMode="External" /><Relationship Type="http://schemas.openxmlformats.org/officeDocument/2006/relationships/hyperlink" Id="rId161" Target="https://doi.org/10.1037/0033-2909.86.2.420" TargetMode="External" /><Relationship Type="http://schemas.openxmlformats.org/officeDocument/2006/relationships/hyperlink" Id="rId139" Target="https://doi.org/10.1038/s41598-021-00212-x" TargetMode="External" /><Relationship Type="http://schemas.openxmlformats.org/officeDocument/2006/relationships/hyperlink" Id="rId97" Target="https://doi.org/10.1080/026404102753576062" TargetMode="External" /><Relationship Type="http://schemas.openxmlformats.org/officeDocument/2006/relationships/hyperlink" Id="rId83" Target="https://doi.org/10.1080/02640410500386050" TargetMode="External" /><Relationship Type="http://schemas.openxmlformats.org/officeDocument/2006/relationships/hyperlink" Id="rId131" Target="https://doi.org/10.1080/02640414.2010.481305" TargetMode="External" /><Relationship Type="http://schemas.openxmlformats.org/officeDocument/2006/relationships/hyperlink" Id="rId149" Target="https://doi.org/10.1080/10255842.2010.527837" TargetMode="External" /><Relationship Type="http://schemas.openxmlformats.org/officeDocument/2006/relationships/hyperlink" Id="rId159" Target="https://doi.org/10.1080/14763140508522852" TargetMode="External" /><Relationship Type="http://schemas.openxmlformats.org/officeDocument/2006/relationships/hyperlink" Id="rId91" Target="https://doi.org/10.1080/14763140903229500" TargetMode="External" /><Relationship Type="http://schemas.openxmlformats.org/officeDocument/2006/relationships/hyperlink" Id="rId145" Target="https://doi.org/10.1097/00005768-200212000-00025" TargetMode="External" /><Relationship Type="http://schemas.openxmlformats.org/officeDocument/2006/relationships/hyperlink" Id="rId95" Target="https://doi.org/10.1109/CVPRW53098.2021.00508" TargetMode="External" /><Relationship Type="http://schemas.openxmlformats.org/officeDocument/2006/relationships/hyperlink" Id="rId85" Target="https://doi.org/10.1109/CVPRW59228.2023.00539" TargetMode="External" /><Relationship Type="http://schemas.openxmlformats.org/officeDocument/2006/relationships/hyperlink" Id="rId171" Target="https://doi.org/10.1109/CVPRW63382.2024.00327" TargetMode="External" /><Relationship Type="http://schemas.openxmlformats.org/officeDocument/2006/relationships/hyperlink" Id="rId173" Target="https://doi.org/10.1109/CVPRW67362.2025.00592" TargetMode="External" /><Relationship Type="http://schemas.openxmlformats.org/officeDocument/2006/relationships/hyperlink" Id="rId143" Target="https://doi.org/10.1109/ICCVW69036.2025.00287" TargetMode="External" /><Relationship Type="http://schemas.openxmlformats.org/officeDocument/2006/relationships/hyperlink" Id="rId109" Target="https://doi.org/10.1109/TPAMI.2013.248" TargetMode="External" /><Relationship Type="http://schemas.openxmlformats.org/officeDocument/2006/relationships/hyperlink" Id="rId135" Target="https://doi.org/10.1109/WACV57701.2024.00677" TargetMode="External" /><Relationship Type="http://schemas.openxmlformats.org/officeDocument/2006/relationships/hyperlink" Id="rId167" Target="https://doi.org/10.1136/bjsm.2009.066944" TargetMode="External" /><Relationship Type="http://schemas.openxmlformats.org/officeDocument/2006/relationships/hyperlink" Id="rId137" Target="https://doi.org/10.1136/bjsports-2012-091250" TargetMode="External" /><Relationship Type="http://schemas.openxmlformats.org/officeDocument/2006/relationships/hyperlink" Id="rId165" Target="https://doi.org/10.1136/bjsports-2017-097796" TargetMode="External" /><Relationship Type="http://schemas.openxmlformats.org/officeDocument/2006/relationships/hyperlink" Id="rId157" Target="https://doi.org/10.1136/bjsports-2018-099246" TargetMode="External" /><Relationship Type="http://schemas.openxmlformats.org/officeDocument/2006/relationships/hyperlink" Id="rId107" Target="https://doi.org/10.1136/bmj.c2289" TargetMode="External" /><Relationship Type="http://schemas.openxmlformats.org/officeDocument/2006/relationships/hyperlink" Id="rId99" Target="https://doi.org/10.1177/0363546510395879" TargetMode="External" /><Relationship Type="http://schemas.openxmlformats.org/officeDocument/2006/relationships/hyperlink" Id="rId127" Target="https://doi.org/10.1177/1948550617697177" TargetMode="External" /><Relationship Type="http://schemas.openxmlformats.org/officeDocument/2006/relationships/hyperlink" Id="rId105" Target="https://doi.org/10.1249/MSS.0b013e31818cb278" TargetMode="External" /><Relationship Type="http://schemas.openxmlformats.org/officeDocument/2006/relationships/hyperlink" Id="rId163" Target="https://doi.org/10.1371/journal.pcbi.1011462" TargetMode="External" /><Relationship Type="http://schemas.openxmlformats.org/officeDocument/2006/relationships/hyperlink" Id="rId103" Target="https://doi.org/10.1371/journal.pone.0253157" TargetMode="External" /><Relationship Type="http://schemas.openxmlformats.org/officeDocument/2006/relationships/hyperlink" Id="rId153" Target="https://doi.org/10.2307/2531021" TargetMode="External" /><Relationship Type="http://schemas.openxmlformats.org/officeDocument/2006/relationships/hyperlink" Id="rId147" Target="https://doi.org/10.3390/ijerph19031179" TargetMode="External" /><Relationship Type="http://schemas.openxmlformats.org/officeDocument/2006/relationships/hyperlink" Id="rId101" Target="https://doi.org/10.48550/arXiv.2107.08430" TargetMode="External" /><Relationship Type="http://schemas.openxmlformats.org/officeDocument/2006/relationships/hyperlink" Id="rId111" Target="https://doi.org/10.48550/arXiv.2303.07399" TargetMode="External" /><Relationship Type="http://schemas.openxmlformats.org/officeDocument/2006/relationships/hyperlink" Id="rId113" Target="https://doi.org/10.48550/arXiv.2407.08634" TargetMode="External" /><Relationship Type="http://schemas.openxmlformats.org/officeDocument/2006/relationships/hyperlink" Id="rId121" Target="https://doi.org/10.48550/arXiv.2609.10498" TargetMode="External" /><Relationship Type="http://schemas.openxmlformats.org/officeDocument/2006/relationships/hyperlink" Id="rId78" Target="https://doi.org/10.5281/zenodo.23439408" TargetMode="External" /><Relationship Type="http://schemas.openxmlformats.org/officeDocument/2006/relationships/hyperlink" Id="rId9" Target="https://orcid.org/0009-0004-5724-3502" TargetMode="External" /><Relationship Type="http://schemas.openxmlformats.org/officeDocument/2006/relationships/hyperlink" Id="rId119" Target="https://pmc.ncbi.nlm.nih.gov/articles/PMC3786235" TargetMode="External" /><Relationship Type="http://schemas.openxmlformats.org/officeDocument/2006/relationships/hyperlink" Id="rId129"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9" Target="http://mocap.cs.cmu.edu" TargetMode="External" /><Relationship Type="http://schemas.openxmlformats.org/officeDocument/2006/relationships/hyperlink" Id="rId169" Target="https://doi.org/10.1002/9780470549148" TargetMode="External" /><Relationship Type="http://schemas.openxmlformats.org/officeDocument/2006/relationships/hyperlink" Id="rId141" Target="https://doi.org/10.1002/hbm.1058" TargetMode="External" /><Relationship Type="http://schemas.openxmlformats.org/officeDocument/2006/relationships/hyperlink" Id="rId115" Target="https://doi.org/10.1007/978-3-031-72655-2_20" TargetMode="External" /><Relationship Type="http://schemas.openxmlformats.org/officeDocument/2006/relationships/hyperlink" Id="rId155" Target="https://doi.org/10.1007/BF01068419" TargetMode="External" /><Relationship Type="http://schemas.openxmlformats.org/officeDocument/2006/relationships/hyperlink" Id="rId93" Target="https://doi.org/10.1016/0021-9290(95)00178-6" TargetMode="External" /><Relationship Type="http://schemas.openxmlformats.org/officeDocument/2006/relationships/hyperlink" Id="rId87" Target="https://doi.org/10.1016/S0140-6736(86)90837-8" TargetMode="External" /><Relationship Type="http://schemas.openxmlformats.org/officeDocument/2006/relationships/hyperlink" Id="rId133" Target="https://doi.org/10.1016/j.gaitpost.2008.09.003" TargetMode="External" /><Relationship Type="http://schemas.openxmlformats.org/officeDocument/2006/relationships/hyperlink" Id="rId151" Target="https://doi.org/10.1016/j.jbiomech.2015.02.051" TargetMode="External" /><Relationship Type="http://schemas.openxmlformats.org/officeDocument/2006/relationships/hyperlink" Id="rId117" Target="https://doi.org/10.1016/j.jbiomech.2021.110665" TargetMode="External" /><Relationship Type="http://schemas.openxmlformats.org/officeDocument/2006/relationships/hyperlink" Id="rId125" Target="https://doi.org/10.1016/j.jclinepi.2010.03.002" TargetMode="External" /><Relationship Type="http://schemas.openxmlformats.org/officeDocument/2006/relationships/hyperlink" Id="rId123" Target="https://doi.org/10.1016/j.jcm.2016.02.012" TargetMode="External" /><Relationship Type="http://schemas.openxmlformats.org/officeDocument/2006/relationships/hyperlink" Id="rId161" Target="https://doi.org/10.1037/0033-2909.86.2.420" TargetMode="External" /><Relationship Type="http://schemas.openxmlformats.org/officeDocument/2006/relationships/hyperlink" Id="rId139" Target="https://doi.org/10.1038/s41598-021-00212-x" TargetMode="External" /><Relationship Type="http://schemas.openxmlformats.org/officeDocument/2006/relationships/hyperlink" Id="rId97" Target="https://doi.org/10.1080/026404102753576062" TargetMode="External" /><Relationship Type="http://schemas.openxmlformats.org/officeDocument/2006/relationships/hyperlink" Id="rId83" Target="https://doi.org/10.1080/02640410500386050" TargetMode="External" /><Relationship Type="http://schemas.openxmlformats.org/officeDocument/2006/relationships/hyperlink" Id="rId131" Target="https://doi.org/10.1080/02640414.2010.481305" TargetMode="External" /><Relationship Type="http://schemas.openxmlformats.org/officeDocument/2006/relationships/hyperlink" Id="rId149" Target="https://doi.org/10.1080/10255842.2010.527837" TargetMode="External" /><Relationship Type="http://schemas.openxmlformats.org/officeDocument/2006/relationships/hyperlink" Id="rId159" Target="https://doi.org/10.1080/14763140508522852" TargetMode="External" /><Relationship Type="http://schemas.openxmlformats.org/officeDocument/2006/relationships/hyperlink" Id="rId91" Target="https://doi.org/10.1080/14763140903229500" TargetMode="External" /><Relationship Type="http://schemas.openxmlformats.org/officeDocument/2006/relationships/hyperlink" Id="rId145" Target="https://doi.org/10.1097/00005768-200212000-00025" TargetMode="External" /><Relationship Type="http://schemas.openxmlformats.org/officeDocument/2006/relationships/hyperlink" Id="rId95" Target="https://doi.org/10.1109/CVPRW53098.2021.00508" TargetMode="External" /><Relationship Type="http://schemas.openxmlformats.org/officeDocument/2006/relationships/hyperlink" Id="rId85" Target="https://doi.org/10.1109/CVPRW59228.2023.00539" TargetMode="External" /><Relationship Type="http://schemas.openxmlformats.org/officeDocument/2006/relationships/hyperlink" Id="rId171" Target="https://doi.org/10.1109/CVPRW63382.2024.00327" TargetMode="External" /><Relationship Type="http://schemas.openxmlformats.org/officeDocument/2006/relationships/hyperlink" Id="rId173" Target="https://doi.org/10.1109/CVPRW67362.2025.00592" TargetMode="External" /><Relationship Type="http://schemas.openxmlformats.org/officeDocument/2006/relationships/hyperlink" Id="rId143" Target="https://doi.org/10.1109/ICCVW69036.2025.00287" TargetMode="External" /><Relationship Type="http://schemas.openxmlformats.org/officeDocument/2006/relationships/hyperlink" Id="rId109" Target="https://doi.org/10.1109/TPAMI.2013.248" TargetMode="External" /><Relationship Type="http://schemas.openxmlformats.org/officeDocument/2006/relationships/hyperlink" Id="rId135" Target="https://doi.org/10.1109/WACV57701.2024.00677" TargetMode="External" /><Relationship Type="http://schemas.openxmlformats.org/officeDocument/2006/relationships/hyperlink" Id="rId167" Target="https://doi.org/10.1136/bjsm.2009.066944" TargetMode="External" /><Relationship Type="http://schemas.openxmlformats.org/officeDocument/2006/relationships/hyperlink" Id="rId137" Target="https://doi.org/10.1136/bjsports-2012-091250" TargetMode="External" /><Relationship Type="http://schemas.openxmlformats.org/officeDocument/2006/relationships/hyperlink" Id="rId165" Target="https://doi.org/10.1136/bjsports-2017-097796" TargetMode="External" /><Relationship Type="http://schemas.openxmlformats.org/officeDocument/2006/relationships/hyperlink" Id="rId157" Target="https://doi.org/10.1136/bjsports-2018-099246" TargetMode="External" /><Relationship Type="http://schemas.openxmlformats.org/officeDocument/2006/relationships/hyperlink" Id="rId107" Target="https://doi.org/10.1136/bmj.c2289" TargetMode="External" /><Relationship Type="http://schemas.openxmlformats.org/officeDocument/2006/relationships/hyperlink" Id="rId99" Target="https://doi.org/10.1177/0363546510395879" TargetMode="External" /><Relationship Type="http://schemas.openxmlformats.org/officeDocument/2006/relationships/hyperlink" Id="rId127" Target="https://doi.org/10.1177/1948550617697177" TargetMode="External" /><Relationship Type="http://schemas.openxmlformats.org/officeDocument/2006/relationships/hyperlink" Id="rId105" Target="https://doi.org/10.1249/MSS.0b013e31818cb278" TargetMode="External" /><Relationship Type="http://schemas.openxmlformats.org/officeDocument/2006/relationships/hyperlink" Id="rId163" Target="https://doi.org/10.1371/journal.pcbi.1011462" TargetMode="External" /><Relationship Type="http://schemas.openxmlformats.org/officeDocument/2006/relationships/hyperlink" Id="rId103" Target="https://doi.org/10.1371/journal.pone.0253157" TargetMode="External" /><Relationship Type="http://schemas.openxmlformats.org/officeDocument/2006/relationships/hyperlink" Id="rId153" Target="https://doi.org/10.2307/2531021" TargetMode="External" /><Relationship Type="http://schemas.openxmlformats.org/officeDocument/2006/relationships/hyperlink" Id="rId147" Target="https://doi.org/10.3390/ijerph19031179" TargetMode="External" /><Relationship Type="http://schemas.openxmlformats.org/officeDocument/2006/relationships/hyperlink" Id="rId101" Target="https://doi.org/10.48550/arXiv.2107.08430" TargetMode="External" /><Relationship Type="http://schemas.openxmlformats.org/officeDocument/2006/relationships/hyperlink" Id="rId111" Target="https://doi.org/10.48550/arXiv.2303.07399" TargetMode="External" /><Relationship Type="http://schemas.openxmlformats.org/officeDocument/2006/relationships/hyperlink" Id="rId113" Target="https://doi.org/10.48550/arXiv.2407.08634" TargetMode="External" /><Relationship Type="http://schemas.openxmlformats.org/officeDocument/2006/relationships/hyperlink" Id="rId121" Target="https://doi.org/10.48550/arXiv.2609.10498" TargetMode="External" /><Relationship Type="http://schemas.openxmlformats.org/officeDocument/2006/relationships/hyperlink" Id="rId78" Target="https://doi.org/10.5281/zenodo.23439408" TargetMode="External" /><Relationship Type="http://schemas.openxmlformats.org/officeDocument/2006/relationships/hyperlink" Id="rId9" Target="https://orcid.org/0009-0004-5724-3502" TargetMode="External" /><Relationship Type="http://schemas.openxmlformats.org/officeDocument/2006/relationships/hyperlink" Id="rId119" Target="https://pmc.ncbi.nlm.nih.gov/articles/PMC3786235" TargetMode="External" /><Relationship Type="http://schemas.openxmlformats.org/officeDocument/2006/relationships/hyperlink" Id="rId129"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2026-10-20T18:00:25Z</dcterms:created>
  <dcterms:modified xsi:type="dcterms:W3CDTF">2026-10-20T18:00:25Z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