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was valid in the laboratory but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r>
        <w:rPr>
          <w:b/>
          <w:bCs/>
        </w:rPr>
        <w:t xml:space="preserve">[PENDING]</w:t>
      </w:r>
      <w:r>
        <w:t xml:space="preserve">), and the complete statistical outputs and the GRRAS checklist are provided as supplementary files.</w:t>
      </w:r>
    </w:p>
    <w:p>
      <w:pPr>
        <w:pStyle w:val="BodyText"/>
      </w:pPr>
      <w:r>
        <w:t xml:space="preserve">In line with Taylor &amp; Francis policy, a preprint of this manuscript has been posted on SportRxiv (DOI</w:t>
      </w:r>
      <w:r>
        <w:t xml:space="preserve"> </w:t>
      </w:r>
      <w:r>
        <w:rPr>
          <w:b/>
          <w:bCs/>
        </w:rPr>
        <w:t xml:space="preserve">[PENDING]</w:t>
      </w:r>
      <w:r>
        <w:t xml:space="preserve">). The study is a secondary analysis of public datasets and was not pre-registered. The use of generative AI as an assistant for code, analysis, figures and drafting is declared in the manuscript.</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2026-10-17T16:02:14Z</dcterms:created>
  <dcterms:modified xsi:type="dcterms:W3CDTF">2026-10-17T16:02:14Z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